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036" w:rsidRDefault="00527036" w:rsidP="00527036">
      <w:pPr>
        <w:pStyle w:val="Heading1"/>
      </w:pPr>
      <w:r>
        <w:t>Accessible ICT procurement</w:t>
      </w:r>
    </w:p>
    <w:p w:rsidR="00B83057" w:rsidRPr="00527036" w:rsidRDefault="00527036" w:rsidP="00B83057">
      <w:r w:rsidRPr="00527036">
        <w:t>ACCAN is calling for</w:t>
      </w:r>
      <w:r w:rsidR="00B83057" w:rsidRPr="00527036">
        <w:t xml:space="preserve"> a whole-of-government procurement policy for accessible ICT to enable Australians with disability to have greater opportunity for economic, social and community </w:t>
      </w:r>
      <w:r w:rsidRPr="00527036">
        <w:t>participation.</w:t>
      </w:r>
    </w:p>
    <w:p w:rsidR="00504860" w:rsidRPr="00527036" w:rsidRDefault="00504860" w:rsidP="00504860">
      <w:pPr>
        <w:rPr>
          <w:rFonts w:cs="Calibri"/>
        </w:rPr>
      </w:pPr>
      <w:r w:rsidRPr="00527036">
        <w:rPr>
          <w:rFonts w:cs="Calibri"/>
        </w:rPr>
        <w:t xml:space="preserve">The Australian Commonwealth Government does not have a comprehensive procurement policy for the purchase of accessible information and communications technology (ICT). The </w:t>
      </w:r>
      <w:r w:rsidR="00693C6C" w:rsidRPr="00527036">
        <w:rPr>
          <w:rFonts w:cs="Calibri"/>
        </w:rPr>
        <w:t xml:space="preserve">negative </w:t>
      </w:r>
      <w:r w:rsidRPr="00527036">
        <w:rPr>
          <w:rFonts w:cs="Calibri"/>
        </w:rPr>
        <w:t xml:space="preserve">roll-on effects of this policy gap have significant implications for the whole Australian </w:t>
      </w:r>
      <w:r w:rsidR="00E727EC" w:rsidRPr="00527036">
        <w:rPr>
          <w:rFonts w:cs="Calibri"/>
        </w:rPr>
        <w:t>community</w:t>
      </w:r>
      <w:r w:rsidR="00527036">
        <w:rPr>
          <w:rFonts w:cs="Calibri"/>
        </w:rPr>
        <w:t>.</w:t>
      </w:r>
      <w:r w:rsidRPr="00527036">
        <w:rPr>
          <w:rFonts w:cs="Calibri"/>
        </w:rPr>
        <w:t xml:space="preserve"> </w:t>
      </w:r>
      <w:r w:rsidR="00527036">
        <w:rPr>
          <w:rFonts w:cs="Calibri"/>
        </w:rPr>
        <w:t>I</w:t>
      </w:r>
      <w:r w:rsidR="00693C6C" w:rsidRPr="00527036">
        <w:rPr>
          <w:rFonts w:cs="Calibri"/>
        </w:rPr>
        <w:t xml:space="preserve">n particular the </w:t>
      </w:r>
      <w:r w:rsidRPr="00527036">
        <w:rPr>
          <w:rFonts w:cs="Calibri"/>
        </w:rPr>
        <w:t>ramifications of this ongoing policy gap continue to disadvantage and exclude some of our most vulnerable citizens with disability.</w:t>
      </w:r>
    </w:p>
    <w:p w:rsidR="00504860" w:rsidRPr="00527036" w:rsidRDefault="00504860" w:rsidP="00504860">
      <w:pPr>
        <w:rPr>
          <w:rFonts w:cs="Calibri"/>
          <w:color w:val="000000"/>
        </w:rPr>
      </w:pPr>
      <w:r w:rsidRPr="00527036">
        <w:rPr>
          <w:rFonts w:cs="Calibri"/>
          <w:color w:val="000000"/>
        </w:rPr>
        <w:t>A comprehensive Commonwealth public procurement policy for accessible ICT will help to ensure that:</w:t>
      </w:r>
    </w:p>
    <w:p w:rsidR="00504860" w:rsidRPr="00527036" w:rsidRDefault="00504860" w:rsidP="00504860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 w:rsidRPr="00527036">
        <w:rPr>
          <w:rFonts w:cs="Calibri"/>
        </w:rPr>
        <w:t>All public service workplaces procure accessible ICT providing significant employment benefits for current and f</w:t>
      </w:r>
      <w:r w:rsidR="00527036">
        <w:rPr>
          <w:rFonts w:cs="Calibri"/>
        </w:rPr>
        <w:t>uture employees with disability</w:t>
      </w:r>
    </w:p>
    <w:p w:rsidR="00504860" w:rsidRPr="00527036" w:rsidRDefault="00504860" w:rsidP="00504860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 w:rsidRPr="00527036">
        <w:rPr>
          <w:rFonts w:cs="Calibri"/>
        </w:rPr>
        <w:t>All public sector electronic information is accessible to people with disab</w:t>
      </w:r>
      <w:r w:rsidR="00527036">
        <w:rPr>
          <w:rFonts w:cs="Calibri"/>
        </w:rPr>
        <w:t>ility</w:t>
      </w:r>
    </w:p>
    <w:p w:rsidR="00504860" w:rsidRPr="00527036" w:rsidRDefault="00504860" w:rsidP="00504860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 w:rsidRPr="00527036">
        <w:rPr>
          <w:rFonts w:cs="Calibri"/>
        </w:rPr>
        <w:t>All public sector services delivered electronically are access</w:t>
      </w:r>
      <w:r w:rsidR="00527036">
        <w:rPr>
          <w:rFonts w:cs="Calibri"/>
        </w:rPr>
        <w:t>ible for people with disability</w:t>
      </w:r>
    </w:p>
    <w:p w:rsidR="00504860" w:rsidRPr="00527036" w:rsidRDefault="00504860" w:rsidP="00504860">
      <w:pPr>
        <w:numPr>
          <w:ilvl w:val="0"/>
          <w:numId w:val="1"/>
        </w:numPr>
        <w:spacing w:before="0" w:beforeAutospacing="0" w:after="0" w:afterAutospacing="0"/>
        <w:rPr>
          <w:rFonts w:cs="Calibri"/>
        </w:rPr>
      </w:pPr>
      <w:r w:rsidRPr="00527036">
        <w:rPr>
          <w:rFonts w:cs="Calibri"/>
        </w:rPr>
        <w:t>That greater choice of accessible products and services will be available in the</w:t>
      </w:r>
      <w:r w:rsidR="00527036">
        <w:rPr>
          <w:rFonts w:cs="Calibri"/>
        </w:rPr>
        <w:t xml:space="preserve"> Australian ICT marketplace</w:t>
      </w:r>
    </w:p>
    <w:p w:rsidR="00504860" w:rsidRPr="00527036" w:rsidRDefault="00504860" w:rsidP="00527036">
      <w:pPr>
        <w:numPr>
          <w:ilvl w:val="0"/>
          <w:numId w:val="1"/>
        </w:numPr>
        <w:spacing w:before="0" w:beforeAutospacing="0" w:after="240" w:afterAutospacing="0"/>
        <w:rPr>
          <w:rFonts w:cs="Calibri"/>
        </w:rPr>
      </w:pPr>
      <w:r w:rsidRPr="00527036">
        <w:rPr>
          <w:rFonts w:cs="Calibri"/>
        </w:rPr>
        <w:t xml:space="preserve">Australia will be protected from becoming a dumping-ground for the inaccessible products which are unsellable in those overseas markets </w:t>
      </w:r>
      <w:r w:rsidR="006B57FF" w:rsidRPr="00527036">
        <w:rPr>
          <w:rFonts w:cs="Calibri"/>
        </w:rPr>
        <w:t>where public</w:t>
      </w:r>
      <w:r w:rsidRPr="00527036">
        <w:rPr>
          <w:rFonts w:cs="Calibri"/>
        </w:rPr>
        <w:t xml:space="preserve"> procurement policies </w:t>
      </w:r>
      <w:r w:rsidR="00527036">
        <w:rPr>
          <w:rFonts w:cs="Calibri"/>
        </w:rPr>
        <w:t>for accessible ICT are in place</w:t>
      </w:r>
    </w:p>
    <w:p w:rsidR="00504860" w:rsidRPr="00527036" w:rsidRDefault="00504860" w:rsidP="00504860">
      <w:pPr>
        <w:pStyle w:val="BodyText1"/>
        <w:rPr>
          <w:rFonts w:asciiTheme="minorHAnsi" w:hAnsiTheme="minorHAnsi" w:cstheme="minorHAnsi"/>
          <w:color w:val="auto"/>
        </w:rPr>
      </w:pPr>
      <w:r w:rsidRPr="00527036">
        <w:rPr>
          <w:rFonts w:asciiTheme="minorHAnsi" w:hAnsiTheme="minorHAnsi" w:cstheme="minorHAnsi"/>
          <w:color w:val="auto"/>
        </w:rPr>
        <w:t xml:space="preserve">The 2013 House Standing Committee on Infrastructure and Communications inquiry into </w:t>
      </w:r>
      <w:hyperlink r:id="rId8" w:history="1">
        <w:r w:rsidRPr="00D97E14">
          <w:rPr>
            <w:rStyle w:val="Hyperlink"/>
            <w:rFonts w:asciiTheme="minorHAnsi" w:hAnsiTheme="minorHAnsi" w:cstheme="minorHAnsi"/>
          </w:rPr>
          <w:t xml:space="preserve">IT </w:t>
        </w:r>
        <w:r w:rsidRPr="00D97E14">
          <w:rPr>
            <w:rStyle w:val="Hyperlink"/>
            <w:rFonts w:asciiTheme="minorHAnsi" w:hAnsiTheme="minorHAnsi" w:cstheme="minorHAnsi"/>
          </w:rPr>
          <w:t>P</w:t>
        </w:r>
        <w:r w:rsidRPr="00D97E14">
          <w:rPr>
            <w:rStyle w:val="Hyperlink"/>
            <w:rFonts w:asciiTheme="minorHAnsi" w:hAnsiTheme="minorHAnsi" w:cstheme="minorHAnsi"/>
          </w:rPr>
          <w:t>ricing</w:t>
        </w:r>
      </w:hyperlink>
      <w:r w:rsidR="00D97E14">
        <w:rPr>
          <w:rFonts w:asciiTheme="minorHAnsi" w:hAnsiTheme="minorHAnsi" w:cstheme="minorHAnsi"/>
          <w:color w:val="auto"/>
        </w:rPr>
        <w:t xml:space="preserve"> </w:t>
      </w:r>
      <w:r w:rsidRPr="00527036">
        <w:rPr>
          <w:rFonts w:asciiTheme="minorHAnsi" w:hAnsiTheme="minorHAnsi" w:cstheme="minorHAnsi"/>
          <w:color w:val="auto"/>
        </w:rPr>
        <w:t xml:space="preserve">recommended the Commonwealth consider adopting a whole-of-government procurement policy for accessible IT, as follows: </w:t>
      </w:r>
    </w:p>
    <w:p w:rsidR="00504860" w:rsidRPr="00D97E14" w:rsidRDefault="00D97E14" w:rsidP="00D97E14">
      <w:pPr>
        <w:pStyle w:val="BodyText1"/>
        <w:ind w:firstLine="720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Recommendation 3:</w:t>
      </w:r>
    </w:p>
    <w:p w:rsidR="00504860" w:rsidRPr="00527036" w:rsidRDefault="00504860" w:rsidP="00D97E14">
      <w:pPr>
        <w:pStyle w:val="BodyText1"/>
        <w:ind w:left="720"/>
        <w:rPr>
          <w:rFonts w:asciiTheme="minorHAnsi" w:hAnsiTheme="minorHAnsi" w:cstheme="minorHAnsi"/>
          <w:color w:val="auto"/>
        </w:rPr>
      </w:pPr>
      <w:r w:rsidRPr="00527036">
        <w:rPr>
          <w:rFonts w:asciiTheme="minorHAnsi" w:hAnsiTheme="minorHAnsi" w:cstheme="minorHAnsi"/>
          <w:color w:val="auto"/>
        </w:rPr>
        <w:t>The Committee recommends that the Australian Government consider a whole-of-government accessible IT procurement policy, to be developed by relevant agencies including AGIMO, and in consultation with relevant stakeholder groups including ACCAN.</w:t>
      </w:r>
    </w:p>
    <w:p w:rsidR="006B57FF" w:rsidRPr="00527036" w:rsidRDefault="00504860" w:rsidP="006B57FF">
      <w:pPr>
        <w:pStyle w:val="BodyText1"/>
        <w:rPr>
          <w:rFonts w:asciiTheme="minorHAnsi" w:hAnsiTheme="minorHAnsi" w:cstheme="minorHAnsi"/>
          <w:color w:val="auto"/>
        </w:rPr>
      </w:pPr>
      <w:r w:rsidRPr="00527036">
        <w:rPr>
          <w:rFonts w:asciiTheme="minorHAnsi" w:hAnsiTheme="minorHAnsi" w:cstheme="minorHAnsi"/>
          <w:color w:val="auto"/>
        </w:rPr>
        <w:t xml:space="preserve">The 2016 Australian Human Rights </w:t>
      </w:r>
      <w:r w:rsidR="006B57FF" w:rsidRPr="00527036">
        <w:rPr>
          <w:rFonts w:asciiTheme="minorHAnsi" w:hAnsiTheme="minorHAnsi" w:cstheme="minorHAnsi"/>
          <w:color w:val="auto"/>
        </w:rPr>
        <w:t xml:space="preserve">Commission </w:t>
      </w:r>
      <w:r w:rsidRPr="00527036">
        <w:rPr>
          <w:rFonts w:asciiTheme="minorHAnsi" w:hAnsiTheme="minorHAnsi" w:cstheme="minorHAnsi"/>
          <w:color w:val="auto"/>
        </w:rPr>
        <w:t>report ‘</w:t>
      </w:r>
      <w:hyperlink r:id="rId9" w:history="1">
        <w:r w:rsidRPr="00F63798">
          <w:rPr>
            <w:rStyle w:val="Hyperlink"/>
            <w:rFonts w:asciiTheme="minorHAnsi" w:hAnsiTheme="minorHAnsi" w:cstheme="minorHAnsi"/>
          </w:rPr>
          <w:t xml:space="preserve">Willing to </w:t>
        </w:r>
        <w:r w:rsidR="00E727EC" w:rsidRPr="00F63798">
          <w:rPr>
            <w:rStyle w:val="Hyperlink"/>
            <w:rFonts w:asciiTheme="minorHAnsi" w:hAnsiTheme="minorHAnsi" w:cstheme="minorHAnsi"/>
          </w:rPr>
          <w:t>Work</w:t>
        </w:r>
      </w:hyperlink>
      <w:r w:rsidR="00E727EC" w:rsidRPr="00527036">
        <w:rPr>
          <w:rFonts w:asciiTheme="minorHAnsi" w:hAnsiTheme="minorHAnsi" w:cstheme="minorHAnsi"/>
          <w:color w:val="auto"/>
        </w:rPr>
        <w:t xml:space="preserve"> ‘makes</w:t>
      </w:r>
      <w:r w:rsidR="006B57FF" w:rsidRPr="00527036">
        <w:rPr>
          <w:rFonts w:asciiTheme="minorHAnsi" w:hAnsiTheme="minorHAnsi" w:cstheme="minorHAnsi"/>
          <w:color w:val="auto"/>
        </w:rPr>
        <w:t xml:space="preserve"> the following recommendations; </w:t>
      </w:r>
    </w:p>
    <w:p w:rsidR="009B7B4E" w:rsidRPr="00D97E14" w:rsidRDefault="009B7B4E" w:rsidP="00F63798">
      <w:pPr>
        <w:pStyle w:val="ListParagraph"/>
        <w:numPr>
          <w:ilvl w:val="0"/>
          <w:numId w:val="4"/>
        </w:numPr>
        <w:spacing w:before="0" w:beforeAutospacing="0" w:after="0"/>
        <w:ind w:left="714" w:hanging="357"/>
        <w:contextualSpacing w:val="0"/>
        <w:rPr>
          <w:rFonts w:cs="Arial"/>
          <w:bCs/>
          <w:lang w:val="en"/>
        </w:rPr>
      </w:pPr>
      <w:r w:rsidRPr="00D97E14">
        <w:rPr>
          <w:rFonts w:cs="Arial"/>
          <w:bCs/>
          <w:lang w:val="en"/>
        </w:rPr>
        <w:t>Recommendation 44: Governments actively participate in the discussions with Standards Australia and ensure that government procurement policies mandate the purchase of accessible ICT.</w:t>
      </w:r>
    </w:p>
    <w:p w:rsidR="00504860" w:rsidRPr="00527036" w:rsidRDefault="009B7B4E" w:rsidP="00F63798">
      <w:pPr>
        <w:pStyle w:val="BodyText1"/>
        <w:numPr>
          <w:ilvl w:val="0"/>
          <w:numId w:val="3"/>
        </w:numPr>
        <w:ind w:left="714" w:hanging="357"/>
        <w:rPr>
          <w:rFonts w:asciiTheme="minorHAnsi" w:hAnsiTheme="minorHAnsi" w:cs="Calibri"/>
        </w:rPr>
      </w:pPr>
      <w:r w:rsidRPr="00527036">
        <w:rPr>
          <w:rFonts w:asciiTheme="minorHAnsi" w:hAnsiTheme="minorHAnsi"/>
          <w:lang w:val="en"/>
        </w:rPr>
        <w:t>Recommendation 45: That the Australian Government implement service level standards to drive a whole of government approach to accessible ICT procurement and development.</w:t>
      </w:r>
    </w:p>
    <w:p w:rsidR="009B7B4E" w:rsidRPr="00527036" w:rsidRDefault="009B7B4E" w:rsidP="00F63798">
      <w:pPr>
        <w:pStyle w:val="BodyText1"/>
        <w:numPr>
          <w:ilvl w:val="0"/>
          <w:numId w:val="3"/>
        </w:numPr>
        <w:ind w:left="714" w:hanging="357"/>
        <w:rPr>
          <w:rFonts w:asciiTheme="minorHAnsi" w:hAnsiTheme="minorHAnsi" w:cs="Calibri"/>
        </w:rPr>
      </w:pPr>
      <w:r w:rsidRPr="00527036">
        <w:rPr>
          <w:rFonts w:asciiTheme="minorHAnsi" w:hAnsiTheme="minorHAnsi"/>
          <w:iCs/>
          <w:lang w:val="en"/>
        </w:rPr>
        <w:lastRenderedPageBreak/>
        <w:t xml:space="preserve">Recommendation 46: That the Australian Government </w:t>
      </w:r>
      <w:proofErr w:type="gramStart"/>
      <w:r w:rsidRPr="00527036">
        <w:rPr>
          <w:rFonts w:asciiTheme="minorHAnsi" w:hAnsiTheme="minorHAnsi"/>
          <w:lang w:val="en-US"/>
        </w:rPr>
        <w:t>require</w:t>
      </w:r>
      <w:proofErr w:type="gramEnd"/>
      <w:r w:rsidRPr="00527036">
        <w:rPr>
          <w:rFonts w:asciiTheme="minorHAnsi" w:hAnsiTheme="minorHAnsi"/>
          <w:lang w:val="en-US"/>
        </w:rPr>
        <w:t xml:space="preserve"> all new technology products and </w:t>
      </w:r>
      <w:r w:rsidRPr="00527036">
        <w:rPr>
          <w:rFonts w:asciiTheme="minorHAnsi" w:hAnsiTheme="minorHAnsi"/>
          <w:lang w:val="en"/>
        </w:rPr>
        <w:t>software used in the Australian Public Service meets accessible design guidelines currently being developed by Standards Australia.</w:t>
      </w:r>
      <w:bookmarkStart w:id="0" w:name="_GoBack"/>
      <w:bookmarkEnd w:id="0"/>
    </w:p>
    <w:p w:rsidR="00D15EE0" w:rsidRPr="00527036" w:rsidRDefault="00D15EE0" w:rsidP="00D15EE0">
      <w:pPr>
        <w:pStyle w:val="BodyText1"/>
        <w:rPr>
          <w:rFonts w:asciiTheme="minorHAnsi" w:hAnsiTheme="minorHAnsi" w:cs="Calibri"/>
        </w:rPr>
      </w:pPr>
      <w:r w:rsidRPr="00527036">
        <w:rPr>
          <w:rFonts w:asciiTheme="minorHAnsi" w:hAnsiTheme="minorHAnsi"/>
        </w:rPr>
        <w:t>ACCAN is calling on all parties to commit to the adoption of a whole-of-government procurement policy for accessible ICT</w:t>
      </w:r>
      <w:r w:rsidR="00F862AC" w:rsidRPr="00527036">
        <w:rPr>
          <w:rFonts w:asciiTheme="minorHAnsi" w:hAnsiTheme="minorHAnsi"/>
        </w:rPr>
        <w:t xml:space="preserve">. </w:t>
      </w:r>
      <w:r w:rsidR="00EF161D" w:rsidRPr="00527036">
        <w:rPr>
          <w:rFonts w:asciiTheme="minorHAnsi" w:hAnsiTheme="minorHAnsi"/>
        </w:rPr>
        <w:t xml:space="preserve">Ensuring that all government information and services are accessible and usable will </w:t>
      </w:r>
      <w:r w:rsidR="008A475D" w:rsidRPr="00527036">
        <w:rPr>
          <w:rFonts w:asciiTheme="minorHAnsi" w:hAnsiTheme="minorHAnsi"/>
        </w:rPr>
        <w:t>provide greater</w:t>
      </w:r>
      <w:r w:rsidR="00EF161D" w:rsidRPr="00527036">
        <w:rPr>
          <w:rFonts w:asciiTheme="minorHAnsi" w:hAnsiTheme="minorHAnsi"/>
        </w:rPr>
        <w:t xml:space="preserve"> economic, social and political participation opportunities for Australians with </w:t>
      </w:r>
      <w:r w:rsidR="008A475D" w:rsidRPr="00527036">
        <w:rPr>
          <w:rFonts w:asciiTheme="minorHAnsi" w:hAnsiTheme="minorHAnsi"/>
        </w:rPr>
        <w:t>disability,</w:t>
      </w:r>
      <w:r w:rsidR="00EF161D" w:rsidRPr="00527036">
        <w:rPr>
          <w:rFonts w:asciiTheme="minorHAnsi" w:hAnsiTheme="minorHAnsi"/>
        </w:rPr>
        <w:t xml:space="preserve"> including greater employment opportunities within the Public Sector. </w:t>
      </w:r>
    </w:p>
    <w:sectPr w:rsidR="00D15EE0" w:rsidRPr="00527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14" w:rsidRDefault="00D97E14" w:rsidP="00504860">
      <w:pPr>
        <w:spacing w:before="0" w:after="0" w:line="240" w:lineRule="auto"/>
      </w:pPr>
      <w:r>
        <w:separator/>
      </w:r>
    </w:p>
  </w:endnote>
  <w:endnote w:type="continuationSeparator" w:id="0">
    <w:p w:rsidR="00D97E14" w:rsidRDefault="00D97E14" w:rsidP="0050486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14" w:rsidRDefault="00D97E14" w:rsidP="00504860">
      <w:pPr>
        <w:spacing w:before="0" w:after="0" w:line="240" w:lineRule="auto"/>
      </w:pPr>
      <w:r>
        <w:separator/>
      </w:r>
    </w:p>
  </w:footnote>
  <w:footnote w:type="continuationSeparator" w:id="0">
    <w:p w:rsidR="00D97E14" w:rsidRDefault="00D97E14" w:rsidP="0050486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045"/>
    <w:multiLevelType w:val="hybridMultilevel"/>
    <w:tmpl w:val="D4DEE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367A58"/>
    <w:multiLevelType w:val="hybridMultilevel"/>
    <w:tmpl w:val="B67C49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E27A5"/>
    <w:multiLevelType w:val="hybridMultilevel"/>
    <w:tmpl w:val="57CED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860"/>
    <w:rsid w:val="002865BF"/>
    <w:rsid w:val="002A3D92"/>
    <w:rsid w:val="0039232B"/>
    <w:rsid w:val="003F13EC"/>
    <w:rsid w:val="00504860"/>
    <w:rsid w:val="00527036"/>
    <w:rsid w:val="00693C6C"/>
    <w:rsid w:val="006B57FF"/>
    <w:rsid w:val="008A475D"/>
    <w:rsid w:val="009B7B4E"/>
    <w:rsid w:val="00B4154F"/>
    <w:rsid w:val="00B52C8F"/>
    <w:rsid w:val="00B83057"/>
    <w:rsid w:val="00D02A2A"/>
    <w:rsid w:val="00D15EE0"/>
    <w:rsid w:val="00D97E14"/>
    <w:rsid w:val="00E727EC"/>
    <w:rsid w:val="00EF161D"/>
    <w:rsid w:val="00F63798"/>
    <w:rsid w:val="00F8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0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7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6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4860"/>
    <w:pPr>
      <w:spacing w:before="0" w:beforeAutospacing="0" w:after="0" w:afterAutospacing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860"/>
    <w:rPr>
      <w:sz w:val="20"/>
      <w:szCs w:val="20"/>
      <w:lang w:val="en-GB"/>
    </w:rPr>
  </w:style>
  <w:style w:type="paragraph" w:customStyle="1" w:styleId="BodyText1">
    <w:name w:val="Body Text1"/>
    <w:basedOn w:val="Normal"/>
    <w:qFormat/>
    <w:rsid w:val="00504860"/>
    <w:pPr>
      <w:spacing w:before="0" w:beforeAutospacing="0" w:after="200" w:afterAutospacing="0"/>
    </w:pPr>
    <w:rPr>
      <w:rFonts w:ascii="Arial" w:eastAsia="Calibri" w:hAnsi="Arial" w:cs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5048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7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7E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E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0"/>
    <w:pPr>
      <w:spacing w:before="100" w:beforeAutospacing="1" w:after="100" w:afterAutospacing="1"/>
    </w:pPr>
  </w:style>
  <w:style w:type="paragraph" w:styleId="Heading1">
    <w:name w:val="heading 1"/>
    <w:basedOn w:val="Normal"/>
    <w:next w:val="Normal"/>
    <w:link w:val="Heading1Char"/>
    <w:uiPriority w:val="9"/>
    <w:qFormat/>
    <w:rsid w:val="005270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860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4860"/>
    <w:pPr>
      <w:spacing w:before="0" w:beforeAutospacing="0" w:after="0" w:afterAutospacing="0" w:line="240" w:lineRule="auto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4860"/>
    <w:rPr>
      <w:sz w:val="20"/>
      <w:szCs w:val="20"/>
      <w:lang w:val="en-GB"/>
    </w:rPr>
  </w:style>
  <w:style w:type="paragraph" w:customStyle="1" w:styleId="BodyText1">
    <w:name w:val="Body Text1"/>
    <w:basedOn w:val="Normal"/>
    <w:qFormat/>
    <w:rsid w:val="00504860"/>
    <w:pPr>
      <w:spacing w:before="0" w:beforeAutospacing="0" w:after="200" w:afterAutospacing="0"/>
    </w:pPr>
    <w:rPr>
      <w:rFonts w:ascii="Arial" w:eastAsia="Calibri" w:hAnsi="Arial" w:cs="Arial"/>
      <w:color w:val="000000"/>
    </w:rPr>
  </w:style>
  <w:style w:type="character" w:styleId="EndnoteReference">
    <w:name w:val="endnote reference"/>
    <w:basedOn w:val="DefaultParagraphFont"/>
    <w:uiPriority w:val="99"/>
    <w:semiHidden/>
    <w:unhideWhenUsed/>
    <w:rsid w:val="0050486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270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97E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7E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.gov.au/Parliamentary_Business/Committees/House_of_Representatives_Committees?url=ic/itpricing/report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humanrights.gov.au/our-work/disability-rights/projects/willing-work-national-inquiry-employment-discrimination-again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Hawkins</dc:creator>
  <cp:lastModifiedBy>Luke Sutton</cp:lastModifiedBy>
  <cp:revision>3</cp:revision>
  <dcterms:created xsi:type="dcterms:W3CDTF">2016-05-24T06:15:00Z</dcterms:created>
  <dcterms:modified xsi:type="dcterms:W3CDTF">2016-05-24T06:35:00Z</dcterms:modified>
</cp:coreProperties>
</file>