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05" w:rsidRDefault="00620B05" w:rsidP="00620B05">
      <w:pPr>
        <w:pStyle w:val="Heading1"/>
        <w:rPr>
          <w:rFonts w:eastAsia="Times New Roman"/>
        </w:rPr>
      </w:pPr>
      <w:r>
        <w:rPr>
          <w:rFonts w:eastAsia="Times New Roman"/>
        </w:rPr>
        <w:t>Accessible programming on TV</w:t>
      </w:r>
    </w:p>
    <w:p w:rsidR="000A2147" w:rsidRPr="00620B05" w:rsidRDefault="000A2147" w:rsidP="00172615">
      <w:pPr>
        <w:rPr>
          <w:rFonts w:eastAsia="Times New Roman" w:cs="Times New Roman"/>
        </w:rPr>
      </w:pPr>
      <w:r w:rsidRPr="00620B05">
        <w:rPr>
          <w:rFonts w:eastAsia="Times New Roman" w:cs="Times New Roman"/>
        </w:rPr>
        <w:t xml:space="preserve">Australians with disability need greater access to television. </w:t>
      </w:r>
      <w:r w:rsidR="00FE4B6D">
        <w:rPr>
          <w:rFonts w:eastAsia="Times New Roman" w:cs="Times New Roman"/>
        </w:rPr>
        <w:t>ACCAN is calling for the</w:t>
      </w:r>
      <w:r w:rsidRPr="00620B05">
        <w:rPr>
          <w:rFonts w:eastAsia="Times New Roman" w:cs="Times New Roman"/>
        </w:rPr>
        <w:t xml:space="preserve"> implement</w:t>
      </w:r>
      <w:r w:rsidR="00FE4B6D">
        <w:rPr>
          <w:rFonts w:eastAsia="Times New Roman" w:cs="Times New Roman"/>
        </w:rPr>
        <w:t>ation of</w:t>
      </w:r>
      <w:r w:rsidRPr="00620B05">
        <w:rPr>
          <w:rFonts w:eastAsia="Times New Roman" w:cs="Times New Roman"/>
        </w:rPr>
        <w:t xml:space="preserve"> Audio Description on free-to-air television and increased captioning across</w:t>
      </w:r>
      <w:r w:rsidR="00FE4B6D">
        <w:rPr>
          <w:rFonts w:eastAsia="Times New Roman" w:cs="Times New Roman"/>
        </w:rPr>
        <w:t xml:space="preserve"> commercial television networks.</w:t>
      </w:r>
      <w:bookmarkStart w:id="0" w:name="_GoBack"/>
      <w:bookmarkEnd w:id="0"/>
    </w:p>
    <w:p w:rsidR="00172615" w:rsidRPr="00620B05" w:rsidRDefault="00172615" w:rsidP="00172615">
      <w:r w:rsidRPr="00620B05">
        <w:t>Australians with disability continue to struggle to have meaningful access to television.</w:t>
      </w:r>
    </w:p>
    <w:p w:rsidR="00620B05" w:rsidRDefault="00172615" w:rsidP="00620B05">
      <w:pPr>
        <w:pStyle w:val="Heading3"/>
      </w:pPr>
      <w:r w:rsidRPr="00620B05">
        <w:t>Captions</w:t>
      </w:r>
    </w:p>
    <w:p w:rsidR="002F4326" w:rsidRPr="00620B05" w:rsidRDefault="00172615" w:rsidP="00172615">
      <w:r w:rsidRPr="00620B05">
        <w:t xml:space="preserve">While the Broadcasting Services Act </w:t>
      </w:r>
      <w:r w:rsidR="00706579" w:rsidRPr="00620B05">
        <w:t xml:space="preserve">(BSA) </w:t>
      </w:r>
      <w:r w:rsidRPr="00620B05">
        <w:t>includes mandates for captioning across both free-to-air (FTA) and subscription television (STV) the quotas are limited and do not provide equity of access for people who rely on captions when watching TV.</w:t>
      </w:r>
      <w:r w:rsidR="00EA7242" w:rsidRPr="00620B05">
        <w:t xml:space="preserve"> Expanding the current ‘primary channel’ captioning quotas to cover all </w:t>
      </w:r>
      <w:r w:rsidR="00620B05">
        <w:t>FTA</w:t>
      </w:r>
      <w:r w:rsidR="00EA7242" w:rsidRPr="00620B05">
        <w:t xml:space="preserve"> channels will provide greater participation for all those Australians who rely on captions when watching television.</w:t>
      </w:r>
      <w:r w:rsidR="005234C2" w:rsidRPr="00620B05">
        <w:t xml:space="preserve"> Research indicates the incidence of hearing loss is 1 in 6 Australians and this is projected to increase to 1 in 4 by 2050</w:t>
      </w:r>
      <w:r w:rsidR="000B3EF1" w:rsidRPr="00620B05">
        <w:rPr>
          <w:rStyle w:val="FootnoteReference"/>
        </w:rPr>
        <w:footnoteReference w:id="1"/>
      </w:r>
      <w:r w:rsidR="005234C2" w:rsidRPr="00620B05">
        <w:t>. ACCAN’s own research indicates that over 30 per cent of Australians use captions some of the time</w:t>
      </w:r>
      <w:r w:rsidR="00D141DA" w:rsidRPr="00620B05">
        <w:rPr>
          <w:rStyle w:val="FootnoteReference"/>
        </w:rPr>
        <w:footnoteReference w:id="2"/>
      </w:r>
      <w:r w:rsidR="005234C2" w:rsidRPr="00620B05">
        <w:t>.</w:t>
      </w:r>
    </w:p>
    <w:p w:rsidR="00620B05" w:rsidRDefault="00620B05" w:rsidP="00620B05">
      <w:pPr>
        <w:pStyle w:val="Heading3"/>
      </w:pPr>
      <w:r>
        <w:t>Audio Description</w:t>
      </w:r>
    </w:p>
    <w:p w:rsidR="00706579" w:rsidRPr="00620B05" w:rsidRDefault="00706579" w:rsidP="00706579">
      <w:pPr>
        <w:rPr>
          <w:rFonts w:cs="Arial"/>
        </w:rPr>
      </w:pPr>
      <w:r w:rsidRPr="00620B05">
        <w:rPr>
          <w:rFonts w:cs="Arial"/>
        </w:rPr>
        <w:t>Audio description is a verbal commentary that complements the underlying soundtrack of a television program. It is designed to assist people with vision impairment and those with print and learning disabilities to enhance their understanding of what is happening on the screen.</w:t>
      </w:r>
      <w:r w:rsidR="005234C2" w:rsidRPr="00620B05">
        <w:rPr>
          <w:rFonts w:cs="Arial"/>
        </w:rPr>
        <w:t xml:space="preserve"> </w:t>
      </w:r>
      <w:r w:rsidR="00EB0359" w:rsidRPr="00620B05">
        <w:rPr>
          <w:rFonts w:cs="Arial"/>
        </w:rPr>
        <w:t>Research indicates that more than 500,000 Australians over the age of 40 had vision loss in 2009 and this number is projected to exceed 800,000 by 2020</w:t>
      </w:r>
      <w:r w:rsidR="00EB0359" w:rsidRPr="00620B05">
        <w:rPr>
          <w:rStyle w:val="FootnoteReference"/>
          <w:rFonts w:cs="Arial"/>
        </w:rPr>
        <w:footnoteReference w:id="3"/>
      </w:r>
      <w:r w:rsidR="00EB0359" w:rsidRPr="00620B05">
        <w:rPr>
          <w:rFonts w:cs="Arial"/>
        </w:rPr>
        <w:t>.</w:t>
      </w:r>
    </w:p>
    <w:p w:rsidR="00EA7242" w:rsidRPr="00620B05" w:rsidRDefault="00706579" w:rsidP="00706579">
      <w:pPr>
        <w:rPr>
          <w:rFonts w:cs="Arial"/>
        </w:rPr>
      </w:pPr>
      <w:r w:rsidRPr="00620B05">
        <w:t xml:space="preserve">Currently there is </w:t>
      </w:r>
      <w:r w:rsidR="00620B05">
        <w:t>n</w:t>
      </w:r>
      <w:r w:rsidR="00172615" w:rsidRPr="00620B05">
        <w:t xml:space="preserve">o </w:t>
      </w:r>
      <w:r w:rsidRPr="00620B05">
        <w:t xml:space="preserve">audio described programming on </w:t>
      </w:r>
      <w:r w:rsidR="00172615" w:rsidRPr="00620B05">
        <w:t>broadcast television in Australia</w:t>
      </w:r>
      <w:r w:rsidR="00620B05">
        <w:t xml:space="preserve">. </w:t>
      </w:r>
      <w:r w:rsidR="00EA7242" w:rsidRPr="00620B05">
        <w:rPr>
          <w:rFonts w:cs="Arial"/>
        </w:rPr>
        <w:t xml:space="preserve">Australia </w:t>
      </w:r>
      <w:r w:rsidR="00620B05">
        <w:rPr>
          <w:rFonts w:cs="Arial"/>
        </w:rPr>
        <w:t xml:space="preserve">is </w:t>
      </w:r>
      <w:r w:rsidR="00EA7242" w:rsidRPr="00620B05">
        <w:rPr>
          <w:rFonts w:cs="Arial"/>
        </w:rPr>
        <w:t xml:space="preserve">the only English speaking OECD country with no audio described television. Amendments to both the </w:t>
      </w:r>
      <w:r w:rsidR="00620B05">
        <w:rPr>
          <w:rFonts w:cs="Arial"/>
        </w:rPr>
        <w:t>BSA</w:t>
      </w:r>
      <w:r w:rsidR="00EA7242" w:rsidRPr="00620B05">
        <w:rPr>
          <w:rFonts w:cs="Arial"/>
        </w:rPr>
        <w:t xml:space="preserve"> and the National B</w:t>
      </w:r>
      <w:r w:rsidR="00620B05">
        <w:rPr>
          <w:rFonts w:cs="Arial"/>
        </w:rPr>
        <w:t>roadcasters charter to mandate audio d</w:t>
      </w:r>
      <w:r w:rsidR="00EA7242" w:rsidRPr="00620B05">
        <w:rPr>
          <w:rFonts w:cs="Arial"/>
        </w:rPr>
        <w:t xml:space="preserve">escription services across free-to-air television </w:t>
      </w:r>
      <w:r w:rsidRPr="00620B05">
        <w:rPr>
          <w:rFonts w:cs="Arial"/>
        </w:rPr>
        <w:t xml:space="preserve">will help to ensure that </w:t>
      </w:r>
      <w:r w:rsidR="00E40F21" w:rsidRPr="00620B05">
        <w:rPr>
          <w:rFonts w:cs="Arial"/>
        </w:rPr>
        <w:t>all Australians</w:t>
      </w:r>
      <w:r w:rsidRPr="00620B05">
        <w:rPr>
          <w:rFonts w:cs="Arial"/>
        </w:rPr>
        <w:t xml:space="preserve"> are able to </w:t>
      </w:r>
      <w:r w:rsidR="00EA7242" w:rsidRPr="00620B05">
        <w:rPr>
          <w:rFonts w:cs="Arial"/>
        </w:rPr>
        <w:t>participate and benefit from the ubiquity of our primary medium for news, information and entertainment.</w:t>
      </w:r>
    </w:p>
    <w:p w:rsidR="00EA7242" w:rsidRDefault="00EA7242" w:rsidP="00172615"/>
    <w:sectPr w:rsidR="00EA7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66" w:rsidRDefault="00E75B66" w:rsidP="000B3EF1">
      <w:pPr>
        <w:spacing w:after="0" w:line="240" w:lineRule="auto"/>
      </w:pPr>
      <w:r>
        <w:separator/>
      </w:r>
    </w:p>
  </w:endnote>
  <w:endnote w:type="continuationSeparator" w:id="0">
    <w:p w:rsidR="00E75B66" w:rsidRDefault="00E75B66" w:rsidP="000B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66" w:rsidRDefault="00E75B66" w:rsidP="000B3EF1">
      <w:pPr>
        <w:spacing w:after="0" w:line="240" w:lineRule="auto"/>
      </w:pPr>
      <w:r>
        <w:separator/>
      </w:r>
    </w:p>
  </w:footnote>
  <w:footnote w:type="continuationSeparator" w:id="0">
    <w:p w:rsidR="00E75B66" w:rsidRDefault="00E75B66" w:rsidP="000B3EF1">
      <w:pPr>
        <w:spacing w:after="0" w:line="240" w:lineRule="auto"/>
      </w:pPr>
      <w:r>
        <w:continuationSeparator/>
      </w:r>
    </w:p>
  </w:footnote>
  <w:footnote w:id="1">
    <w:p w:rsidR="000B3EF1" w:rsidRPr="00620B05" w:rsidRDefault="000B3EF1" w:rsidP="00620B05">
      <w:pPr>
        <w:rPr>
          <w:rFonts w:eastAsia="Times New Roman" w:cs="Arial"/>
          <w:color w:val="333333"/>
          <w:lang w:val="en" w:eastAsia="en-AU"/>
        </w:rPr>
      </w:pPr>
      <w:r w:rsidRPr="00620B05">
        <w:rPr>
          <w:rStyle w:val="FootnoteReference"/>
        </w:rPr>
        <w:footnoteRef/>
      </w:r>
      <w:r w:rsidR="00620B05">
        <w:rPr>
          <w:rFonts w:eastAsia="Times New Roman" w:cs="Arial"/>
          <w:lang w:val="en" w:eastAsia="en-AU"/>
        </w:rPr>
        <w:t xml:space="preserve"> </w:t>
      </w:r>
      <w:r w:rsidRPr="00620B05">
        <w:rPr>
          <w:rFonts w:eastAsia="Times New Roman" w:cs="Arial"/>
          <w:lang w:val="en" w:eastAsia="en-AU"/>
        </w:rPr>
        <w:t>2007, Listen hear</w:t>
      </w:r>
      <w:r w:rsidR="00A92022" w:rsidRPr="00620B05">
        <w:rPr>
          <w:rFonts w:eastAsia="Times New Roman" w:cs="Arial"/>
          <w:lang w:val="en" w:eastAsia="en-AU"/>
        </w:rPr>
        <w:t>!</w:t>
      </w:r>
      <w:r w:rsidRPr="00620B05">
        <w:rPr>
          <w:rFonts w:eastAsia="Times New Roman" w:cs="Arial"/>
          <w:lang w:val="en" w:eastAsia="en-AU"/>
        </w:rPr>
        <w:t xml:space="preserve"> </w:t>
      </w:r>
      <w:proofErr w:type="gramStart"/>
      <w:r w:rsidRPr="00620B05">
        <w:rPr>
          <w:rFonts w:eastAsia="Times New Roman" w:cs="Arial"/>
          <w:lang w:val="en" w:eastAsia="en-AU"/>
        </w:rPr>
        <w:t>The economic impact and cost of hearing loss in Australia, Access Economics, viewed 24 May 2016, &lt;http://apo.org.au/node/2755&gt;.</w:t>
      </w:r>
      <w:proofErr w:type="gramEnd"/>
      <w:r w:rsidRPr="00620B05">
        <w:rPr>
          <w:rFonts w:eastAsia="Times New Roman" w:cs="Arial"/>
          <w:lang w:val="en" w:eastAsia="en-AU"/>
        </w:rPr>
        <w:t xml:space="preserve"> </w:t>
      </w:r>
    </w:p>
  </w:footnote>
  <w:footnote w:id="2">
    <w:p w:rsidR="00D141DA" w:rsidRPr="00620B05" w:rsidRDefault="00D141DA">
      <w:pPr>
        <w:pStyle w:val="FootnoteText"/>
        <w:rPr>
          <w:sz w:val="22"/>
          <w:szCs w:val="22"/>
        </w:rPr>
      </w:pPr>
      <w:r w:rsidRPr="00620B05">
        <w:rPr>
          <w:rStyle w:val="FootnoteReference"/>
          <w:sz w:val="22"/>
          <w:szCs w:val="22"/>
        </w:rPr>
        <w:footnoteRef/>
      </w:r>
      <w:r w:rsidRPr="00620B05">
        <w:rPr>
          <w:sz w:val="22"/>
          <w:szCs w:val="22"/>
        </w:rPr>
        <w:t xml:space="preserve"> </w:t>
      </w:r>
      <w:hyperlink r:id="rId1" w:history="1">
        <w:r w:rsidRPr="00620B05">
          <w:rPr>
            <w:rStyle w:val="Hyperlink"/>
            <w:sz w:val="22"/>
            <w:szCs w:val="22"/>
          </w:rPr>
          <w:t>https://accan.org.au/index.php?option=com_content&amp;view=article&amp;id=298:research-on-caption</w:t>
        </w:r>
      </w:hyperlink>
    </w:p>
  </w:footnote>
  <w:footnote w:id="3">
    <w:p w:rsidR="00E661A0" w:rsidRPr="00620B05" w:rsidRDefault="00EB0359" w:rsidP="00620B05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620B05">
        <w:rPr>
          <w:rStyle w:val="FootnoteReference"/>
          <w:rFonts w:asciiTheme="minorHAnsi" w:hAnsiTheme="minorHAnsi"/>
          <w:b w:val="0"/>
          <w:sz w:val="22"/>
          <w:szCs w:val="22"/>
        </w:rPr>
        <w:footnoteRef/>
      </w:r>
      <w:r w:rsidRPr="00620B05">
        <w:rPr>
          <w:rFonts w:asciiTheme="minorHAnsi" w:hAnsiTheme="minorHAnsi"/>
          <w:b w:val="0"/>
          <w:sz w:val="22"/>
          <w:szCs w:val="22"/>
        </w:rPr>
        <w:t xml:space="preserve"> </w:t>
      </w:r>
      <w:r w:rsidR="00E661A0" w:rsidRPr="00620B05">
        <w:rPr>
          <w:rFonts w:asciiTheme="minorHAnsi" w:hAnsiTheme="minorHAnsi"/>
          <w:b w:val="0"/>
          <w:sz w:val="22"/>
          <w:szCs w:val="22"/>
        </w:rPr>
        <w:t>2010</w:t>
      </w:r>
      <w:r w:rsidR="00A92022" w:rsidRPr="00620B05">
        <w:rPr>
          <w:rFonts w:asciiTheme="minorHAnsi" w:hAnsiTheme="minorHAnsi"/>
          <w:b w:val="0"/>
          <w:sz w:val="22"/>
          <w:szCs w:val="22"/>
        </w:rPr>
        <w:t>,</w:t>
      </w:r>
      <w:r w:rsidR="00E661A0" w:rsidRPr="00620B05">
        <w:rPr>
          <w:rFonts w:asciiTheme="minorHAnsi" w:hAnsiTheme="minorHAnsi"/>
          <w:b w:val="0"/>
          <w:sz w:val="22"/>
          <w:szCs w:val="22"/>
        </w:rPr>
        <w:t xml:space="preserve"> ‘</w:t>
      </w:r>
      <w:r w:rsidR="00E661A0" w:rsidRPr="00620B05">
        <w:rPr>
          <w:rFonts w:asciiTheme="minorHAnsi" w:hAnsiTheme="minorHAnsi"/>
          <w:b w:val="0"/>
          <w:sz w:val="22"/>
          <w:szCs w:val="22"/>
          <w:lang w:val="en"/>
        </w:rPr>
        <w:t>Clear Focus: The Economic Impact of Vision Loss in Australia in 2009</w:t>
      </w:r>
      <w:r w:rsidR="00E661A0" w:rsidRPr="00620B05">
        <w:rPr>
          <w:rFonts w:asciiTheme="minorHAnsi" w:hAnsiTheme="minorHAnsi"/>
          <w:b w:val="0"/>
          <w:sz w:val="22"/>
          <w:szCs w:val="22"/>
        </w:rPr>
        <w:t>‘</w:t>
      </w:r>
      <w:r w:rsidR="00A92022" w:rsidRPr="00620B05">
        <w:rPr>
          <w:rFonts w:asciiTheme="minorHAnsi" w:hAnsiTheme="minorHAnsi"/>
          <w:b w:val="0"/>
          <w:sz w:val="22"/>
          <w:szCs w:val="22"/>
        </w:rPr>
        <w:t>,</w:t>
      </w:r>
      <w:r w:rsidR="00A92022" w:rsidRPr="00620B05">
        <w:rPr>
          <w:rFonts w:asciiTheme="minorHAnsi" w:hAnsiTheme="minorHAnsi" w:cs="Arial"/>
          <w:b w:val="0"/>
          <w:sz w:val="22"/>
          <w:szCs w:val="22"/>
          <w:lang w:val="en"/>
        </w:rPr>
        <w:t xml:space="preserve"> Access</w:t>
      </w:r>
      <w:r w:rsidR="00E661A0" w:rsidRPr="00620B05">
        <w:rPr>
          <w:rFonts w:asciiTheme="minorHAnsi" w:hAnsiTheme="minorHAnsi" w:cs="Arial"/>
          <w:b w:val="0"/>
          <w:sz w:val="22"/>
          <w:szCs w:val="22"/>
          <w:lang w:val="en"/>
        </w:rPr>
        <w:t xml:space="preserve"> Economics, viewed 24 May 2016</w:t>
      </w:r>
      <w:r w:rsidR="00620B05">
        <w:rPr>
          <w:rFonts w:asciiTheme="minorHAnsi" w:hAnsiTheme="minorHAnsi"/>
          <w:b w:val="0"/>
          <w:sz w:val="22"/>
          <w:szCs w:val="22"/>
        </w:rPr>
        <w:t xml:space="preserve"> </w:t>
      </w:r>
      <w:hyperlink r:id="rId2" w:history="1">
        <w:r w:rsidR="00E661A0" w:rsidRPr="00620B05">
          <w:rPr>
            <w:rStyle w:val="Hyperlink"/>
            <w:rFonts w:asciiTheme="minorHAnsi" w:hAnsiTheme="minorHAnsi"/>
            <w:b w:val="0"/>
            <w:sz w:val="22"/>
            <w:szCs w:val="22"/>
          </w:rPr>
          <w:t>http://www.vision2020australia.org.au/resources/clear-focus-the-economic-impact-of-vision-loss-in-australia-in-2009</w:t>
        </w:r>
      </w:hyperlink>
    </w:p>
    <w:p w:rsidR="00E661A0" w:rsidRPr="00620B05" w:rsidRDefault="00E661A0">
      <w:pPr>
        <w:pStyle w:val="FootnoteText"/>
        <w:rPr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26"/>
    <w:rsid w:val="000A2147"/>
    <w:rsid w:val="000B3EF1"/>
    <w:rsid w:val="00172615"/>
    <w:rsid w:val="001B33E8"/>
    <w:rsid w:val="002F4326"/>
    <w:rsid w:val="005234C2"/>
    <w:rsid w:val="005B2541"/>
    <w:rsid w:val="00620B05"/>
    <w:rsid w:val="00650E80"/>
    <w:rsid w:val="00706579"/>
    <w:rsid w:val="00A7023E"/>
    <w:rsid w:val="00A92022"/>
    <w:rsid w:val="00D141DA"/>
    <w:rsid w:val="00E40F21"/>
    <w:rsid w:val="00E661A0"/>
    <w:rsid w:val="00E75B66"/>
    <w:rsid w:val="00EA7242"/>
    <w:rsid w:val="00EB0359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66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0B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3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EF1"/>
    <w:rPr>
      <w:vertAlign w:val="superscript"/>
    </w:rPr>
  </w:style>
  <w:style w:type="character" w:customStyle="1" w:styleId="field-content">
    <w:name w:val="field-content"/>
    <w:basedOn w:val="DefaultParagraphFont"/>
    <w:rsid w:val="000B3EF1"/>
  </w:style>
  <w:style w:type="character" w:customStyle="1" w:styleId="date-display-single">
    <w:name w:val="date-display-single"/>
    <w:basedOn w:val="DefaultParagraphFont"/>
    <w:rsid w:val="000B3EF1"/>
  </w:style>
  <w:style w:type="character" w:styleId="Hyperlink">
    <w:name w:val="Hyperlink"/>
    <w:basedOn w:val="DefaultParagraphFont"/>
    <w:uiPriority w:val="99"/>
    <w:unhideWhenUsed/>
    <w:rsid w:val="00D141D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61A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20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0B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66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0B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3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EF1"/>
    <w:rPr>
      <w:vertAlign w:val="superscript"/>
    </w:rPr>
  </w:style>
  <w:style w:type="character" w:customStyle="1" w:styleId="field-content">
    <w:name w:val="field-content"/>
    <w:basedOn w:val="DefaultParagraphFont"/>
    <w:rsid w:val="000B3EF1"/>
  </w:style>
  <w:style w:type="character" w:customStyle="1" w:styleId="date-display-single">
    <w:name w:val="date-display-single"/>
    <w:basedOn w:val="DefaultParagraphFont"/>
    <w:rsid w:val="000B3EF1"/>
  </w:style>
  <w:style w:type="character" w:styleId="Hyperlink">
    <w:name w:val="Hyperlink"/>
    <w:basedOn w:val="DefaultParagraphFont"/>
    <w:uiPriority w:val="99"/>
    <w:unhideWhenUsed/>
    <w:rsid w:val="00D141D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61A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20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0B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7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on2020australia.org.au/resources/clear-focus-the-economic-impact-of-vision-loss-in-australia-in-2009" TargetMode="External"/><Relationship Id="rId1" Type="http://schemas.openxmlformats.org/officeDocument/2006/relationships/hyperlink" Target="https://accan.org.au/index.php?option=com_content&amp;view=article&amp;id=298:research-on-ca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09A9-A40F-407F-8303-77D6B59A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Hawkins</dc:creator>
  <cp:lastModifiedBy>Luke Sutton</cp:lastModifiedBy>
  <cp:revision>2</cp:revision>
  <dcterms:created xsi:type="dcterms:W3CDTF">2016-05-24T06:01:00Z</dcterms:created>
  <dcterms:modified xsi:type="dcterms:W3CDTF">2016-05-24T06:01:00Z</dcterms:modified>
</cp:coreProperties>
</file>