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2" w:type="dxa"/>
        <w:jc w:val="center"/>
        <w:tblLayout w:type="fixed"/>
        <w:tblCellMar>
          <w:left w:w="115" w:type="dxa"/>
          <w:right w:w="115" w:type="dxa"/>
        </w:tblCellMar>
        <w:tblLook w:val="0400" w:firstRow="0" w:lastRow="0" w:firstColumn="0" w:lastColumn="0" w:noHBand="0" w:noVBand="1"/>
      </w:tblPr>
      <w:tblGrid>
        <w:gridCol w:w="369"/>
        <w:gridCol w:w="8705"/>
        <w:gridCol w:w="168"/>
      </w:tblGrid>
      <w:tr w:rsidR="00485EA5" w:rsidTr="005C0965">
        <w:trPr>
          <w:trHeight w:val="3415"/>
          <w:jc w:val="center"/>
        </w:trPr>
        <w:tc>
          <w:tcPr>
            <w:tcW w:w="9242" w:type="dxa"/>
            <w:gridSpan w:val="3"/>
            <w:shd w:val="clear" w:color="auto" w:fill="auto"/>
          </w:tcPr>
          <w:p w:rsidR="00485EA5" w:rsidRDefault="00485EA5" w:rsidP="005C0965">
            <w:bookmarkStart w:id="0" w:name="_Toc495603394"/>
            <w:bookmarkStart w:id="1" w:name="_Toc497129831"/>
          </w:p>
        </w:tc>
      </w:tr>
      <w:tr w:rsidR="00485EA5" w:rsidTr="005C0965">
        <w:trPr>
          <w:trHeight w:val="837"/>
          <w:jc w:val="center"/>
        </w:trPr>
        <w:tc>
          <w:tcPr>
            <w:tcW w:w="9242" w:type="dxa"/>
            <w:gridSpan w:val="3"/>
            <w:shd w:val="clear" w:color="auto" w:fill="auto"/>
            <w:vAlign w:val="center"/>
          </w:tcPr>
          <w:p w:rsidR="00485EA5" w:rsidRPr="00305B0E" w:rsidRDefault="00485EA5" w:rsidP="005C0965">
            <w:pPr>
              <w:pStyle w:val="TITLE1"/>
              <w:jc w:val="center"/>
              <w:rPr>
                <w:rFonts w:ascii="Trebuchet MS" w:hAnsi="Trebuchet MS"/>
              </w:rPr>
            </w:pPr>
            <w:r>
              <w:t xml:space="preserve">Telecommunications Expenditure </w:t>
            </w:r>
            <w:r>
              <w:br/>
              <w:t>in Australia</w:t>
            </w:r>
          </w:p>
        </w:tc>
      </w:tr>
      <w:tr w:rsidR="00485EA5" w:rsidTr="005C0965">
        <w:trPr>
          <w:gridBefore w:val="1"/>
          <w:gridAfter w:val="1"/>
          <w:wBefore w:w="369" w:type="dxa"/>
          <w:wAfter w:w="168" w:type="dxa"/>
          <w:trHeight w:val="1873"/>
          <w:jc w:val="center"/>
        </w:trPr>
        <w:tc>
          <w:tcPr>
            <w:tcW w:w="8705" w:type="dxa"/>
            <w:shd w:val="clear" w:color="auto" w:fill="auto"/>
            <w:vAlign w:val="center"/>
          </w:tcPr>
          <w:p w:rsidR="00485EA5" w:rsidRPr="000B20CA" w:rsidRDefault="005949CB" w:rsidP="005949CB">
            <w:pPr>
              <w:pStyle w:val="TITLE2"/>
            </w:pPr>
            <w:r>
              <w:t>Fact Sheet</w:t>
            </w:r>
          </w:p>
        </w:tc>
      </w:tr>
      <w:tr w:rsidR="00485EA5" w:rsidTr="005C0965">
        <w:trPr>
          <w:trHeight w:val="251"/>
          <w:jc w:val="center"/>
        </w:trPr>
        <w:tc>
          <w:tcPr>
            <w:tcW w:w="9242" w:type="dxa"/>
            <w:gridSpan w:val="3"/>
            <w:shd w:val="clear" w:color="auto" w:fill="auto"/>
            <w:vAlign w:val="center"/>
          </w:tcPr>
          <w:p w:rsidR="00485EA5" w:rsidRPr="00D70CAA" w:rsidRDefault="00485EA5" w:rsidP="005C0965">
            <w:pPr>
              <w:jc w:val="center"/>
              <w:rPr>
                <w:b/>
              </w:rPr>
            </w:pPr>
            <w:r>
              <w:rPr>
                <w:b/>
              </w:rPr>
              <w:t>Dr Greg Ogle</w:t>
            </w:r>
          </w:p>
        </w:tc>
      </w:tr>
      <w:tr w:rsidR="00485EA5" w:rsidTr="005C0965">
        <w:trPr>
          <w:trHeight w:val="251"/>
          <w:jc w:val="center"/>
        </w:trPr>
        <w:tc>
          <w:tcPr>
            <w:tcW w:w="9242" w:type="dxa"/>
            <w:gridSpan w:val="3"/>
            <w:shd w:val="clear" w:color="auto" w:fill="auto"/>
            <w:vAlign w:val="center"/>
          </w:tcPr>
          <w:p w:rsidR="00485EA5" w:rsidRPr="00D70CAA" w:rsidRDefault="00485EA5" w:rsidP="00485EA5">
            <w:pPr>
              <w:jc w:val="center"/>
              <w:rPr>
                <w:b/>
              </w:rPr>
            </w:pPr>
            <w:r>
              <w:rPr>
                <w:b/>
              </w:rPr>
              <w:t>November</w:t>
            </w:r>
            <w:r w:rsidRPr="00D70CAA">
              <w:rPr>
                <w:b/>
              </w:rPr>
              <w:t xml:space="preserve">, </w:t>
            </w:r>
            <w:r>
              <w:rPr>
                <w:b/>
              </w:rPr>
              <w:t>2017</w:t>
            </w:r>
          </w:p>
        </w:tc>
      </w:tr>
    </w:tbl>
    <w:p w:rsidR="00485EA5" w:rsidRDefault="00485EA5" w:rsidP="00485EA5"/>
    <w:p w:rsidR="00485EA5" w:rsidRPr="00BE2D5A" w:rsidRDefault="00484D4D" w:rsidP="00485EA5">
      <w:r>
        <w:rPr>
          <w:noProof/>
        </w:rPr>
        <w:drawing>
          <wp:anchor distT="0" distB="0" distL="114300" distR="114300" simplePos="0" relativeHeight="251662336" behindDoc="1" locked="0" layoutInCell="1" allowOverlap="1" wp14:anchorId="053EA488" wp14:editId="4F3AB851">
            <wp:simplePos x="0" y="0"/>
            <wp:positionH relativeFrom="column">
              <wp:posOffset>31750</wp:posOffset>
            </wp:positionH>
            <wp:positionV relativeFrom="paragraph">
              <wp:posOffset>1253490</wp:posOffset>
            </wp:positionV>
            <wp:extent cx="1938020" cy="819150"/>
            <wp:effectExtent l="0" t="0" r="5080" b="0"/>
            <wp:wrapThrough wrapText="bothSides">
              <wp:wrapPolygon edited="0">
                <wp:start x="0" y="0"/>
                <wp:lineTo x="0" y="21098"/>
                <wp:lineTo x="21444" y="21098"/>
                <wp:lineTo x="21444" y="0"/>
                <wp:lineTo x="0" y="0"/>
              </wp:wrapPolygon>
            </wp:wrapThrough>
            <wp:docPr id="16" name="Picture 16" descr="sa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arliychuk\AppData\Local\Microsoft\Windows\INetCache\Content.Word\master_logo_red_notag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802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EA5">
        <w:rPr>
          <w:b/>
          <w:noProof/>
        </w:rPr>
        <w:drawing>
          <wp:anchor distT="0" distB="0" distL="114300" distR="114300" simplePos="0" relativeHeight="251661312" behindDoc="0" locked="0" layoutInCell="1" allowOverlap="1" wp14:anchorId="1ABDDD23" wp14:editId="00D935CD">
            <wp:simplePos x="0" y="0"/>
            <wp:positionH relativeFrom="page">
              <wp:posOffset>5085715</wp:posOffset>
            </wp:positionH>
            <wp:positionV relativeFrom="page">
              <wp:posOffset>8453120</wp:posOffset>
            </wp:positionV>
            <wp:extent cx="1375410" cy="594360"/>
            <wp:effectExtent l="0" t="0" r="0" b="0"/>
            <wp:wrapThrough wrapText="bothSides">
              <wp:wrapPolygon edited="0">
                <wp:start x="7180" y="0"/>
                <wp:lineTo x="898" y="3462"/>
                <wp:lineTo x="0" y="4846"/>
                <wp:lineTo x="0" y="17308"/>
                <wp:lineTo x="7479" y="20769"/>
                <wp:lineTo x="9274" y="20769"/>
                <wp:lineTo x="21241" y="17308"/>
                <wp:lineTo x="21241" y="3462"/>
                <wp:lineTo x="9274" y="0"/>
                <wp:lineTo x="7180" y="0"/>
              </wp:wrapPolygon>
            </wp:wrapThrough>
            <wp:docPr id="18" name="Picture 18"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41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EA5">
        <w:br w:type="page"/>
      </w:r>
      <w:r w:rsidR="00485EA5" w:rsidRPr="00BE2D5A">
        <w:lastRenderedPageBreak/>
        <w:t>“</w:t>
      </w:r>
      <w:r w:rsidRPr="00BE2D5A">
        <w:t>Telecommunications Expenditure in Australia</w:t>
      </w:r>
      <w:r w:rsidR="00485EA5" w:rsidRPr="00BE2D5A">
        <w:t>”</w:t>
      </w:r>
    </w:p>
    <w:p w:rsidR="00485EA5" w:rsidRPr="00BE2D5A" w:rsidRDefault="00485EA5" w:rsidP="00485EA5">
      <w:r w:rsidRPr="00BE2D5A">
        <w:t xml:space="preserve">Authored by </w:t>
      </w:r>
      <w:r w:rsidR="00484D4D" w:rsidRPr="00BE2D5A">
        <w:t>Dr Greg Ogle</w:t>
      </w:r>
    </w:p>
    <w:p w:rsidR="00485EA5" w:rsidRPr="00BE2D5A" w:rsidRDefault="00485EA5" w:rsidP="00485EA5">
      <w:r w:rsidRPr="00BE2D5A">
        <w:t xml:space="preserve">Published in </w:t>
      </w:r>
      <w:r w:rsidR="00484D4D" w:rsidRPr="00BE2D5A">
        <w:t>2017</w:t>
      </w:r>
    </w:p>
    <w:p w:rsidR="00485EA5" w:rsidRPr="00BE2D5A" w:rsidRDefault="00485EA5" w:rsidP="00485EA5">
      <w:r w:rsidRPr="00BE2D5A">
        <w:t xml:space="preserve">The operation of the Australian Communications Consumer Action Network is made possible by funding provided by the Commonwealth of Australia under section 593 of the </w:t>
      </w:r>
      <w:r w:rsidRPr="00BE2D5A">
        <w:rPr>
          <w:i/>
        </w:rPr>
        <w:t>Telecommunications Act 1997</w:t>
      </w:r>
      <w:r w:rsidRPr="00BE2D5A">
        <w:t>. This funding is recovered from charges on telecommunications carriers.</w:t>
      </w:r>
    </w:p>
    <w:p w:rsidR="00484D4D" w:rsidRPr="00BE2D5A" w:rsidRDefault="00484D4D" w:rsidP="00484D4D">
      <w:r w:rsidRPr="00BE2D5A">
        <w:t>South Australian Council of Social Service</w:t>
      </w:r>
      <w:r w:rsidRPr="00BE2D5A">
        <w:br/>
        <w:t xml:space="preserve">Website: </w:t>
      </w:r>
      <w:hyperlink r:id="rId11" w:tooltip="sacoss homepage [opens in seperate window]" w:history="1">
        <w:r w:rsidRPr="00BE2D5A">
          <w:rPr>
            <w:rStyle w:val="Hyperlink"/>
          </w:rPr>
          <w:t>www.sacoss.org.au</w:t>
        </w:r>
      </w:hyperlink>
      <w:r w:rsidR="005C0965">
        <w:t xml:space="preserve"> </w:t>
      </w:r>
      <w:r w:rsidRPr="00BE2D5A">
        <w:t xml:space="preserve"> </w:t>
      </w:r>
      <w:r w:rsidRPr="00BE2D5A">
        <w:br/>
        <w:t xml:space="preserve">Email: </w:t>
      </w:r>
      <w:hyperlink r:id="rId12" w:history="1">
        <w:r w:rsidRPr="00BE2D5A">
          <w:rPr>
            <w:rStyle w:val="Hyperlink"/>
          </w:rPr>
          <w:t>sacoss@sacoss.org.au</w:t>
        </w:r>
      </w:hyperlink>
      <w:r w:rsidRPr="00BE2D5A">
        <w:t xml:space="preserve"> </w:t>
      </w:r>
      <w:r w:rsidRPr="00BE2D5A">
        <w:br/>
        <w:t>Telephone: 08 8305 4200</w:t>
      </w:r>
    </w:p>
    <w:p w:rsidR="00485EA5" w:rsidRPr="00BE2D5A" w:rsidRDefault="00484D4D" w:rsidP="00484D4D">
      <w:r w:rsidRPr="00BE2D5A">
        <w:t xml:space="preserve"> </w:t>
      </w:r>
      <w:r w:rsidR="00485EA5" w:rsidRPr="00BE2D5A">
        <w:t>Australian Communications Consumer Action Network</w:t>
      </w:r>
      <w:r w:rsidR="00485EA5" w:rsidRPr="00BE2D5A">
        <w:br/>
        <w:t xml:space="preserve">Website: </w:t>
      </w:r>
      <w:hyperlink r:id="rId13" w:tooltip="ACCAN website [opens in separate window]" w:history="1">
        <w:r w:rsidR="00485EA5" w:rsidRPr="00BE2D5A">
          <w:rPr>
            <w:rStyle w:val="Hyperlink"/>
          </w:rPr>
          <w:t>www.accan.org.au</w:t>
        </w:r>
      </w:hyperlink>
      <w:r w:rsidR="00485EA5" w:rsidRPr="00BE2D5A">
        <w:t xml:space="preserve"> </w:t>
      </w:r>
      <w:r w:rsidR="00485EA5" w:rsidRPr="00BE2D5A">
        <w:br/>
        <w:t xml:space="preserve">Email: </w:t>
      </w:r>
      <w:hyperlink r:id="rId14" w:history="1">
        <w:r w:rsidR="00485EA5" w:rsidRPr="00BE2D5A">
          <w:rPr>
            <w:rStyle w:val="Hyperlink"/>
          </w:rPr>
          <w:t>research@accan.org.au</w:t>
        </w:r>
      </w:hyperlink>
      <w:r w:rsidR="00485EA5" w:rsidRPr="00BE2D5A">
        <w:t xml:space="preserve"> </w:t>
      </w:r>
      <w:r w:rsidR="00485EA5" w:rsidRPr="00BE2D5A">
        <w:br/>
        <w:t>Telephone: +61 2 9288 4000</w:t>
      </w:r>
      <w:r w:rsidR="00485EA5" w:rsidRPr="00BE2D5A">
        <w:br/>
      </w:r>
      <w:proofErr w:type="gramStart"/>
      <w:r w:rsidR="00485EA5" w:rsidRPr="00BE2D5A">
        <w:rPr>
          <w:iCs/>
        </w:rPr>
        <w:t>If</w:t>
      </w:r>
      <w:proofErr w:type="gramEnd"/>
      <w:r w:rsidR="00485EA5" w:rsidRPr="00BE2D5A">
        <w:rPr>
          <w:iCs/>
        </w:rPr>
        <w:t xml:space="preserve"> you are deaf, or have a hearing or speech impairment, contact us through the National Relay Service: </w:t>
      </w:r>
      <w:hyperlink r:id="rId15" w:tooltip="Relay Service website [opens in separate window]" w:history="1">
        <w:r w:rsidR="00485EA5" w:rsidRPr="00BE2D5A">
          <w:rPr>
            <w:rStyle w:val="Hyperlink"/>
            <w:iCs/>
          </w:rPr>
          <w:t>www.relayservice.gov.au</w:t>
        </w:r>
      </w:hyperlink>
      <w:r w:rsidR="00485EA5" w:rsidRPr="00BE2D5A">
        <w:rPr>
          <w:iCs/>
        </w:rPr>
        <w:t>.</w:t>
      </w:r>
    </w:p>
    <w:p w:rsidR="00485EA5" w:rsidRPr="00BE2D5A" w:rsidRDefault="00485EA5" w:rsidP="00485EA5">
      <w:r w:rsidRPr="00BE2D5A">
        <w:t xml:space="preserve">ISBN: </w:t>
      </w:r>
      <w:r w:rsidR="0013496A" w:rsidRPr="00BE2D5A">
        <w:t>978-1-921974-53-3</w:t>
      </w:r>
      <w:r w:rsidRPr="00BE2D5A">
        <w:br/>
        <w:t xml:space="preserve">Cover image: </w:t>
      </w:r>
      <w:r w:rsidR="00B645A2" w:rsidRPr="00BE2D5A">
        <w:t>Design by Richard Van Der Male with images from Shutterstock, 2017</w:t>
      </w:r>
    </w:p>
    <w:p w:rsidR="00485EA5" w:rsidRPr="00BE2D5A" w:rsidRDefault="00485EA5" w:rsidP="00485EA5">
      <w:r w:rsidRPr="00BE2D5A">
        <w:rPr>
          <w:noProof/>
        </w:rPr>
        <w:drawing>
          <wp:inline distT="0" distB="0" distL="0" distR="0" wp14:anchorId="27F1A1C9" wp14:editId="7BD86B37">
            <wp:extent cx="1120775" cy="399415"/>
            <wp:effectExtent l="0" t="0" r="3175" b="635"/>
            <wp:docPr id="15" name="Picture 15" title="Creative Common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04.png" title="Creative Commons logo"/>
                    <pic:cNvPicPr preferRelativeResize="0"/>
                  </pic:nvPicPr>
                  <pic:blipFill>
                    <a:blip r:embed="rId16"/>
                    <a:srcRect/>
                    <a:stretch>
                      <a:fillRect/>
                    </a:stretch>
                  </pic:blipFill>
                  <pic:spPr>
                    <a:xfrm>
                      <a:off x="0" y="0"/>
                      <a:ext cx="1120775" cy="399415"/>
                    </a:xfrm>
                    <a:prstGeom prst="rect">
                      <a:avLst/>
                    </a:prstGeom>
                    <a:ln/>
                  </pic:spPr>
                </pic:pic>
              </a:graphicData>
            </a:graphic>
          </wp:inline>
        </w:drawing>
      </w:r>
    </w:p>
    <w:p w:rsidR="00485EA5" w:rsidRPr="00BE2D5A" w:rsidRDefault="00485EA5" w:rsidP="00485EA5">
      <w:r w:rsidRPr="00BE2D5A">
        <w:t xml:space="preserve">This work is copyright, licensed under the Creative Commons Attribution 4.0 International License. You are free to </w:t>
      </w:r>
      <w:proofErr w:type="gramStart"/>
      <w:r w:rsidRPr="00BE2D5A">
        <w:t>cite,</w:t>
      </w:r>
      <w:proofErr w:type="gramEnd"/>
      <w:r w:rsidRPr="00BE2D5A">
        <w:t xml:space="preserve"> copy, communicate and adapt this work, so long as you attribute “</w:t>
      </w:r>
      <w:r w:rsidR="00BE2D5A" w:rsidRPr="00BE2D5A">
        <w:t>Greg Ogle</w:t>
      </w:r>
      <w:r w:rsidRPr="00BE2D5A">
        <w:t xml:space="preserve"> and the Australian Communications Consumer Action Network (ACCAN)”. To view a copy of this licence, visit </w:t>
      </w:r>
      <w:hyperlink r:id="rId17" w:tooltip="creative commons licenses" w:history="1">
        <w:r w:rsidRPr="00BE2D5A">
          <w:rPr>
            <w:rStyle w:val="Hyperlink"/>
          </w:rPr>
          <w:t>http://creativecommons.org/licenses/by/4.0/</w:t>
        </w:r>
      </w:hyperlink>
    </w:p>
    <w:p w:rsidR="00485EA5" w:rsidRDefault="00485EA5" w:rsidP="00485EA5">
      <w:pPr>
        <w:sectPr w:rsidR="00485EA5" w:rsidSect="005C0965">
          <w:pgSz w:w="11906" w:h="16838"/>
          <w:pgMar w:top="1701" w:right="1701" w:bottom="2698" w:left="1701" w:header="720" w:footer="0" w:gutter="0"/>
          <w:pgNumType w:start="1"/>
          <w:cols w:space="720"/>
          <w:docGrid w:linePitch="299"/>
        </w:sectPr>
      </w:pPr>
      <w:bookmarkStart w:id="2" w:name="h.gjdgxs" w:colFirst="0" w:colLast="0"/>
      <w:bookmarkEnd w:id="2"/>
      <w:r w:rsidRPr="00BE2D5A">
        <w:t xml:space="preserve">This work can be cited as: </w:t>
      </w:r>
      <w:r w:rsidR="00BE2D5A" w:rsidRPr="00BE2D5A">
        <w:t>Ogle, G.</w:t>
      </w:r>
      <w:r w:rsidRPr="00BE2D5A">
        <w:t xml:space="preserve"> 201</w:t>
      </w:r>
      <w:r w:rsidR="00BE2D5A" w:rsidRPr="00BE2D5A">
        <w:t>7</w:t>
      </w:r>
      <w:r w:rsidRPr="00BE2D5A">
        <w:t xml:space="preserve">, </w:t>
      </w:r>
      <w:r w:rsidR="00BE2D5A" w:rsidRPr="00BE2D5A">
        <w:rPr>
          <w:i/>
        </w:rPr>
        <w:t>Telecommunications Expenditure in Australia</w:t>
      </w:r>
      <w:r w:rsidRPr="00BE2D5A">
        <w:t>, Australian Communications</w:t>
      </w:r>
      <w:r w:rsidRPr="004E682E">
        <w:t xml:space="preserve"> </w:t>
      </w:r>
      <w:r>
        <w:t>Consumer Action Network,</w:t>
      </w:r>
      <w:r w:rsidRPr="004E682E">
        <w:t xml:space="preserve"> </w:t>
      </w:r>
      <w:proofErr w:type="gramStart"/>
      <w:r w:rsidRPr="004E682E">
        <w:t>Sydney</w:t>
      </w:r>
      <w:proofErr w:type="gramEnd"/>
      <w:r w:rsidRPr="004E682E">
        <w:t>.</w:t>
      </w:r>
    </w:p>
    <w:p w:rsidR="002C4F90" w:rsidRDefault="005C0965" w:rsidP="002B7C7D">
      <w:pPr>
        <w:pStyle w:val="Heading1"/>
      </w:pPr>
      <w:bookmarkStart w:id="3" w:name="_Toc498421745"/>
      <w:bookmarkEnd w:id="0"/>
      <w:bookmarkEnd w:id="1"/>
      <w:r>
        <w:lastRenderedPageBreak/>
        <w:t>Executive Summary</w:t>
      </w:r>
      <w:bookmarkEnd w:id="3"/>
    </w:p>
    <w:p w:rsidR="002C4F90" w:rsidRPr="002B7C7D" w:rsidRDefault="002B7C7D" w:rsidP="002C4F90">
      <w:r>
        <w:t xml:space="preserve">Unless otherwise stated, the data in this Fact Sheet is drawn from the Australian Bureau of Statistics’ </w:t>
      </w:r>
      <w:r w:rsidR="00F633C5">
        <w:t xml:space="preserve">(ABS) </w:t>
      </w:r>
      <w:r w:rsidRPr="002B7C7D">
        <w:rPr>
          <w:i/>
        </w:rPr>
        <w:t>2015-16</w:t>
      </w:r>
      <w:r>
        <w:t xml:space="preserve"> </w:t>
      </w:r>
      <w:r>
        <w:rPr>
          <w:i/>
        </w:rPr>
        <w:t>Household Expenditure Survey</w:t>
      </w:r>
      <w:r w:rsidR="0047591C">
        <w:rPr>
          <w:rStyle w:val="FootnoteReference"/>
          <w:i/>
        </w:rPr>
        <w:footnoteReference w:id="1"/>
      </w:r>
      <w:r>
        <w:rPr>
          <w:i/>
        </w:rPr>
        <w:t xml:space="preserve"> </w:t>
      </w:r>
      <w:r>
        <w:t xml:space="preserve">(HES), which was released in </w:t>
      </w:r>
      <w:r w:rsidR="00561922">
        <w:t>September</w:t>
      </w:r>
      <w:r>
        <w:t xml:space="preserve"> 2017.</w:t>
      </w:r>
      <w:r w:rsidR="00526800">
        <w:t xml:space="preserve"> However, </w:t>
      </w:r>
      <w:r w:rsidR="00023273">
        <w:t xml:space="preserve">the data here uses a broader </w:t>
      </w:r>
      <w:r w:rsidR="00526800">
        <w:t xml:space="preserve">definition of telecommunications </w:t>
      </w:r>
      <w:r w:rsidR="0047591C">
        <w:t xml:space="preserve">to </w:t>
      </w:r>
      <w:r w:rsidR="00526800">
        <w:t>include home computer equipment</w:t>
      </w:r>
      <w:r w:rsidR="004C0620">
        <w:t xml:space="preserve"> – on the grounds that</w:t>
      </w:r>
      <w:r w:rsidR="00526800">
        <w:t xml:space="preserve"> computers, laptops and tablets are now standard communication devices.</w:t>
      </w:r>
      <w:r w:rsidR="009200E2">
        <w:rPr>
          <w:rStyle w:val="FootnoteReference"/>
        </w:rPr>
        <w:footnoteReference w:id="2"/>
      </w:r>
      <w:r w:rsidR="009200E2">
        <w:t xml:space="preserve"> It does not include </w:t>
      </w:r>
      <w:r w:rsidR="00960DB9">
        <w:t>any</w:t>
      </w:r>
      <w:r w:rsidR="009200E2">
        <w:t xml:space="preserve"> costs </w:t>
      </w:r>
      <w:r w:rsidR="0047591C">
        <w:t>related to</w:t>
      </w:r>
      <w:r w:rsidR="009200E2">
        <w:t xml:space="preserve"> content </w:t>
      </w:r>
      <w:r w:rsidR="0047591C">
        <w:t xml:space="preserve">of </w:t>
      </w:r>
      <w:r w:rsidR="00960DB9">
        <w:t xml:space="preserve">digital </w:t>
      </w:r>
      <w:r w:rsidR="009200E2">
        <w:t xml:space="preserve">services (such as pay-walled media or entertainment </w:t>
      </w:r>
      <w:r w:rsidR="0047591C">
        <w:t>[</w:t>
      </w:r>
      <w:proofErr w:type="spellStart"/>
      <w:r w:rsidR="009200E2">
        <w:t>eg</w:t>
      </w:r>
      <w:proofErr w:type="spellEnd"/>
      <w:r w:rsidR="009200E2">
        <w:t>. Netflix</w:t>
      </w:r>
      <w:r w:rsidR="0047591C">
        <w:t>]</w:t>
      </w:r>
      <w:r w:rsidR="009200E2">
        <w:t xml:space="preserve">), </w:t>
      </w:r>
      <w:r w:rsidR="00243D10">
        <w:t>although the internet data used to download</w:t>
      </w:r>
      <w:r w:rsidR="004D5C6E">
        <w:t xml:space="preserve"> those services is included</w:t>
      </w:r>
      <w:r w:rsidR="009200E2">
        <w:t>.</w:t>
      </w:r>
    </w:p>
    <w:p w:rsidR="00077134" w:rsidRPr="00077134" w:rsidRDefault="00077134" w:rsidP="00077134">
      <w:r>
        <w:t>Key points from the data</w:t>
      </w:r>
      <w:r w:rsidRPr="00077134">
        <w:t>:</w:t>
      </w:r>
    </w:p>
    <w:p w:rsidR="00077134" w:rsidRPr="00077134" w:rsidRDefault="00077134" w:rsidP="00077134">
      <w:pPr>
        <w:numPr>
          <w:ilvl w:val="0"/>
          <w:numId w:val="2"/>
        </w:numPr>
      </w:pPr>
      <w:r w:rsidRPr="00077134">
        <w:t>Telecommunications are a significant household expenditure and on average, households spend more on telecommunicat</w:t>
      </w:r>
      <w:r w:rsidR="00DE56C1">
        <w:t>ions than on energy</w:t>
      </w:r>
    </w:p>
    <w:p w:rsidR="00077134" w:rsidRPr="00077134" w:rsidRDefault="00077134" w:rsidP="00077134">
      <w:pPr>
        <w:numPr>
          <w:ilvl w:val="0"/>
          <w:numId w:val="2"/>
        </w:numPr>
      </w:pPr>
      <w:r w:rsidRPr="00077134">
        <w:t xml:space="preserve">Children are a key factor in </w:t>
      </w:r>
      <w:r w:rsidR="007030EF">
        <w:t xml:space="preserve">increasing </w:t>
      </w:r>
      <w:r w:rsidRPr="00077134">
        <w:t>telec</w:t>
      </w:r>
      <w:r w:rsidR="007030EF">
        <w:t>ommunications expenditure</w:t>
      </w:r>
    </w:p>
    <w:p w:rsidR="00077134" w:rsidRPr="00077134" w:rsidRDefault="00077134" w:rsidP="00077134">
      <w:pPr>
        <w:numPr>
          <w:ilvl w:val="0"/>
          <w:numId w:val="2"/>
        </w:numPr>
      </w:pPr>
      <w:r w:rsidRPr="00077134">
        <w:t>Telecommunications expenditure is significantly regressive</w:t>
      </w:r>
      <w:r w:rsidR="007030EF">
        <w:t>,</w:t>
      </w:r>
      <w:r w:rsidRPr="00077134">
        <w:t xml:space="preserve"> accounting for nearly three times the proportion of household disposable income for the lowest income quintile as for the highest quintile</w:t>
      </w:r>
    </w:p>
    <w:p w:rsidR="007030EF" w:rsidRPr="00077134" w:rsidRDefault="00D45E6A" w:rsidP="007030EF">
      <w:pPr>
        <w:numPr>
          <w:ilvl w:val="0"/>
          <w:numId w:val="2"/>
        </w:numPr>
      </w:pPr>
      <w:r>
        <w:t>Lone person households, pensioners and other social security recipients, and those renting (particularly from state housing authorities)</w:t>
      </w:r>
      <w:r w:rsidR="007030EF" w:rsidRPr="00077134">
        <w:t>:</w:t>
      </w:r>
    </w:p>
    <w:p w:rsidR="00982A94" w:rsidRDefault="00982A94" w:rsidP="007030EF">
      <w:pPr>
        <w:numPr>
          <w:ilvl w:val="1"/>
          <w:numId w:val="2"/>
        </w:numPr>
      </w:pPr>
      <w:r>
        <w:t>spend</w:t>
      </w:r>
      <w:r w:rsidRPr="00077134">
        <w:t xml:space="preserve"> proportionately more of their</w:t>
      </w:r>
      <w:r>
        <w:t xml:space="preserve"> income on telecommunications than other households, but</w:t>
      </w:r>
    </w:p>
    <w:p w:rsidR="007030EF" w:rsidRDefault="00D45E6A" w:rsidP="007030EF">
      <w:pPr>
        <w:numPr>
          <w:ilvl w:val="1"/>
          <w:numId w:val="2"/>
        </w:numPr>
      </w:pPr>
      <w:proofErr w:type="gramStart"/>
      <w:r>
        <w:t>spend</w:t>
      </w:r>
      <w:proofErr w:type="gramEnd"/>
      <w:r w:rsidR="007030EF" w:rsidRPr="00077134">
        <w:t xml:space="preserve"> significantly less on telecommunications - and </w:t>
      </w:r>
      <w:r>
        <w:t xml:space="preserve">are </w:t>
      </w:r>
      <w:r w:rsidR="007030EF" w:rsidRPr="00077134">
        <w:t xml:space="preserve">therefore likely </w:t>
      </w:r>
      <w:r>
        <w:t xml:space="preserve">to be </w:t>
      </w:r>
      <w:r w:rsidR="00982A94">
        <w:t>more digitally excluded.</w:t>
      </w:r>
    </w:p>
    <w:p w:rsidR="00077134" w:rsidRPr="005C0965" w:rsidRDefault="00077134" w:rsidP="002C4F90">
      <w:r w:rsidRPr="00077134">
        <w:t xml:space="preserve">The net result of massively increased usage but decreasing prices is that </w:t>
      </w:r>
      <w:r w:rsidR="00982A94">
        <w:t xml:space="preserve">for average </w:t>
      </w:r>
      <w:proofErr w:type="gramStart"/>
      <w:r w:rsidR="00982A94">
        <w:t>households</w:t>
      </w:r>
      <w:proofErr w:type="gramEnd"/>
      <w:r w:rsidR="00982A94">
        <w:t xml:space="preserve"> </w:t>
      </w:r>
      <w:r w:rsidRPr="00077134">
        <w:t>telecommunications expenditure has declined in real terms and as a proportion of household income in the last 6 years</w:t>
      </w:r>
      <w:r w:rsidR="00982A94">
        <w:t>. However</w:t>
      </w:r>
      <w:r w:rsidRPr="00077134">
        <w:t>, the same is not true for the lowest income</w:t>
      </w:r>
      <w:r>
        <w:t xml:space="preserve"> quintile households where </w:t>
      </w:r>
      <w:r w:rsidRPr="00077134">
        <w:t xml:space="preserve">telecommunications expenditure </w:t>
      </w:r>
      <w:r w:rsidR="00982A94">
        <w:t xml:space="preserve">has increased </w:t>
      </w:r>
      <w:r>
        <w:t>in real terms</w:t>
      </w:r>
      <w:r w:rsidR="000A4115">
        <w:t xml:space="preserve">, as has the </w:t>
      </w:r>
      <w:r w:rsidRPr="00077134">
        <w:t xml:space="preserve">telecommunications share of household </w:t>
      </w:r>
      <w:r w:rsidRPr="005C0965">
        <w:t>exp</w:t>
      </w:r>
      <w:r w:rsidR="00982A94" w:rsidRPr="005C0965">
        <w:t>enditure</w:t>
      </w:r>
      <w:r w:rsidRPr="005C0965">
        <w:t>.</w:t>
      </w:r>
    </w:p>
    <w:p w:rsidR="00AB6C07" w:rsidRPr="0081064D" w:rsidRDefault="00AB6C07">
      <w:pPr>
        <w:pStyle w:val="TOCHeading"/>
        <w:rPr>
          <w:rStyle w:val="Heading1Char"/>
          <w:b w:val="0"/>
        </w:rPr>
      </w:pPr>
      <w:bookmarkStart w:id="4" w:name="_Toc498421746"/>
      <w:r w:rsidRPr="0081064D">
        <w:rPr>
          <w:rStyle w:val="Heading1Char"/>
          <w:b w:val="0"/>
        </w:rPr>
        <w:lastRenderedPageBreak/>
        <w:t>Contents</w:t>
      </w:r>
      <w:bookmarkEnd w:id="4"/>
    </w:p>
    <w:p w:rsidR="000B7AA3" w:rsidRDefault="00AB6C07">
      <w:pPr>
        <w:pStyle w:val="TOC1"/>
        <w:tabs>
          <w:tab w:val="right" w:leader="dot" w:pos="901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98421745" w:history="1">
        <w:r w:rsidR="000B7AA3" w:rsidRPr="00096B68">
          <w:rPr>
            <w:rStyle w:val="Hyperlink"/>
            <w:noProof/>
          </w:rPr>
          <w:t>Executive Summary</w:t>
        </w:r>
        <w:r w:rsidR="000B7AA3">
          <w:rPr>
            <w:noProof/>
            <w:webHidden/>
          </w:rPr>
          <w:tab/>
        </w:r>
        <w:r w:rsidR="000B7AA3">
          <w:rPr>
            <w:noProof/>
            <w:webHidden/>
          </w:rPr>
          <w:fldChar w:fldCharType="begin"/>
        </w:r>
        <w:r w:rsidR="000B7AA3">
          <w:rPr>
            <w:noProof/>
            <w:webHidden/>
          </w:rPr>
          <w:instrText xml:space="preserve"> PAGEREF _Toc498421745 \h </w:instrText>
        </w:r>
        <w:r w:rsidR="000B7AA3">
          <w:rPr>
            <w:noProof/>
            <w:webHidden/>
          </w:rPr>
        </w:r>
        <w:r w:rsidR="000B7AA3">
          <w:rPr>
            <w:noProof/>
            <w:webHidden/>
          </w:rPr>
          <w:fldChar w:fldCharType="separate"/>
        </w:r>
        <w:r w:rsidR="00AF12ED">
          <w:rPr>
            <w:noProof/>
            <w:webHidden/>
          </w:rPr>
          <w:t>i</w:t>
        </w:r>
        <w:r w:rsidR="000B7AA3">
          <w:rPr>
            <w:noProof/>
            <w:webHidden/>
          </w:rPr>
          <w:fldChar w:fldCharType="end"/>
        </w:r>
      </w:hyperlink>
    </w:p>
    <w:p w:rsidR="000B7AA3" w:rsidRDefault="00AF12ED">
      <w:pPr>
        <w:pStyle w:val="TOC1"/>
        <w:tabs>
          <w:tab w:val="right" w:leader="dot" w:pos="9016"/>
        </w:tabs>
        <w:rPr>
          <w:rFonts w:asciiTheme="minorHAnsi" w:eastAsiaTheme="minorEastAsia" w:hAnsiTheme="minorHAnsi" w:cstheme="minorBidi"/>
          <w:noProof/>
          <w:szCs w:val="22"/>
        </w:rPr>
      </w:pPr>
      <w:hyperlink w:anchor="_Toc498421746" w:history="1">
        <w:r w:rsidR="000B7AA3" w:rsidRPr="00096B68">
          <w:rPr>
            <w:rStyle w:val="Hyperlink"/>
            <w:rFonts w:eastAsiaTheme="majorEastAsia"/>
            <w:bCs/>
            <w:noProof/>
          </w:rPr>
          <w:t>Contents</w:t>
        </w:r>
        <w:r w:rsidR="000B7AA3">
          <w:rPr>
            <w:noProof/>
            <w:webHidden/>
          </w:rPr>
          <w:tab/>
        </w:r>
        <w:r w:rsidR="000B7AA3">
          <w:rPr>
            <w:noProof/>
            <w:webHidden/>
          </w:rPr>
          <w:fldChar w:fldCharType="begin"/>
        </w:r>
        <w:r w:rsidR="000B7AA3">
          <w:rPr>
            <w:noProof/>
            <w:webHidden/>
          </w:rPr>
          <w:instrText xml:space="preserve"> PAGEREF _Toc498421746 \h </w:instrText>
        </w:r>
        <w:r w:rsidR="000B7AA3">
          <w:rPr>
            <w:noProof/>
            <w:webHidden/>
          </w:rPr>
        </w:r>
        <w:r w:rsidR="000B7AA3">
          <w:rPr>
            <w:noProof/>
            <w:webHidden/>
          </w:rPr>
          <w:fldChar w:fldCharType="separate"/>
        </w:r>
        <w:r>
          <w:rPr>
            <w:noProof/>
            <w:webHidden/>
          </w:rPr>
          <w:t>ii</w:t>
        </w:r>
        <w:r w:rsidR="000B7AA3">
          <w:rPr>
            <w:noProof/>
            <w:webHidden/>
          </w:rPr>
          <w:fldChar w:fldCharType="end"/>
        </w:r>
      </w:hyperlink>
    </w:p>
    <w:p w:rsidR="000B7AA3" w:rsidRDefault="00AF12ED">
      <w:pPr>
        <w:pStyle w:val="TOC1"/>
        <w:tabs>
          <w:tab w:val="right" w:leader="dot" w:pos="9016"/>
        </w:tabs>
        <w:rPr>
          <w:rFonts w:asciiTheme="minorHAnsi" w:eastAsiaTheme="minorEastAsia" w:hAnsiTheme="minorHAnsi" w:cstheme="minorBidi"/>
          <w:noProof/>
          <w:szCs w:val="22"/>
        </w:rPr>
      </w:pPr>
      <w:hyperlink w:anchor="_Toc498421747" w:history="1">
        <w:r w:rsidR="000B7AA3" w:rsidRPr="00096B68">
          <w:rPr>
            <w:rStyle w:val="Hyperlink"/>
            <w:noProof/>
          </w:rPr>
          <w:t>Figures and Tables</w:t>
        </w:r>
        <w:r w:rsidR="000B7AA3">
          <w:rPr>
            <w:noProof/>
            <w:webHidden/>
          </w:rPr>
          <w:tab/>
        </w:r>
        <w:r w:rsidR="000B7AA3">
          <w:rPr>
            <w:noProof/>
            <w:webHidden/>
          </w:rPr>
          <w:fldChar w:fldCharType="begin"/>
        </w:r>
        <w:r w:rsidR="000B7AA3">
          <w:rPr>
            <w:noProof/>
            <w:webHidden/>
          </w:rPr>
          <w:instrText xml:space="preserve"> PAGEREF _Toc498421747 \h </w:instrText>
        </w:r>
        <w:r w:rsidR="000B7AA3">
          <w:rPr>
            <w:noProof/>
            <w:webHidden/>
          </w:rPr>
        </w:r>
        <w:r w:rsidR="000B7AA3">
          <w:rPr>
            <w:noProof/>
            <w:webHidden/>
          </w:rPr>
          <w:fldChar w:fldCharType="separate"/>
        </w:r>
        <w:r>
          <w:rPr>
            <w:noProof/>
            <w:webHidden/>
          </w:rPr>
          <w:t>iii</w:t>
        </w:r>
        <w:r w:rsidR="000B7AA3">
          <w:rPr>
            <w:noProof/>
            <w:webHidden/>
          </w:rPr>
          <w:fldChar w:fldCharType="end"/>
        </w:r>
      </w:hyperlink>
    </w:p>
    <w:p w:rsidR="000B7AA3" w:rsidRDefault="00AF12ED">
      <w:pPr>
        <w:pStyle w:val="TOC1"/>
        <w:tabs>
          <w:tab w:val="right" w:leader="dot" w:pos="9016"/>
        </w:tabs>
        <w:rPr>
          <w:rFonts w:asciiTheme="minorHAnsi" w:eastAsiaTheme="minorEastAsia" w:hAnsiTheme="minorHAnsi" w:cstheme="minorBidi"/>
          <w:noProof/>
          <w:szCs w:val="22"/>
        </w:rPr>
      </w:pPr>
      <w:hyperlink w:anchor="_Toc498421748" w:history="1">
        <w:r w:rsidR="000B7AA3" w:rsidRPr="00096B68">
          <w:rPr>
            <w:rStyle w:val="Hyperlink"/>
            <w:noProof/>
          </w:rPr>
          <w:t>Summary Data</w:t>
        </w:r>
        <w:r w:rsidR="000B7AA3">
          <w:rPr>
            <w:noProof/>
            <w:webHidden/>
          </w:rPr>
          <w:tab/>
        </w:r>
        <w:r w:rsidR="000B7AA3">
          <w:rPr>
            <w:noProof/>
            <w:webHidden/>
          </w:rPr>
          <w:fldChar w:fldCharType="begin"/>
        </w:r>
        <w:r w:rsidR="000B7AA3">
          <w:rPr>
            <w:noProof/>
            <w:webHidden/>
          </w:rPr>
          <w:instrText xml:space="preserve"> PAGEREF _Toc498421748 \h </w:instrText>
        </w:r>
        <w:r w:rsidR="000B7AA3">
          <w:rPr>
            <w:noProof/>
            <w:webHidden/>
          </w:rPr>
        </w:r>
        <w:r w:rsidR="000B7AA3">
          <w:rPr>
            <w:noProof/>
            <w:webHidden/>
          </w:rPr>
          <w:fldChar w:fldCharType="separate"/>
        </w:r>
        <w:r>
          <w:rPr>
            <w:noProof/>
            <w:webHidden/>
          </w:rPr>
          <w:t>1</w:t>
        </w:r>
        <w:r w:rsidR="000B7AA3">
          <w:rPr>
            <w:noProof/>
            <w:webHidden/>
          </w:rPr>
          <w:fldChar w:fldCharType="end"/>
        </w:r>
      </w:hyperlink>
    </w:p>
    <w:p w:rsidR="000B7AA3" w:rsidRDefault="00AF12ED">
      <w:pPr>
        <w:pStyle w:val="TOC1"/>
        <w:tabs>
          <w:tab w:val="right" w:leader="dot" w:pos="9016"/>
        </w:tabs>
        <w:rPr>
          <w:rFonts w:asciiTheme="minorHAnsi" w:eastAsiaTheme="minorEastAsia" w:hAnsiTheme="minorHAnsi" w:cstheme="minorBidi"/>
          <w:noProof/>
          <w:szCs w:val="22"/>
        </w:rPr>
      </w:pPr>
      <w:hyperlink w:anchor="_Toc498421749" w:history="1">
        <w:r w:rsidR="000B7AA3" w:rsidRPr="00096B68">
          <w:rPr>
            <w:rStyle w:val="Hyperlink"/>
            <w:noProof/>
          </w:rPr>
          <w:t>Relative Importance of Telecommunications Expenditure</w:t>
        </w:r>
        <w:r w:rsidR="000B7AA3">
          <w:rPr>
            <w:noProof/>
            <w:webHidden/>
          </w:rPr>
          <w:tab/>
        </w:r>
        <w:r w:rsidR="000B7AA3">
          <w:rPr>
            <w:noProof/>
            <w:webHidden/>
          </w:rPr>
          <w:fldChar w:fldCharType="begin"/>
        </w:r>
        <w:r w:rsidR="000B7AA3">
          <w:rPr>
            <w:noProof/>
            <w:webHidden/>
          </w:rPr>
          <w:instrText xml:space="preserve"> PAGEREF _Toc498421749 \h </w:instrText>
        </w:r>
        <w:r w:rsidR="000B7AA3">
          <w:rPr>
            <w:noProof/>
            <w:webHidden/>
          </w:rPr>
        </w:r>
        <w:r w:rsidR="000B7AA3">
          <w:rPr>
            <w:noProof/>
            <w:webHidden/>
          </w:rPr>
          <w:fldChar w:fldCharType="separate"/>
        </w:r>
        <w:r>
          <w:rPr>
            <w:noProof/>
            <w:webHidden/>
          </w:rPr>
          <w:t>2</w:t>
        </w:r>
        <w:r w:rsidR="000B7AA3">
          <w:rPr>
            <w:noProof/>
            <w:webHidden/>
          </w:rPr>
          <w:fldChar w:fldCharType="end"/>
        </w:r>
      </w:hyperlink>
    </w:p>
    <w:p w:rsidR="000B7AA3" w:rsidRDefault="00AF12ED">
      <w:pPr>
        <w:pStyle w:val="TOC1"/>
        <w:tabs>
          <w:tab w:val="right" w:leader="dot" w:pos="9016"/>
        </w:tabs>
        <w:rPr>
          <w:rFonts w:asciiTheme="minorHAnsi" w:eastAsiaTheme="minorEastAsia" w:hAnsiTheme="minorHAnsi" w:cstheme="minorBidi"/>
          <w:noProof/>
          <w:szCs w:val="22"/>
        </w:rPr>
      </w:pPr>
      <w:hyperlink w:anchor="_Toc498421750" w:history="1">
        <w:r w:rsidR="000B7AA3" w:rsidRPr="00096B68">
          <w:rPr>
            <w:rStyle w:val="Hyperlink"/>
            <w:noProof/>
          </w:rPr>
          <w:t>Telecommunications Expenditure by Income</w:t>
        </w:r>
        <w:r w:rsidR="000B7AA3">
          <w:rPr>
            <w:noProof/>
            <w:webHidden/>
          </w:rPr>
          <w:tab/>
        </w:r>
        <w:r w:rsidR="000B7AA3">
          <w:rPr>
            <w:noProof/>
            <w:webHidden/>
          </w:rPr>
          <w:fldChar w:fldCharType="begin"/>
        </w:r>
        <w:r w:rsidR="000B7AA3">
          <w:rPr>
            <w:noProof/>
            <w:webHidden/>
          </w:rPr>
          <w:instrText xml:space="preserve"> PAGEREF _Toc498421750 \h </w:instrText>
        </w:r>
        <w:r w:rsidR="000B7AA3">
          <w:rPr>
            <w:noProof/>
            <w:webHidden/>
          </w:rPr>
        </w:r>
        <w:r w:rsidR="000B7AA3">
          <w:rPr>
            <w:noProof/>
            <w:webHidden/>
          </w:rPr>
          <w:fldChar w:fldCharType="separate"/>
        </w:r>
        <w:r>
          <w:rPr>
            <w:noProof/>
            <w:webHidden/>
          </w:rPr>
          <w:t>4</w:t>
        </w:r>
        <w:r w:rsidR="000B7AA3">
          <w:rPr>
            <w:noProof/>
            <w:webHidden/>
          </w:rPr>
          <w:fldChar w:fldCharType="end"/>
        </w:r>
      </w:hyperlink>
    </w:p>
    <w:p w:rsidR="000B7AA3" w:rsidRDefault="00AF12ED">
      <w:pPr>
        <w:pStyle w:val="TOC2"/>
        <w:tabs>
          <w:tab w:val="right" w:leader="dot" w:pos="9016"/>
        </w:tabs>
        <w:rPr>
          <w:rFonts w:asciiTheme="minorHAnsi" w:eastAsiaTheme="minorEastAsia" w:hAnsiTheme="minorHAnsi" w:cstheme="minorBidi"/>
          <w:noProof/>
          <w:szCs w:val="22"/>
        </w:rPr>
      </w:pPr>
      <w:hyperlink w:anchor="_Toc498421751" w:history="1">
        <w:r w:rsidR="000B7AA3" w:rsidRPr="00096B68">
          <w:rPr>
            <w:rStyle w:val="Hyperlink"/>
            <w:noProof/>
          </w:rPr>
          <w:t>Analysis by Income Quintile</w:t>
        </w:r>
        <w:r w:rsidR="000B7AA3">
          <w:rPr>
            <w:noProof/>
            <w:webHidden/>
          </w:rPr>
          <w:tab/>
        </w:r>
        <w:r w:rsidR="000B7AA3">
          <w:rPr>
            <w:noProof/>
            <w:webHidden/>
          </w:rPr>
          <w:fldChar w:fldCharType="begin"/>
        </w:r>
        <w:r w:rsidR="000B7AA3">
          <w:rPr>
            <w:noProof/>
            <w:webHidden/>
          </w:rPr>
          <w:instrText xml:space="preserve"> PAGEREF _Toc498421751 \h </w:instrText>
        </w:r>
        <w:r w:rsidR="000B7AA3">
          <w:rPr>
            <w:noProof/>
            <w:webHidden/>
          </w:rPr>
        </w:r>
        <w:r w:rsidR="000B7AA3">
          <w:rPr>
            <w:noProof/>
            <w:webHidden/>
          </w:rPr>
          <w:fldChar w:fldCharType="separate"/>
        </w:r>
        <w:r>
          <w:rPr>
            <w:noProof/>
            <w:webHidden/>
          </w:rPr>
          <w:t>4</w:t>
        </w:r>
        <w:r w:rsidR="000B7AA3">
          <w:rPr>
            <w:noProof/>
            <w:webHidden/>
          </w:rPr>
          <w:fldChar w:fldCharType="end"/>
        </w:r>
      </w:hyperlink>
    </w:p>
    <w:p w:rsidR="000B7AA3" w:rsidRDefault="00AF12ED">
      <w:pPr>
        <w:pStyle w:val="TOC2"/>
        <w:tabs>
          <w:tab w:val="right" w:leader="dot" w:pos="9016"/>
        </w:tabs>
        <w:rPr>
          <w:rFonts w:asciiTheme="minorHAnsi" w:eastAsiaTheme="minorEastAsia" w:hAnsiTheme="minorHAnsi" w:cstheme="minorBidi"/>
          <w:noProof/>
          <w:szCs w:val="22"/>
        </w:rPr>
      </w:pPr>
      <w:hyperlink w:anchor="_Toc498421752" w:history="1">
        <w:r w:rsidR="000B7AA3" w:rsidRPr="00096B68">
          <w:rPr>
            <w:rStyle w:val="Hyperlink"/>
            <w:noProof/>
          </w:rPr>
          <w:t>Income Source</w:t>
        </w:r>
        <w:r w:rsidR="000B7AA3">
          <w:rPr>
            <w:noProof/>
            <w:webHidden/>
          </w:rPr>
          <w:tab/>
        </w:r>
        <w:r w:rsidR="000B7AA3">
          <w:rPr>
            <w:noProof/>
            <w:webHidden/>
          </w:rPr>
          <w:fldChar w:fldCharType="begin"/>
        </w:r>
        <w:r w:rsidR="000B7AA3">
          <w:rPr>
            <w:noProof/>
            <w:webHidden/>
          </w:rPr>
          <w:instrText xml:space="preserve"> PAGEREF _Toc498421752 \h </w:instrText>
        </w:r>
        <w:r w:rsidR="000B7AA3">
          <w:rPr>
            <w:noProof/>
            <w:webHidden/>
          </w:rPr>
        </w:r>
        <w:r w:rsidR="000B7AA3">
          <w:rPr>
            <w:noProof/>
            <w:webHidden/>
          </w:rPr>
          <w:fldChar w:fldCharType="separate"/>
        </w:r>
        <w:r>
          <w:rPr>
            <w:noProof/>
            <w:webHidden/>
          </w:rPr>
          <w:t>5</w:t>
        </w:r>
        <w:r w:rsidR="000B7AA3">
          <w:rPr>
            <w:noProof/>
            <w:webHidden/>
          </w:rPr>
          <w:fldChar w:fldCharType="end"/>
        </w:r>
      </w:hyperlink>
    </w:p>
    <w:p w:rsidR="000B7AA3" w:rsidRDefault="00AF12ED">
      <w:pPr>
        <w:pStyle w:val="TOC1"/>
        <w:tabs>
          <w:tab w:val="right" w:leader="dot" w:pos="9016"/>
        </w:tabs>
        <w:rPr>
          <w:rFonts w:asciiTheme="minorHAnsi" w:eastAsiaTheme="minorEastAsia" w:hAnsiTheme="minorHAnsi" w:cstheme="minorBidi"/>
          <w:noProof/>
          <w:szCs w:val="22"/>
        </w:rPr>
      </w:pPr>
      <w:hyperlink w:anchor="_Toc498421753" w:history="1">
        <w:r w:rsidR="000B7AA3" w:rsidRPr="00096B68">
          <w:rPr>
            <w:rStyle w:val="Hyperlink"/>
            <w:noProof/>
          </w:rPr>
          <w:t>Geographic Differences in Telecommunications Expenditure</w:t>
        </w:r>
        <w:r w:rsidR="000B7AA3">
          <w:rPr>
            <w:noProof/>
            <w:webHidden/>
          </w:rPr>
          <w:tab/>
        </w:r>
        <w:r w:rsidR="000B7AA3">
          <w:rPr>
            <w:noProof/>
            <w:webHidden/>
          </w:rPr>
          <w:fldChar w:fldCharType="begin"/>
        </w:r>
        <w:r w:rsidR="000B7AA3">
          <w:rPr>
            <w:noProof/>
            <w:webHidden/>
          </w:rPr>
          <w:instrText xml:space="preserve"> PAGEREF _Toc498421753 \h </w:instrText>
        </w:r>
        <w:r w:rsidR="000B7AA3">
          <w:rPr>
            <w:noProof/>
            <w:webHidden/>
          </w:rPr>
        </w:r>
        <w:r w:rsidR="000B7AA3">
          <w:rPr>
            <w:noProof/>
            <w:webHidden/>
          </w:rPr>
          <w:fldChar w:fldCharType="separate"/>
        </w:r>
        <w:r>
          <w:rPr>
            <w:noProof/>
            <w:webHidden/>
          </w:rPr>
          <w:t>7</w:t>
        </w:r>
        <w:r w:rsidR="000B7AA3">
          <w:rPr>
            <w:noProof/>
            <w:webHidden/>
          </w:rPr>
          <w:fldChar w:fldCharType="end"/>
        </w:r>
      </w:hyperlink>
    </w:p>
    <w:p w:rsidR="000B7AA3" w:rsidRDefault="00AF12ED">
      <w:pPr>
        <w:pStyle w:val="TOC2"/>
        <w:tabs>
          <w:tab w:val="right" w:leader="dot" w:pos="9016"/>
        </w:tabs>
        <w:rPr>
          <w:rFonts w:asciiTheme="minorHAnsi" w:eastAsiaTheme="minorEastAsia" w:hAnsiTheme="minorHAnsi" w:cstheme="minorBidi"/>
          <w:noProof/>
          <w:szCs w:val="22"/>
        </w:rPr>
      </w:pPr>
      <w:hyperlink w:anchor="_Toc498421754" w:history="1">
        <w:r w:rsidR="000B7AA3" w:rsidRPr="00096B68">
          <w:rPr>
            <w:rStyle w:val="Hyperlink"/>
            <w:noProof/>
          </w:rPr>
          <w:t>State Comparisons</w:t>
        </w:r>
        <w:r w:rsidR="000B7AA3">
          <w:rPr>
            <w:noProof/>
            <w:webHidden/>
          </w:rPr>
          <w:tab/>
        </w:r>
        <w:r w:rsidR="000B7AA3">
          <w:rPr>
            <w:noProof/>
            <w:webHidden/>
          </w:rPr>
          <w:fldChar w:fldCharType="begin"/>
        </w:r>
        <w:r w:rsidR="000B7AA3">
          <w:rPr>
            <w:noProof/>
            <w:webHidden/>
          </w:rPr>
          <w:instrText xml:space="preserve"> PAGEREF _Toc498421754 \h </w:instrText>
        </w:r>
        <w:r w:rsidR="000B7AA3">
          <w:rPr>
            <w:noProof/>
            <w:webHidden/>
          </w:rPr>
        </w:r>
        <w:r w:rsidR="000B7AA3">
          <w:rPr>
            <w:noProof/>
            <w:webHidden/>
          </w:rPr>
          <w:fldChar w:fldCharType="separate"/>
        </w:r>
        <w:r>
          <w:rPr>
            <w:noProof/>
            <w:webHidden/>
          </w:rPr>
          <w:t>7</w:t>
        </w:r>
        <w:r w:rsidR="000B7AA3">
          <w:rPr>
            <w:noProof/>
            <w:webHidden/>
          </w:rPr>
          <w:fldChar w:fldCharType="end"/>
        </w:r>
      </w:hyperlink>
    </w:p>
    <w:p w:rsidR="000B7AA3" w:rsidRDefault="00AF12ED">
      <w:pPr>
        <w:pStyle w:val="TOC1"/>
        <w:tabs>
          <w:tab w:val="right" w:leader="dot" w:pos="9016"/>
        </w:tabs>
        <w:rPr>
          <w:rFonts w:asciiTheme="minorHAnsi" w:eastAsiaTheme="minorEastAsia" w:hAnsiTheme="minorHAnsi" w:cstheme="minorBidi"/>
          <w:noProof/>
          <w:szCs w:val="22"/>
        </w:rPr>
      </w:pPr>
      <w:hyperlink w:anchor="_Toc498421755" w:history="1">
        <w:r w:rsidR="000B7AA3" w:rsidRPr="00096B68">
          <w:rPr>
            <w:rStyle w:val="Hyperlink"/>
            <w:noProof/>
          </w:rPr>
          <w:t>Household Composition</w:t>
        </w:r>
        <w:r w:rsidR="000B7AA3">
          <w:rPr>
            <w:noProof/>
            <w:webHidden/>
          </w:rPr>
          <w:tab/>
        </w:r>
        <w:r w:rsidR="000B7AA3">
          <w:rPr>
            <w:noProof/>
            <w:webHidden/>
          </w:rPr>
          <w:fldChar w:fldCharType="begin"/>
        </w:r>
        <w:r w:rsidR="000B7AA3">
          <w:rPr>
            <w:noProof/>
            <w:webHidden/>
          </w:rPr>
          <w:instrText xml:space="preserve"> PAGEREF _Toc498421755 \h </w:instrText>
        </w:r>
        <w:r w:rsidR="000B7AA3">
          <w:rPr>
            <w:noProof/>
            <w:webHidden/>
          </w:rPr>
        </w:r>
        <w:r w:rsidR="000B7AA3">
          <w:rPr>
            <w:noProof/>
            <w:webHidden/>
          </w:rPr>
          <w:fldChar w:fldCharType="separate"/>
        </w:r>
        <w:r>
          <w:rPr>
            <w:noProof/>
            <w:webHidden/>
          </w:rPr>
          <w:t>8</w:t>
        </w:r>
        <w:r w:rsidR="000B7AA3">
          <w:rPr>
            <w:noProof/>
            <w:webHidden/>
          </w:rPr>
          <w:fldChar w:fldCharType="end"/>
        </w:r>
      </w:hyperlink>
    </w:p>
    <w:p w:rsidR="000B7AA3" w:rsidRDefault="00AF12ED">
      <w:pPr>
        <w:pStyle w:val="TOC1"/>
        <w:tabs>
          <w:tab w:val="right" w:leader="dot" w:pos="9016"/>
        </w:tabs>
        <w:rPr>
          <w:rFonts w:asciiTheme="minorHAnsi" w:eastAsiaTheme="minorEastAsia" w:hAnsiTheme="minorHAnsi" w:cstheme="minorBidi"/>
          <w:noProof/>
          <w:szCs w:val="22"/>
        </w:rPr>
      </w:pPr>
      <w:hyperlink w:anchor="_Toc498421756" w:history="1">
        <w:r w:rsidR="000B7AA3" w:rsidRPr="00096B68">
          <w:rPr>
            <w:rStyle w:val="Hyperlink"/>
            <w:noProof/>
          </w:rPr>
          <w:t>Housing Tenure</w:t>
        </w:r>
        <w:r w:rsidR="000B7AA3">
          <w:rPr>
            <w:noProof/>
            <w:webHidden/>
          </w:rPr>
          <w:tab/>
        </w:r>
        <w:r w:rsidR="000B7AA3">
          <w:rPr>
            <w:noProof/>
            <w:webHidden/>
          </w:rPr>
          <w:fldChar w:fldCharType="begin"/>
        </w:r>
        <w:r w:rsidR="000B7AA3">
          <w:rPr>
            <w:noProof/>
            <w:webHidden/>
          </w:rPr>
          <w:instrText xml:space="preserve"> PAGEREF _Toc498421756 \h </w:instrText>
        </w:r>
        <w:r w:rsidR="000B7AA3">
          <w:rPr>
            <w:noProof/>
            <w:webHidden/>
          </w:rPr>
        </w:r>
        <w:r w:rsidR="000B7AA3">
          <w:rPr>
            <w:noProof/>
            <w:webHidden/>
          </w:rPr>
          <w:fldChar w:fldCharType="separate"/>
        </w:r>
        <w:r>
          <w:rPr>
            <w:noProof/>
            <w:webHidden/>
          </w:rPr>
          <w:t>9</w:t>
        </w:r>
        <w:r w:rsidR="000B7AA3">
          <w:rPr>
            <w:noProof/>
            <w:webHidden/>
          </w:rPr>
          <w:fldChar w:fldCharType="end"/>
        </w:r>
      </w:hyperlink>
    </w:p>
    <w:p w:rsidR="000B7AA3" w:rsidRDefault="00AF12ED">
      <w:pPr>
        <w:pStyle w:val="TOC1"/>
        <w:tabs>
          <w:tab w:val="right" w:leader="dot" w:pos="9016"/>
        </w:tabs>
        <w:rPr>
          <w:rFonts w:asciiTheme="minorHAnsi" w:eastAsiaTheme="minorEastAsia" w:hAnsiTheme="minorHAnsi" w:cstheme="minorBidi"/>
          <w:noProof/>
          <w:szCs w:val="22"/>
        </w:rPr>
      </w:pPr>
      <w:hyperlink w:anchor="_Toc498421757" w:history="1">
        <w:r w:rsidR="000B7AA3" w:rsidRPr="00096B68">
          <w:rPr>
            <w:rStyle w:val="Hyperlink"/>
            <w:noProof/>
          </w:rPr>
          <w:t>Changes Over Time</w:t>
        </w:r>
        <w:r w:rsidR="000B7AA3">
          <w:rPr>
            <w:noProof/>
            <w:webHidden/>
          </w:rPr>
          <w:tab/>
        </w:r>
        <w:r w:rsidR="000B7AA3">
          <w:rPr>
            <w:noProof/>
            <w:webHidden/>
          </w:rPr>
          <w:fldChar w:fldCharType="begin"/>
        </w:r>
        <w:r w:rsidR="000B7AA3">
          <w:rPr>
            <w:noProof/>
            <w:webHidden/>
          </w:rPr>
          <w:instrText xml:space="preserve"> PAGEREF _Toc498421757 \h </w:instrText>
        </w:r>
        <w:r w:rsidR="000B7AA3">
          <w:rPr>
            <w:noProof/>
            <w:webHidden/>
          </w:rPr>
        </w:r>
        <w:r w:rsidR="000B7AA3">
          <w:rPr>
            <w:noProof/>
            <w:webHidden/>
          </w:rPr>
          <w:fldChar w:fldCharType="separate"/>
        </w:r>
        <w:r>
          <w:rPr>
            <w:noProof/>
            <w:webHidden/>
          </w:rPr>
          <w:t>10</w:t>
        </w:r>
        <w:r w:rsidR="000B7AA3">
          <w:rPr>
            <w:noProof/>
            <w:webHidden/>
          </w:rPr>
          <w:fldChar w:fldCharType="end"/>
        </w:r>
      </w:hyperlink>
    </w:p>
    <w:p w:rsidR="000B7AA3" w:rsidRDefault="00AF12ED">
      <w:pPr>
        <w:pStyle w:val="TOC1"/>
        <w:tabs>
          <w:tab w:val="right" w:leader="dot" w:pos="9016"/>
        </w:tabs>
        <w:rPr>
          <w:rFonts w:asciiTheme="minorHAnsi" w:eastAsiaTheme="minorEastAsia" w:hAnsiTheme="minorHAnsi" w:cstheme="minorBidi"/>
          <w:noProof/>
          <w:szCs w:val="22"/>
        </w:rPr>
      </w:pPr>
      <w:hyperlink w:anchor="_Toc498421758" w:history="1">
        <w:r w:rsidR="000B7AA3" w:rsidRPr="00096B68">
          <w:rPr>
            <w:rStyle w:val="Hyperlink"/>
            <w:noProof/>
          </w:rPr>
          <w:t>Further Research</w:t>
        </w:r>
        <w:r w:rsidR="000B7AA3">
          <w:rPr>
            <w:noProof/>
            <w:webHidden/>
          </w:rPr>
          <w:tab/>
        </w:r>
        <w:r w:rsidR="000B7AA3">
          <w:rPr>
            <w:noProof/>
            <w:webHidden/>
          </w:rPr>
          <w:fldChar w:fldCharType="begin"/>
        </w:r>
        <w:r w:rsidR="000B7AA3">
          <w:rPr>
            <w:noProof/>
            <w:webHidden/>
          </w:rPr>
          <w:instrText xml:space="preserve"> PAGEREF _Toc498421758 \h </w:instrText>
        </w:r>
        <w:r w:rsidR="000B7AA3">
          <w:rPr>
            <w:noProof/>
            <w:webHidden/>
          </w:rPr>
        </w:r>
        <w:r w:rsidR="000B7AA3">
          <w:rPr>
            <w:noProof/>
            <w:webHidden/>
          </w:rPr>
          <w:fldChar w:fldCharType="separate"/>
        </w:r>
        <w:r>
          <w:rPr>
            <w:noProof/>
            <w:webHidden/>
          </w:rPr>
          <w:t>12</w:t>
        </w:r>
        <w:r w:rsidR="000B7AA3">
          <w:rPr>
            <w:noProof/>
            <w:webHidden/>
          </w:rPr>
          <w:fldChar w:fldCharType="end"/>
        </w:r>
      </w:hyperlink>
    </w:p>
    <w:p w:rsidR="000B7AA3" w:rsidRDefault="00AF12ED">
      <w:pPr>
        <w:pStyle w:val="TOC1"/>
        <w:tabs>
          <w:tab w:val="right" w:leader="dot" w:pos="9016"/>
        </w:tabs>
        <w:rPr>
          <w:rFonts w:asciiTheme="minorHAnsi" w:eastAsiaTheme="minorEastAsia" w:hAnsiTheme="minorHAnsi" w:cstheme="minorBidi"/>
          <w:noProof/>
          <w:szCs w:val="22"/>
        </w:rPr>
      </w:pPr>
      <w:hyperlink w:anchor="_Toc498421759" w:history="1">
        <w:r w:rsidR="000B7AA3" w:rsidRPr="00096B68">
          <w:rPr>
            <w:rStyle w:val="Hyperlink"/>
            <w:rFonts w:eastAsia="Times New Roman" w:cs="Times New Roman"/>
            <w:noProof/>
            <w:spacing w:val="16"/>
            <w:kern w:val="32"/>
            <w:lang w:val="en-US" w:eastAsia="ja-JP"/>
          </w:rPr>
          <w:t>Author</w:t>
        </w:r>
        <w:r w:rsidR="000B7AA3">
          <w:rPr>
            <w:noProof/>
            <w:webHidden/>
          </w:rPr>
          <w:tab/>
        </w:r>
        <w:r w:rsidR="000B7AA3">
          <w:rPr>
            <w:noProof/>
            <w:webHidden/>
          </w:rPr>
          <w:fldChar w:fldCharType="begin"/>
        </w:r>
        <w:r w:rsidR="000B7AA3">
          <w:rPr>
            <w:noProof/>
            <w:webHidden/>
          </w:rPr>
          <w:instrText xml:space="preserve"> PAGEREF _Toc498421759 \h </w:instrText>
        </w:r>
        <w:r w:rsidR="000B7AA3">
          <w:rPr>
            <w:noProof/>
            <w:webHidden/>
          </w:rPr>
        </w:r>
        <w:r w:rsidR="000B7AA3">
          <w:rPr>
            <w:noProof/>
            <w:webHidden/>
          </w:rPr>
          <w:fldChar w:fldCharType="separate"/>
        </w:r>
        <w:r>
          <w:rPr>
            <w:noProof/>
            <w:webHidden/>
          </w:rPr>
          <w:t>13</w:t>
        </w:r>
        <w:r w:rsidR="000B7AA3">
          <w:rPr>
            <w:noProof/>
            <w:webHidden/>
          </w:rPr>
          <w:fldChar w:fldCharType="end"/>
        </w:r>
      </w:hyperlink>
    </w:p>
    <w:p w:rsidR="00575033" w:rsidRDefault="00AB6C07" w:rsidP="004025FB">
      <w:r>
        <w:rPr>
          <w:b/>
          <w:bCs/>
          <w:noProof/>
        </w:rPr>
        <w:fldChar w:fldCharType="end"/>
      </w:r>
    </w:p>
    <w:p w:rsidR="00575033" w:rsidRDefault="00575033" w:rsidP="00287592">
      <w:pPr>
        <w:pStyle w:val="Heading1"/>
      </w:pPr>
      <w:bookmarkStart w:id="5" w:name="_Toc498421747"/>
      <w:r>
        <w:lastRenderedPageBreak/>
        <w:t>Figures and Tables</w:t>
      </w:r>
      <w:bookmarkEnd w:id="5"/>
    </w:p>
    <w:p w:rsidR="00F10576" w:rsidRDefault="004025FB" w:rsidP="00F10576">
      <w:pPr>
        <w:pStyle w:val="TableofFigures"/>
        <w:tabs>
          <w:tab w:val="right" w:leader="dot" w:pos="9016"/>
        </w:tabs>
        <w:spacing w:after="100"/>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498421771" w:history="1">
        <w:r w:rsidR="00F10576" w:rsidRPr="000235BB">
          <w:rPr>
            <w:rStyle w:val="Hyperlink"/>
            <w:noProof/>
          </w:rPr>
          <w:t>Figure 1: Share of Household Goods and Services Expenditure</w:t>
        </w:r>
        <w:r w:rsidR="00F10576">
          <w:rPr>
            <w:noProof/>
            <w:webHidden/>
          </w:rPr>
          <w:tab/>
        </w:r>
        <w:r w:rsidR="00F10576">
          <w:rPr>
            <w:noProof/>
            <w:webHidden/>
          </w:rPr>
          <w:fldChar w:fldCharType="begin"/>
        </w:r>
        <w:r w:rsidR="00F10576">
          <w:rPr>
            <w:noProof/>
            <w:webHidden/>
          </w:rPr>
          <w:instrText xml:space="preserve"> PAGEREF _Toc498421771 \h </w:instrText>
        </w:r>
        <w:r w:rsidR="00F10576">
          <w:rPr>
            <w:noProof/>
            <w:webHidden/>
          </w:rPr>
        </w:r>
        <w:r w:rsidR="00F10576">
          <w:rPr>
            <w:noProof/>
            <w:webHidden/>
          </w:rPr>
          <w:fldChar w:fldCharType="separate"/>
        </w:r>
        <w:r w:rsidR="00AF12ED">
          <w:rPr>
            <w:noProof/>
            <w:webHidden/>
          </w:rPr>
          <w:t>2</w:t>
        </w:r>
        <w:r w:rsidR="00F10576">
          <w:rPr>
            <w:noProof/>
            <w:webHidden/>
          </w:rPr>
          <w:fldChar w:fldCharType="end"/>
        </w:r>
      </w:hyperlink>
    </w:p>
    <w:p w:rsidR="00F10576" w:rsidRDefault="00AF12ED" w:rsidP="00F10576">
      <w:pPr>
        <w:pStyle w:val="TableofFigures"/>
        <w:tabs>
          <w:tab w:val="right" w:leader="dot" w:pos="9016"/>
        </w:tabs>
        <w:spacing w:after="100"/>
        <w:rPr>
          <w:rFonts w:asciiTheme="minorHAnsi" w:eastAsiaTheme="minorEastAsia" w:hAnsiTheme="minorHAnsi" w:cstheme="minorBidi"/>
          <w:noProof/>
          <w:szCs w:val="22"/>
        </w:rPr>
      </w:pPr>
      <w:hyperlink w:anchor="_Toc498421772" w:history="1">
        <w:r w:rsidR="00F10576" w:rsidRPr="000235BB">
          <w:rPr>
            <w:rStyle w:val="Hyperlink"/>
            <w:noProof/>
          </w:rPr>
          <w:t>Figure 2: Comparative Expenditure on Utilities</w:t>
        </w:r>
        <w:r w:rsidR="00F10576">
          <w:rPr>
            <w:noProof/>
            <w:webHidden/>
          </w:rPr>
          <w:tab/>
        </w:r>
        <w:r w:rsidR="00F10576">
          <w:rPr>
            <w:noProof/>
            <w:webHidden/>
          </w:rPr>
          <w:fldChar w:fldCharType="begin"/>
        </w:r>
        <w:r w:rsidR="00F10576">
          <w:rPr>
            <w:noProof/>
            <w:webHidden/>
          </w:rPr>
          <w:instrText xml:space="preserve"> PAGEREF _Toc498421772 \h </w:instrText>
        </w:r>
        <w:r w:rsidR="00F10576">
          <w:rPr>
            <w:noProof/>
            <w:webHidden/>
          </w:rPr>
        </w:r>
        <w:r w:rsidR="00F10576">
          <w:rPr>
            <w:noProof/>
            <w:webHidden/>
          </w:rPr>
          <w:fldChar w:fldCharType="separate"/>
        </w:r>
        <w:r>
          <w:rPr>
            <w:noProof/>
            <w:webHidden/>
          </w:rPr>
          <w:t>3</w:t>
        </w:r>
        <w:r w:rsidR="00F10576">
          <w:rPr>
            <w:noProof/>
            <w:webHidden/>
          </w:rPr>
          <w:fldChar w:fldCharType="end"/>
        </w:r>
      </w:hyperlink>
    </w:p>
    <w:p w:rsidR="00F10576" w:rsidRDefault="00AF12ED" w:rsidP="00F10576">
      <w:pPr>
        <w:pStyle w:val="TableofFigures"/>
        <w:tabs>
          <w:tab w:val="right" w:leader="dot" w:pos="9016"/>
        </w:tabs>
        <w:spacing w:after="100"/>
        <w:rPr>
          <w:rFonts w:asciiTheme="minorHAnsi" w:eastAsiaTheme="minorEastAsia" w:hAnsiTheme="minorHAnsi" w:cstheme="minorBidi"/>
          <w:noProof/>
          <w:szCs w:val="22"/>
        </w:rPr>
      </w:pPr>
      <w:hyperlink w:anchor="_Toc498421773" w:history="1">
        <w:r w:rsidR="00F10576" w:rsidRPr="000235BB">
          <w:rPr>
            <w:rStyle w:val="Hyperlink"/>
            <w:noProof/>
          </w:rPr>
          <w:t>Figure 3: Telecommunications Expenditure by Income Quintile</w:t>
        </w:r>
        <w:r w:rsidR="00F10576">
          <w:rPr>
            <w:noProof/>
            <w:webHidden/>
          </w:rPr>
          <w:tab/>
        </w:r>
        <w:r w:rsidR="00F10576">
          <w:rPr>
            <w:noProof/>
            <w:webHidden/>
          </w:rPr>
          <w:fldChar w:fldCharType="begin"/>
        </w:r>
        <w:r w:rsidR="00F10576">
          <w:rPr>
            <w:noProof/>
            <w:webHidden/>
          </w:rPr>
          <w:instrText xml:space="preserve"> PAGEREF _Toc498421773 \h </w:instrText>
        </w:r>
        <w:r w:rsidR="00F10576">
          <w:rPr>
            <w:noProof/>
            <w:webHidden/>
          </w:rPr>
        </w:r>
        <w:r w:rsidR="00F10576">
          <w:rPr>
            <w:noProof/>
            <w:webHidden/>
          </w:rPr>
          <w:fldChar w:fldCharType="separate"/>
        </w:r>
        <w:r>
          <w:rPr>
            <w:noProof/>
            <w:webHidden/>
          </w:rPr>
          <w:t>4</w:t>
        </w:r>
        <w:r w:rsidR="00F10576">
          <w:rPr>
            <w:noProof/>
            <w:webHidden/>
          </w:rPr>
          <w:fldChar w:fldCharType="end"/>
        </w:r>
      </w:hyperlink>
    </w:p>
    <w:p w:rsidR="00F10576" w:rsidRDefault="00AF12ED" w:rsidP="00F10576">
      <w:pPr>
        <w:pStyle w:val="TableofFigures"/>
        <w:tabs>
          <w:tab w:val="right" w:leader="dot" w:pos="9016"/>
        </w:tabs>
        <w:spacing w:after="100"/>
        <w:rPr>
          <w:rFonts w:asciiTheme="minorHAnsi" w:eastAsiaTheme="minorEastAsia" w:hAnsiTheme="minorHAnsi" w:cstheme="minorBidi"/>
          <w:noProof/>
          <w:szCs w:val="22"/>
        </w:rPr>
      </w:pPr>
      <w:hyperlink w:anchor="_Toc498421774" w:history="1">
        <w:r w:rsidR="00F10576" w:rsidRPr="000235BB">
          <w:rPr>
            <w:rStyle w:val="Hyperlink"/>
            <w:noProof/>
          </w:rPr>
          <w:t>Figure 4: Share of Expenditure on Equipment and Current Charges</w:t>
        </w:r>
        <w:r w:rsidR="00F10576">
          <w:rPr>
            <w:noProof/>
            <w:webHidden/>
          </w:rPr>
          <w:tab/>
        </w:r>
        <w:r w:rsidR="00F10576">
          <w:rPr>
            <w:noProof/>
            <w:webHidden/>
          </w:rPr>
          <w:fldChar w:fldCharType="begin"/>
        </w:r>
        <w:r w:rsidR="00F10576">
          <w:rPr>
            <w:noProof/>
            <w:webHidden/>
          </w:rPr>
          <w:instrText xml:space="preserve"> PAGEREF _Toc498421774 \h </w:instrText>
        </w:r>
        <w:r w:rsidR="00F10576">
          <w:rPr>
            <w:noProof/>
            <w:webHidden/>
          </w:rPr>
        </w:r>
        <w:r w:rsidR="00F10576">
          <w:rPr>
            <w:noProof/>
            <w:webHidden/>
          </w:rPr>
          <w:fldChar w:fldCharType="separate"/>
        </w:r>
        <w:r>
          <w:rPr>
            <w:noProof/>
            <w:webHidden/>
          </w:rPr>
          <w:t>5</w:t>
        </w:r>
        <w:r w:rsidR="00F10576">
          <w:rPr>
            <w:noProof/>
            <w:webHidden/>
          </w:rPr>
          <w:fldChar w:fldCharType="end"/>
        </w:r>
      </w:hyperlink>
    </w:p>
    <w:p w:rsidR="00F10576" w:rsidRDefault="00AF12ED" w:rsidP="00F10576">
      <w:pPr>
        <w:pStyle w:val="TableofFigures"/>
        <w:tabs>
          <w:tab w:val="right" w:leader="dot" w:pos="9016"/>
        </w:tabs>
        <w:spacing w:after="100"/>
        <w:rPr>
          <w:rFonts w:asciiTheme="minorHAnsi" w:eastAsiaTheme="minorEastAsia" w:hAnsiTheme="minorHAnsi" w:cstheme="minorBidi"/>
          <w:noProof/>
          <w:szCs w:val="22"/>
        </w:rPr>
      </w:pPr>
      <w:hyperlink w:anchor="_Toc498421775" w:history="1">
        <w:r w:rsidR="00F10576" w:rsidRPr="000235BB">
          <w:rPr>
            <w:rStyle w:val="Hyperlink"/>
            <w:noProof/>
          </w:rPr>
          <w:t>Figure 5: Equipment and Current Telecommunication Charges by Main Source of Income</w:t>
        </w:r>
        <w:r w:rsidR="00F10576">
          <w:rPr>
            <w:noProof/>
            <w:webHidden/>
          </w:rPr>
          <w:tab/>
        </w:r>
        <w:r w:rsidR="00F10576">
          <w:rPr>
            <w:noProof/>
            <w:webHidden/>
          </w:rPr>
          <w:fldChar w:fldCharType="begin"/>
        </w:r>
        <w:r w:rsidR="00F10576">
          <w:rPr>
            <w:noProof/>
            <w:webHidden/>
          </w:rPr>
          <w:instrText xml:space="preserve"> PAGEREF _Toc498421775 \h </w:instrText>
        </w:r>
        <w:r w:rsidR="00F10576">
          <w:rPr>
            <w:noProof/>
            <w:webHidden/>
          </w:rPr>
        </w:r>
        <w:r w:rsidR="00F10576">
          <w:rPr>
            <w:noProof/>
            <w:webHidden/>
          </w:rPr>
          <w:fldChar w:fldCharType="separate"/>
        </w:r>
        <w:r>
          <w:rPr>
            <w:noProof/>
            <w:webHidden/>
          </w:rPr>
          <w:t>6</w:t>
        </w:r>
        <w:r w:rsidR="00F10576">
          <w:rPr>
            <w:noProof/>
            <w:webHidden/>
          </w:rPr>
          <w:fldChar w:fldCharType="end"/>
        </w:r>
      </w:hyperlink>
    </w:p>
    <w:p w:rsidR="00F10576" w:rsidRDefault="00AF12ED" w:rsidP="00F10576">
      <w:pPr>
        <w:pStyle w:val="TableofFigures"/>
        <w:tabs>
          <w:tab w:val="right" w:leader="dot" w:pos="9016"/>
        </w:tabs>
        <w:spacing w:after="100"/>
        <w:rPr>
          <w:rFonts w:asciiTheme="minorHAnsi" w:eastAsiaTheme="minorEastAsia" w:hAnsiTheme="minorHAnsi" w:cstheme="minorBidi"/>
          <w:noProof/>
          <w:szCs w:val="22"/>
        </w:rPr>
      </w:pPr>
      <w:hyperlink w:anchor="_Toc498421776" w:history="1">
        <w:r w:rsidR="00F10576" w:rsidRPr="000235BB">
          <w:rPr>
            <w:rStyle w:val="Hyperlink"/>
            <w:noProof/>
          </w:rPr>
          <w:t>Figure 6: Age and Telecommunications Expenditure</w:t>
        </w:r>
        <w:r w:rsidR="00F10576">
          <w:rPr>
            <w:noProof/>
            <w:webHidden/>
          </w:rPr>
          <w:tab/>
        </w:r>
        <w:r w:rsidR="00F10576">
          <w:rPr>
            <w:noProof/>
            <w:webHidden/>
          </w:rPr>
          <w:fldChar w:fldCharType="begin"/>
        </w:r>
        <w:r w:rsidR="00F10576">
          <w:rPr>
            <w:noProof/>
            <w:webHidden/>
          </w:rPr>
          <w:instrText xml:space="preserve"> PAGEREF _Toc498421776 \h </w:instrText>
        </w:r>
        <w:r w:rsidR="00F10576">
          <w:rPr>
            <w:noProof/>
            <w:webHidden/>
          </w:rPr>
        </w:r>
        <w:r w:rsidR="00F10576">
          <w:rPr>
            <w:noProof/>
            <w:webHidden/>
          </w:rPr>
          <w:fldChar w:fldCharType="separate"/>
        </w:r>
        <w:r>
          <w:rPr>
            <w:noProof/>
            <w:webHidden/>
          </w:rPr>
          <w:t>8</w:t>
        </w:r>
        <w:r w:rsidR="00F10576">
          <w:rPr>
            <w:noProof/>
            <w:webHidden/>
          </w:rPr>
          <w:fldChar w:fldCharType="end"/>
        </w:r>
      </w:hyperlink>
    </w:p>
    <w:p w:rsidR="00F10576" w:rsidRDefault="00AF12ED" w:rsidP="00F10576">
      <w:pPr>
        <w:pStyle w:val="TableofFigures"/>
        <w:tabs>
          <w:tab w:val="right" w:leader="dot" w:pos="9016"/>
        </w:tabs>
        <w:spacing w:after="100"/>
        <w:rPr>
          <w:rFonts w:asciiTheme="minorHAnsi" w:eastAsiaTheme="minorEastAsia" w:hAnsiTheme="minorHAnsi" w:cstheme="minorBidi"/>
          <w:noProof/>
          <w:szCs w:val="22"/>
        </w:rPr>
      </w:pPr>
      <w:hyperlink w:anchor="_Toc498421777" w:history="1">
        <w:r w:rsidR="00F10576" w:rsidRPr="000235BB">
          <w:rPr>
            <w:rStyle w:val="Hyperlink"/>
            <w:noProof/>
          </w:rPr>
          <w:t>Figure 7: Share of Telecommunications Expenditure on Equipment and Charges</w:t>
        </w:r>
        <w:r w:rsidR="00F10576">
          <w:rPr>
            <w:noProof/>
            <w:webHidden/>
          </w:rPr>
          <w:tab/>
        </w:r>
        <w:r w:rsidR="00F10576">
          <w:rPr>
            <w:noProof/>
            <w:webHidden/>
          </w:rPr>
          <w:fldChar w:fldCharType="begin"/>
        </w:r>
        <w:r w:rsidR="00F10576">
          <w:rPr>
            <w:noProof/>
            <w:webHidden/>
          </w:rPr>
          <w:instrText xml:space="preserve"> PAGEREF _Toc498421777 \h </w:instrText>
        </w:r>
        <w:r w:rsidR="00F10576">
          <w:rPr>
            <w:noProof/>
            <w:webHidden/>
          </w:rPr>
        </w:r>
        <w:r w:rsidR="00F10576">
          <w:rPr>
            <w:noProof/>
            <w:webHidden/>
          </w:rPr>
          <w:fldChar w:fldCharType="separate"/>
        </w:r>
        <w:r>
          <w:rPr>
            <w:noProof/>
            <w:webHidden/>
          </w:rPr>
          <w:t>9</w:t>
        </w:r>
        <w:r w:rsidR="00F10576">
          <w:rPr>
            <w:noProof/>
            <w:webHidden/>
          </w:rPr>
          <w:fldChar w:fldCharType="end"/>
        </w:r>
      </w:hyperlink>
    </w:p>
    <w:p w:rsidR="00F10576" w:rsidRDefault="00AF12ED" w:rsidP="00F10576">
      <w:pPr>
        <w:pStyle w:val="TableofFigures"/>
        <w:tabs>
          <w:tab w:val="right" w:leader="dot" w:pos="9016"/>
        </w:tabs>
        <w:spacing w:after="100"/>
        <w:rPr>
          <w:rFonts w:asciiTheme="minorHAnsi" w:eastAsiaTheme="minorEastAsia" w:hAnsiTheme="minorHAnsi" w:cstheme="minorBidi"/>
          <w:noProof/>
          <w:szCs w:val="22"/>
        </w:rPr>
      </w:pPr>
      <w:hyperlink w:anchor="_Toc498421778" w:history="1">
        <w:r w:rsidR="00F10576" w:rsidRPr="000235BB">
          <w:rPr>
            <w:rStyle w:val="Hyperlink"/>
            <w:noProof/>
          </w:rPr>
          <w:t>Figure 8: Real Value of Telecommunications Expenditure 2003-2016</w:t>
        </w:r>
        <w:r w:rsidR="00F10576">
          <w:rPr>
            <w:noProof/>
            <w:webHidden/>
          </w:rPr>
          <w:tab/>
        </w:r>
        <w:r w:rsidR="00F10576">
          <w:rPr>
            <w:noProof/>
            <w:webHidden/>
          </w:rPr>
          <w:fldChar w:fldCharType="begin"/>
        </w:r>
        <w:r w:rsidR="00F10576">
          <w:rPr>
            <w:noProof/>
            <w:webHidden/>
          </w:rPr>
          <w:instrText xml:space="preserve"> PAGEREF _Toc498421778 \h </w:instrText>
        </w:r>
        <w:r w:rsidR="00F10576">
          <w:rPr>
            <w:noProof/>
            <w:webHidden/>
          </w:rPr>
        </w:r>
        <w:r w:rsidR="00F10576">
          <w:rPr>
            <w:noProof/>
            <w:webHidden/>
          </w:rPr>
          <w:fldChar w:fldCharType="separate"/>
        </w:r>
        <w:r>
          <w:rPr>
            <w:noProof/>
            <w:webHidden/>
          </w:rPr>
          <w:t>10</w:t>
        </w:r>
        <w:r w:rsidR="00F10576">
          <w:rPr>
            <w:noProof/>
            <w:webHidden/>
          </w:rPr>
          <w:fldChar w:fldCharType="end"/>
        </w:r>
      </w:hyperlink>
    </w:p>
    <w:p w:rsidR="00F10576" w:rsidRDefault="00AF12ED" w:rsidP="00F10576">
      <w:pPr>
        <w:pStyle w:val="TableofFigures"/>
        <w:tabs>
          <w:tab w:val="right" w:leader="dot" w:pos="9016"/>
        </w:tabs>
        <w:spacing w:after="100"/>
        <w:rPr>
          <w:rFonts w:asciiTheme="minorHAnsi" w:eastAsiaTheme="minorEastAsia" w:hAnsiTheme="minorHAnsi" w:cstheme="minorBidi"/>
          <w:noProof/>
          <w:szCs w:val="22"/>
        </w:rPr>
      </w:pPr>
      <w:hyperlink w:anchor="_Toc498421779" w:history="1">
        <w:r w:rsidR="00F10576" w:rsidRPr="000235BB">
          <w:rPr>
            <w:rStyle w:val="Hyperlink"/>
            <w:noProof/>
          </w:rPr>
          <w:t>Figure 9: Telecommunications as Share of Household Expenditure, 2003-16</w:t>
        </w:r>
        <w:r w:rsidR="00F10576">
          <w:rPr>
            <w:noProof/>
            <w:webHidden/>
          </w:rPr>
          <w:tab/>
        </w:r>
        <w:r w:rsidR="00F10576">
          <w:rPr>
            <w:noProof/>
            <w:webHidden/>
          </w:rPr>
          <w:fldChar w:fldCharType="begin"/>
        </w:r>
        <w:r w:rsidR="00F10576">
          <w:rPr>
            <w:noProof/>
            <w:webHidden/>
          </w:rPr>
          <w:instrText xml:space="preserve"> PAGEREF _Toc498421779 \h </w:instrText>
        </w:r>
        <w:r w:rsidR="00F10576">
          <w:rPr>
            <w:noProof/>
            <w:webHidden/>
          </w:rPr>
        </w:r>
        <w:r w:rsidR="00F10576">
          <w:rPr>
            <w:noProof/>
            <w:webHidden/>
          </w:rPr>
          <w:fldChar w:fldCharType="separate"/>
        </w:r>
        <w:r>
          <w:rPr>
            <w:noProof/>
            <w:webHidden/>
          </w:rPr>
          <w:t>11</w:t>
        </w:r>
        <w:r w:rsidR="00F10576">
          <w:rPr>
            <w:noProof/>
            <w:webHidden/>
          </w:rPr>
          <w:fldChar w:fldCharType="end"/>
        </w:r>
      </w:hyperlink>
    </w:p>
    <w:p w:rsidR="004025FB" w:rsidRDefault="004025FB" w:rsidP="00F10576">
      <w:pPr>
        <w:spacing w:after="100"/>
      </w:pPr>
      <w:r>
        <w:fldChar w:fldCharType="end"/>
      </w:r>
    </w:p>
    <w:p w:rsidR="00F10576" w:rsidRDefault="004025FB" w:rsidP="00F10576">
      <w:pPr>
        <w:pStyle w:val="TableofFigures"/>
        <w:tabs>
          <w:tab w:val="right" w:leader="dot" w:pos="9016"/>
        </w:tabs>
        <w:spacing w:after="100"/>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498421780" w:history="1">
        <w:r w:rsidR="00F10576" w:rsidRPr="001D54D6">
          <w:rPr>
            <w:rStyle w:val="Hyperlink"/>
            <w:noProof/>
          </w:rPr>
          <w:t>Table 1: Average Weekly Household Telecommunications Expenditure, 2015-16</w:t>
        </w:r>
        <w:r w:rsidR="00F10576">
          <w:rPr>
            <w:noProof/>
            <w:webHidden/>
          </w:rPr>
          <w:tab/>
        </w:r>
        <w:r w:rsidR="00F10576">
          <w:rPr>
            <w:noProof/>
            <w:webHidden/>
          </w:rPr>
          <w:fldChar w:fldCharType="begin"/>
        </w:r>
        <w:r w:rsidR="00F10576">
          <w:rPr>
            <w:noProof/>
            <w:webHidden/>
          </w:rPr>
          <w:instrText xml:space="preserve"> PAGEREF _Toc498421780 \h </w:instrText>
        </w:r>
        <w:r w:rsidR="00F10576">
          <w:rPr>
            <w:noProof/>
            <w:webHidden/>
          </w:rPr>
        </w:r>
        <w:r w:rsidR="00F10576">
          <w:rPr>
            <w:noProof/>
            <w:webHidden/>
          </w:rPr>
          <w:fldChar w:fldCharType="separate"/>
        </w:r>
        <w:r w:rsidR="00AF12ED">
          <w:rPr>
            <w:noProof/>
            <w:webHidden/>
          </w:rPr>
          <w:t>1</w:t>
        </w:r>
        <w:r w:rsidR="00F10576">
          <w:rPr>
            <w:noProof/>
            <w:webHidden/>
          </w:rPr>
          <w:fldChar w:fldCharType="end"/>
        </w:r>
      </w:hyperlink>
    </w:p>
    <w:p w:rsidR="00F10576" w:rsidRDefault="00AF12ED" w:rsidP="00F10576">
      <w:pPr>
        <w:pStyle w:val="TableofFigures"/>
        <w:tabs>
          <w:tab w:val="right" w:leader="dot" w:pos="9016"/>
        </w:tabs>
        <w:spacing w:after="100"/>
        <w:rPr>
          <w:rFonts w:asciiTheme="minorHAnsi" w:eastAsiaTheme="minorEastAsia" w:hAnsiTheme="minorHAnsi" w:cstheme="minorBidi"/>
          <w:noProof/>
          <w:szCs w:val="22"/>
        </w:rPr>
      </w:pPr>
      <w:hyperlink w:anchor="_Toc498421781" w:history="1">
        <w:r w:rsidR="00F10576" w:rsidRPr="001D54D6">
          <w:rPr>
            <w:rStyle w:val="Hyperlink"/>
            <w:noProof/>
          </w:rPr>
          <w:t>Table 2: Weekly Telecommunications Expenditure by Gross Income Quintile</w:t>
        </w:r>
        <w:r w:rsidR="00F10576">
          <w:rPr>
            <w:noProof/>
            <w:webHidden/>
          </w:rPr>
          <w:tab/>
        </w:r>
        <w:r w:rsidR="00F10576">
          <w:rPr>
            <w:noProof/>
            <w:webHidden/>
          </w:rPr>
          <w:fldChar w:fldCharType="begin"/>
        </w:r>
        <w:r w:rsidR="00F10576">
          <w:rPr>
            <w:noProof/>
            <w:webHidden/>
          </w:rPr>
          <w:instrText xml:space="preserve"> PAGEREF _Toc498421781 \h </w:instrText>
        </w:r>
        <w:r w:rsidR="00F10576">
          <w:rPr>
            <w:noProof/>
            <w:webHidden/>
          </w:rPr>
        </w:r>
        <w:r w:rsidR="00F10576">
          <w:rPr>
            <w:noProof/>
            <w:webHidden/>
          </w:rPr>
          <w:fldChar w:fldCharType="separate"/>
        </w:r>
        <w:r>
          <w:rPr>
            <w:noProof/>
            <w:webHidden/>
          </w:rPr>
          <w:t>4</w:t>
        </w:r>
        <w:r w:rsidR="00F10576">
          <w:rPr>
            <w:noProof/>
            <w:webHidden/>
          </w:rPr>
          <w:fldChar w:fldCharType="end"/>
        </w:r>
      </w:hyperlink>
    </w:p>
    <w:p w:rsidR="00F10576" w:rsidRDefault="00AF12ED" w:rsidP="00F10576">
      <w:pPr>
        <w:pStyle w:val="TableofFigures"/>
        <w:tabs>
          <w:tab w:val="right" w:leader="dot" w:pos="9016"/>
        </w:tabs>
        <w:spacing w:after="100"/>
        <w:rPr>
          <w:rFonts w:asciiTheme="minorHAnsi" w:eastAsiaTheme="minorEastAsia" w:hAnsiTheme="minorHAnsi" w:cstheme="minorBidi"/>
          <w:noProof/>
          <w:szCs w:val="22"/>
        </w:rPr>
      </w:pPr>
      <w:hyperlink w:anchor="_Toc498421782" w:history="1">
        <w:r w:rsidR="00F10576" w:rsidRPr="001D54D6">
          <w:rPr>
            <w:rStyle w:val="Hyperlink"/>
            <w:noProof/>
          </w:rPr>
          <w:t>Table 3: Weekly Telecommunications Expenditure by Main Source of Income</w:t>
        </w:r>
        <w:r w:rsidR="00F10576">
          <w:rPr>
            <w:noProof/>
            <w:webHidden/>
          </w:rPr>
          <w:tab/>
        </w:r>
        <w:r w:rsidR="00F10576">
          <w:rPr>
            <w:noProof/>
            <w:webHidden/>
          </w:rPr>
          <w:fldChar w:fldCharType="begin"/>
        </w:r>
        <w:r w:rsidR="00F10576">
          <w:rPr>
            <w:noProof/>
            <w:webHidden/>
          </w:rPr>
          <w:instrText xml:space="preserve"> PAGEREF _Toc498421782 \h </w:instrText>
        </w:r>
        <w:r w:rsidR="00F10576">
          <w:rPr>
            <w:noProof/>
            <w:webHidden/>
          </w:rPr>
        </w:r>
        <w:r w:rsidR="00F10576">
          <w:rPr>
            <w:noProof/>
            <w:webHidden/>
          </w:rPr>
          <w:fldChar w:fldCharType="separate"/>
        </w:r>
        <w:r>
          <w:rPr>
            <w:noProof/>
            <w:webHidden/>
          </w:rPr>
          <w:t>6</w:t>
        </w:r>
        <w:r w:rsidR="00F10576">
          <w:rPr>
            <w:noProof/>
            <w:webHidden/>
          </w:rPr>
          <w:fldChar w:fldCharType="end"/>
        </w:r>
      </w:hyperlink>
    </w:p>
    <w:p w:rsidR="00F10576" w:rsidRDefault="00AF12ED" w:rsidP="00F10576">
      <w:pPr>
        <w:pStyle w:val="TableofFigures"/>
        <w:tabs>
          <w:tab w:val="right" w:leader="dot" w:pos="9016"/>
        </w:tabs>
        <w:spacing w:after="100"/>
        <w:rPr>
          <w:rFonts w:asciiTheme="minorHAnsi" w:eastAsiaTheme="minorEastAsia" w:hAnsiTheme="minorHAnsi" w:cstheme="minorBidi"/>
          <w:noProof/>
          <w:szCs w:val="22"/>
        </w:rPr>
      </w:pPr>
      <w:hyperlink w:anchor="_Toc498421783" w:history="1">
        <w:r w:rsidR="00F10576" w:rsidRPr="001D54D6">
          <w:rPr>
            <w:rStyle w:val="Hyperlink"/>
            <w:noProof/>
          </w:rPr>
          <w:t>Table 4: Weekly Telecommunications Expenditure by State/Territory</w:t>
        </w:r>
        <w:r w:rsidR="00F10576">
          <w:rPr>
            <w:noProof/>
            <w:webHidden/>
          </w:rPr>
          <w:tab/>
        </w:r>
        <w:r w:rsidR="00F10576">
          <w:rPr>
            <w:noProof/>
            <w:webHidden/>
          </w:rPr>
          <w:fldChar w:fldCharType="begin"/>
        </w:r>
        <w:r w:rsidR="00F10576">
          <w:rPr>
            <w:noProof/>
            <w:webHidden/>
          </w:rPr>
          <w:instrText xml:space="preserve"> PAGEREF _Toc498421783 \h </w:instrText>
        </w:r>
        <w:r w:rsidR="00F10576">
          <w:rPr>
            <w:noProof/>
            <w:webHidden/>
          </w:rPr>
        </w:r>
        <w:r w:rsidR="00F10576">
          <w:rPr>
            <w:noProof/>
            <w:webHidden/>
          </w:rPr>
          <w:fldChar w:fldCharType="separate"/>
        </w:r>
        <w:r>
          <w:rPr>
            <w:noProof/>
            <w:webHidden/>
          </w:rPr>
          <w:t>7</w:t>
        </w:r>
        <w:r w:rsidR="00F10576">
          <w:rPr>
            <w:noProof/>
            <w:webHidden/>
          </w:rPr>
          <w:fldChar w:fldCharType="end"/>
        </w:r>
      </w:hyperlink>
    </w:p>
    <w:p w:rsidR="00F10576" w:rsidRDefault="00AF12ED" w:rsidP="00F10576">
      <w:pPr>
        <w:pStyle w:val="TableofFigures"/>
        <w:tabs>
          <w:tab w:val="right" w:leader="dot" w:pos="9016"/>
        </w:tabs>
        <w:spacing w:after="100"/>
        <w:rPr>
          <w:rFonts w:asciiTheme="minorHAnsi" w:eastAsiaTheme="minorEastAsia" w:hAnsiTheme="minorHAnsi" w:cstheme="minorBidi"/>
          <w:noProof/>
          <w:szCs w:val="22"/>
        </w:rPr>
      </w:pPr>
      <w:hyperlink w:anchor="_Toc498421784" w:history="1">
        <w:r w:rsidR="00F10576" w:rsidRPr="001D54D6">
          <w:rPr>
            <w:rStyle w:val="Hyperlink"/>
            <w:noProof/>
          </w:rPr>
          <w:t>Table 5: Weekly Telecommunications Expenditure by Household Composition</w:t>
        </w:r>
        <w:r w:rsidR="00F10576">
          <w:rPr>
            <w:noProof/>
            <w:webHidden/>
          </w:rPr>
          <w:tab/>
        </w:r>
        <w:r w:rsidR="00F10576">
          <w:rPr>
            <w:noProof/>
            <w:webHidden/>
          </w:rPr>
          <w:fldChar w:fldCharType="begin"/>
        </w:r>
        <w:r w:rsidR="00F10576">
          <w:rPr>
            <w:noProof/>
            <w:webHidden/>
          </w:rPr>
          <w:instrText xml:space="preserve"> PAGEREF _Toc498421784 \h </w:instrText>
        </w:r>
        <w:r w:rsidR="00F10576">
          <w:rPr>
            <w:noProof/>
            <w:webHidden/>
          </w:rPr>
        </w:r>
        <w:r w:rsidR="00F10576">
          <w:rPr>
            <w:noProof/>
            <w:webHidden/>
          </w:rPr>
          <w:fldChar w:fldCharType="separate"/>
        </w:r>
        <w:r>
          <w:rPr>
            <w:noProof/>
            <w:webHidden/>
          </w:rPr>
          <w:t>8</w:t>
        </w:r>
        <w:r w:rsidR="00F10576">
          <w:rPr>
            <w:noProof/>
            <w:webHidden/>
          </w:rPr>
          <w:fldChar w:fldCharType="end"/>
        </w:r>
      </w:hyperlink>
    </w:p>
    <w:p w:rsidR="00F10576" w:rsidRDefault="00AF12ED" w:rsidP="00F10576">
      <w:pPr>
        <w:pStyle w:val="TableofFigures"/>
        <w:tabs>
          <w:tab w:val="right" w:leader="dot" w:pos="9016"/>
        </w:tabs>
        <w:spacing w:after="100"/>
        <w:rPr>
          <w:rFonts w:asciiTheme="minorHAnsi" w:eastAsiaTheme="minorEastAsia" w:hAnsiTheme="minorHAnsi" w:cstheme="minorBidi"/>
          <w:noProof/>
          <w:szCs w:val="22"/>
        </w:rPr>
      </w:pPr>
      <w:hyperlink w:anchor="_Toc498421785" w:history="1">
        <w:r w:rsidR="00F10576" w:rsidRPr="001D54D6">
          <w:rPr>
            <w:rStyle w:val="Hyperlink"/>
            <w:noProof/>
          </w:rPr>
          <w:t>Table 6: Weekly Telecommunications Expenditure by Housing Tenure</w:t>
        </w:r>
        <w:r w:rsidR="00F10576">
          <w:rPr>
            <w:noProof/>
            <w:webHidden/>
          </w:rPr>
          <w:tab/>
        </w:r>
        <w:r w:rsidR="00F10576">
          <w:rPr>
            <w:noProof/>
            <w:webHidden/>
          </w:rPr>
          <w:fldChar w:fldCharType="begin"/>
        </w:r>
        <w:r w:rsidR="00F10576">
          <w:rPr>
            <w:noProof/>
            <w:webHidden/>
          </w:rPr>
          <w:instrText xml:space="preserve"> PAGEREF _Toc498421785 \h </w:instrText>
        </w:r>
        <w:r w:rsidR="00F10576">
          <w:rPr>
            <w:noProof/>
            <w:webHidden/>
          </w:rPr>
        </w:r>
        <w:r w:rsidR="00F10576">
          <w:rPr>
            <w:noProof/>
            <w:webHidden/>
          </w:rPr>
          <w:fldChar w:fldCharType="separate"/>
        </w:r>
        <w:r>
          <w:rPr>
            <w:noProof/>
            <w:webHidden/>
          </w:rPr>
          <w:t>9</w:t>
        </w:r>
        <w:r w:rsidR="00F10576">
          <w:rPr>
            <w:noProof/>
            <w:webHidden/>
          </w:rPr>
          <w:fldChar w:fldCharType="end"/>
        </w:r>
      </w:hyperlink>
    </w:p>
    <w:p w:rsidR="00F10576" w:rsidRDefault="00AF12ED" w:rsidP="00F10576">
      <w:pPr>
        <w:pStyle w:val="TableofFigures"/>
        <w:tabs>
          <w:tab w:val="right" w:leader="dot" w:pos="9016"/>
        </w:tabs>
        <w:spacing w:after="100"/>
        <w:rPr>
          <w:rFonts w:asciiTheme="minorHAnsi" w:eastAsiaTheme="minorEastAsia" w:hAnsiTheme="minorHAnsi" w:cstheme="minorBidi"/>
          <w:noProof/>
          <w:szCs w:val="22"/>
        </w:rPr>
      </w:pPr>
      <w:hyperlink w:anchor="_Toc498421786" w:history="1">
        <w:r w:rsidR="00F10576" w:rsidRPr="001D54D6">
          <w:rPr>
            <w:rStyle w:val="Hyperlink"/>
            <w:noProof/>
          </w:rPr>
          <w:t>Table 7: Weekly Telecommunications Expenditure 2003 - 2016</w:t>
        </w:r>
        <w:r w:rsidR="00F10576">
          <w:rPr>
            <w:noProof/>
            <w:webHidden/>
          </w:rPr>
          <w:tab/>
        </w:r>
        <w:r w:rsidR="00F10576">
          <w:rPr>
            <w:noProof/>
            <w:webHidden/>
          </w:rPr>
          <w:fldChar w:fldCharType="begin"/>
        </w:r>
        <w:r w:rsidR="00F10576">
          <w:rPr>
            <w:noProof/>
            <w:webHidden/>
          </w:rPr>
          <w:instrText xml:space="preserve"> PAGEREF _Toc498421786 \h </w:instrText>
        </w:r>
        <w:r w:rsidR="00F10576">
          <w:rPr>
            <w:noProof/>
            <w:webHidden/>
          </w:rPr>
        </w:r>
        <w:r w:rsidR="00F10576">
          <w:rPr>
            <w:noProof/>
            <w:webHidden/>
          </w:rPr>
          <w:fldChar w:fldCharType="separate"/>
        </w:r>
        <w:r>
          <w:rPr>
            <w:noProof/>
            <w:webHidden/>
          </w:rPr>
          <w:t>10</w:t>
        </w:r>
        <w:r w:rsidR="00F10576">
          <w:rPr>
            <w:noProof/>
            <w:webHidden/>
          </w:rPr>
          <w:fldChar w:fldCharType="end"/>
        </w:r>
      </w:hyperlink>
    </w:p>
    <w:p w:rsidR="00060A5B" w:rsidRDefault="004025FB" w:rsidP="00F10576">
      <w:pPr>
        <w:spacing w:after="100"/>
        <w:sectPr w:rsidR="00060A5B" w:rsidSect="00060A5B">
          <w:footerReference w:type="default" r:id="rId18"/>
          <w:pgSz w:w="11906" w:h="16838"/>
          <w:pgMar w:top="1440" w:right="1440" w:bottom="1440" w:left="1440" w:header="708" w:footer="708" w:gutter="0"/>
          <w:pgNumType w:fmt="lowerRoman" w:start="1"/>
          <w:cols w:space="708"/>
          <w:docGrid w:linePitch="360"/>
        </w:sectPr>
      </w:pPr>
      <w:r>
        <w:fldChar w:fldCharType="end"/>
      </w:r>
    </w:p>
    <w:p w:rsidR="00FE275A" w:rsidRDefault="00FE275A" w:rsidP="00287592">
      <w:pPr>
        <w:pStyle w:val="Heading1"/>
      </w:pPr>
      <w:bookmarkStart w:id="6" w:name="_Toc498421748"/>
      <w:r>
        <w:lastRenderedPageBreak/>
        <w:t>Summary</w:t>
      </w:r>
      <w:r w:rsidR="000841A4">
        <w:t xml:space="preserve"> Data</w:t>
      </w:r>
      <w:bookmarkEnd w:id="6"/>
    </w:p>
    <w:p w:rsidR="002C4F90" w:rsidRDefault="002C4F90" w:rsidP="002C4F90">
      <w:r>
        <w:t xml:space="preserve">Telecommunications </w:t>
      </w:r>
      <w:r w:rsidR="00272A18">
        <w:t>are</w:t>
      </w:r>
      <w:r w:rsidR="00BF48E9">
        <w:t xml:space="preserve"> </w:t>
      </w:r>
      <w:r w:rsidR="00272A18">
        <w:t>essential service</w:t>
      </w:r>
      <w:r w:rsidR="00BF48E9">
        <w:t>s</w:t>
      </w:r>
      <w:r w:rsidR="00272A18">
        <w:t xml:space="preserve"> which enable</w:t>
      </w:r>
      <w:r w:rsidR="0047591C">
        <w:t xml:space="preserve">, </w:t>
      </w:r>
      <w:r w:rsidR="00272A18">
        <w:t>and are</w:t>
      </w:r>
      <w:r w:rsidR="002B7C7D">
        <w:t xml:space="preserve"> increasingly </w:t>
      </w:r>
      <w:r w:rsidR="004C0620">
        <w:t>required for</w:t>
      </w:r>
      <w:r w:rsidR="0047591C">
        <w:t xml:space="preserve">, </w:t>
      </w:r>
      <w:r w:rsidR="002B7C7D">
        <w:t xml:space="preserve">access to </w:t>
      </w:r>
      <w:r w:rsidR="00272A18">
        <w:t xml:space="preserve">government services, </w:t>
      </w:r>
      <w:r w:rsidR="002B7C7D">
        <w:t>education, e</w:t>
      </w:r>
      <w:r w:rsidR="00272A18">
        <w:t xml:space="preserve">mployment, </w:t>
      </w:r>
      <w:r w:rsidR="004C0620">
        <w:t>commerce</w:t>
      </w:r>
      <w:r w:rsidR="00272A18">
        <w:t xml:space="preserve"> and entertainment. Telecommunications are also vital for </w:t>
      </w:r>
      <w:r w:rsidR="004C0620">
        <w:t>communicating</w:t>
      </w:r>
      <w:r w:rsidR="002B7C7D">
        <w:t xml:space="preserve"> with friends</w:t>
      </w:r>
      <w:r w:rsidR="00272A18">
        <w:t xml:space="preserve"> and participating in community, and are a</w:t>
      </w:r>
      <w:r w:rsidR="002B7C7D">
        <w:t xml:space="preserve"> significant expenditure item in many household budgets.</w:t>
      </w:r>
    </w:p>
    <w:p w:rsidR="002B7C7D" w:rsidRDefault="002B7C7D" w:rsidP="002B7C7D">
      <w:pPr>
        <w:pStyle w:val="Caption"/>
        <w:keepNext/>
      </w:pPr>
      <w:bookmarkStart w:id="7" w:name="_Toc498421780"/>
      <w:r>
        <w:t xml:space="preserve">Table </w:t>
      </w:r>
      <w:fldSimple w:instr=" SEQ Table \* ARABIC ">
        <w:r w:rsidR="00AF12ED">
          <w:rPr>
            <w:noProof/>
          </w:rPr>
          <w:t>1</w:t>
        </w:r>
      </w:fldSimple>
      <w:r>
        <w:t xml:space="preserve">: Average </w:t>
      </w:r>
      <w:r w:rsidR="009A0853">
        <w:t xml:space="preserve">Weekly </w:t>
      </w:r>
      <w:r>
        <w:t>Household Telecommunication</w:t>
      </w:r>
      <w:r w:rsidR="009A0853">
        <w:t>s</w:t>
      </w:r>
      <w:r>
        <w:t xml:space="preserve"> Expenditure, 2015-16</w:t>
      </w:r>
      <w:bookmarkEnd w:id="7"/>
    </w:p>
    <w:tbl>
      <w:tblPr>
        <w:tblW w:w="6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1572"/>
      </w:tblGrid>
      <w:tr w:rsidR="002C4F90" w:rsidRPr="002C4F90" w:rsidTr="008A0612">
        <w:trPr>
          <w:trHeight w:val="300"/>
          <w:jc w:val="center"/>
        </w:trPr>
        <w:tc>
          <w:tcPr>
            <w:tcW w:w="4856" w:type="dxa"/>
            <w:shd w:val="clear" w:color="auto" w:fill="auto"/>
            <w:noWrap/>
            <w:vAlign w:val="bottom"/>
            <w:hideMark/>
          </w:tcPr>
          <w:p w:rsidR="002C4F90" w:rsidRPr="002C4F90" w:rsidRDefault="002C4F90" w:rsidP="004559E7">
            <w:pPr>
              <w:spacing w:before="100" w:beforeAutospacing="1" w:after="100" w:afterAutospacing="1"/>
              <w:rPr>
                <w:b/>
                <w:color w:val="000000"/>
                <w:sz w:val="20"/>
                <w:lang w:eastAsia="zh-CN"/>
              </w:rPr>
            </w:pPr>
            <w:r w:rsidRPr="002C4F90">
              <w:rPr>
                <w:b/>
                <w:color w:val="000000"/>
                <w:sz w:val="20"/>
                <w:lang w:eastAsia="zh-CN"/>
              </w:rPr>
              <w:t>Category</w:t>
            </w:r>
          </w:p>
        </w:tc>
        <w:tc>
          <w:tcPr>
            <w:tcW w:w="1572" w:type="dxa"/>
            <w:vAlign w:val="bottom"/>
          </w:tcPr>
          <w:p w:rsidR="002C4F90" w:rsidRPr="002C4F90" w:rsidRDefault="002C4F90" w:rsidP="004559E7">
            <w:pPr>
              <w:spacing w:before="100" w:beforeAutospacing="1" w:after="100" w:afterAutospacing="1"/>
              <w:jc w:val="center"/>
              <w:rPr>
                <w:b/>
                <w:color w:val="000000"/>
                <w:sz w:val="20"/>
                <w:lang w:eastAsia="zh-CN"/>
              </w:rPr>
            </w:pPr>
            <w:r w:rsidRPr="002C4F90">
              <w:rPr>
                <w:b/>
                <w:color w:val="000000"/>
                <w:sz w:val="20"/>
                <w:lang w:eastAsia="zh-CN"/>
              </w:rPr>
              <w:t>Average Weekly Expenditure</w:t>
            </w:r>
          </w:p>
        </w:tc>
      </w:tr>
      <w:tr w:rsidR="006E4739" w:rsidRPr="007B00BD" w:rsidTr="006E4739">
        <w:trPr>
          <w:trHeight w:val="300"/>
          <w:jc w:val="center"/>
        </w:trPr>
        <w:tc>
          <w:tcPr>
            <w:tcW w:w="4856" w:type="dxa"/>
            <w:shd w:val="clear" w:color="auto" w:fill="auto"/>
            <w:noWrap/>
            <w:vAlign w:val="bottom"/>
          </w:tcPr>
          <w:p w:rsidR="006E4739" w:rsidRDefault="006E4739" w:rsidP="004559E7">
            <w:pPr>
              <w:spacing w:before="100" w:beforeAutospacing="1" w:after="100" w:afterAutospacing="1"/>
              <w:rPr>
                <w:color w:val="000000"/>
                <w:sz w:val="20"/>
                <w:lang w:eastAsia="zh-CN"/>
              </w:rPr>
            </w:pPr>
            <w:r>
              <w:rPr>
                <w:color w:val="000000"/>
                <w:sz w:val="20"/>
                <w:lang w:eastAsia="zh-CN"/>
              </w:rPr>
              <w:t>Home computer equipment</w:t>
            </w:r>
          </w:p>
        </w:tc>
        <w:tc>
          <w:tcPr>
            <w:tcW w:w="1572" w:type="dxa"/>
            <w:vAlign w:val="bottom"/>
          </w:tcPr>
          <w:p w:rsidR="006E4739" w:rsidRDefault="006E4739" w:rsidP="004559E7">
            <w:pPr>
              <w:spacing w:before="100" w:beforeAutospacing="1" w:after="100" w:afterAutospacing="1"/>
              <w:jc w:val="right"/>
              <w:rPr>
                <w:color w:val="000000"/>
                <w:sz w:val="20"/>
                <w:lang w:eastAsia="zh-CN"/>
              </w:rPr>
            </w:pPr>
            <w:r>
              <w:rPr>
                <w:color w:val="000000"/>
                <w:sz w:val="20"/>
                <w:lang w:eastAsia="zh-CN"/>
              </w:rPr>
              <w:t>6.93</w:t>
            </w:r>
          </w:p>
        </w:tc>
      </w:tr>
      <w:tr w:rsidR="002C4F90" w:rsidRPr="007B00BD" w:rsidTr="008A0612">
        <w:trPr>
          <w:trHeight w:val="300"/>
          <w:jc w:val="center"/>
        </w:trPr>
        <w:tc>
          <w:tcPr>
            <w:tcW w:w="4856" w:type="dxa"/>
            <w:shd w:val="clear" w:color="auto" w:fill="auto"/>
            <w:noWrap/>
            <w:vAlign w:val="bottom"/>
          </w:tcPr>
          <w:p w:rsidR="002C4F90" w:rsidRPr="007B00BD" w:rsidRDefault="00284E37" w:rsidP="004559E7">
            <w:pPr>
              <w:spacing w:before="100" w:beforeAutospacing="1" w:after="100" w:afterAutospacing="1"/>
              <w:rPr>
                <w:color w:val="000000"/>
                <w:sz w:val="20"/>
                <w:lang w:eastAsia="zh-CN"/>
              </w:rPr>
            </w:pPr>
            <w:r>
              <w:rPr>
                <w:color w:val="000000"/>
                <w:sz w:val="20"/>
                <w:lang w:eastAsia="zh-CN"/>
              </w:rPr>
              <w:t>Mobile phone purchase</w:t>
            </w:r>
          </w:p>
        </w:tc>
        <w:tc>
          <w:tcPr>
            <w:tcW w:w="1572" w:type="dxa"/>
            <w:vAlign w:val="bottom"/>
          </w:tcPr>
          <w:p w:rsidR="002C4F90" w:rsidRDefault="00272A18" w:rsidP="004559E7">
            <w:pPr>
              <w:spacing w:before="100" w:beforeAutospacing="1" w:after="100" w:afterAutospacing="1"/>
              <w:jc w:val="right"/>
              <w:rPr>
                <w:color w:val="000000"/>
                <w:sz w:val="20"/>
                <w:lang w:eastAsia="zh-CN"/>
              </w:rPr>
            </w:pPr>
            <w:r>
              <w:rPr>
                <w:color w:val="000000"/>
                <w:sz w:val="20"/>
                <w:lang w:eastAsia="zh-CN"/>
              </w:rPr>
              <w:t>3.00</w:t>
            </w:r>
          </w:p>
        </w:tc>
      </w:tr>
      <w:tr w:rsidR="002C4F90" w:rsidRPr="007B00BD" w:rsidTr="008A0612">
        <w:trPr>
          <w:trHeight w:val="300"/>
          <w:jc w:val="center"/>
        </w:trPr>
        <w:tc>
          <w:tcPr>
            <w:tcW w:w="4856" w:type="dxa"/>
            <w:shd w:val="clear" w:color="auto" w:fill="auto"/>
            <w:noWrap/>
            <w:vAlign w:val="bottom"/>
          </w:tcPr>
          <w:p w:rsidR="002C4F90" w:rsidRPr="007B00BD" w:rsidRDefault="00272A18" w:rsidP="004559E7">
            <w:pPr>
              <w:spacing w:before="100" w:beforeAutospacing="1" w:after="100" w:afterAutospacing="1"/>
              <w:rPr>
                <w:color w:val="000000"/>
                <w:sz w:val="20"/>
                <w:lang w:eastAsia="zh-CN"/>
              </w:rPr>
            </w:pPr>
            <w:r>
              <w:rPr>
                <w:color w:val="000000"/>
                <w:sz w:val="20"/>
                <w:lang w:eastAsia="zh-CN"/>
              </w:rPr>
              <w:t>Other phone equipment*</w:t>
            </w:r>
          </w:p>
        </w:tc>
        <w:tc>
          <w:tcPr>
            <w:tcW w:w="1572" w:type="dxa"/>
            <w:vAlign w:val="bottom"/>
          </w:tcPr>
          <w:p w:rsidR="002C4F90" w:rsidRDefault="008A0612" w:rsidP="004559E7">
            <w:pPr>
              <w:spacing w:before="100" w:beforeAutospacing="1" w:after="100" w:afterAutospacing="1"/>
              <w:jc w:val="right"/>
              <w:rPr>
                <w:color w:val="000000"/>
                <w:sz w:val="20"/>
                <w:lang w:eastAsia="zh-CN"/>
              </w:rPr>
            </w:pPr>
            <w:r>
              <w:rPr>
                <w:color w:val="000000"/>
                <w:sz w:val="20"/>
                <w:lang w:eastAsia="zh-CN"/>
              </w:rPr>
              <w:t>0.12</w:t>
            </w:r>
          </w:p>
        </w:tc>
      </w:tr>
      <w:tr w:rsidR="00272A18" w:rsidRPr="007B00BD" w:rsidTr="008A0612">
        <w:trPr>
          <w:trHeight w:val="300"/>
          <w:jc w:val="center"/>
        </w:trPr>
        <w:tc>
          <w:tcPr>
            <w:tcW w:w="4856" w:type="dxa"/>
            <w:shd w:val="clear" w:color="auto" w:fill="auto"/>
            <w:noWrap/>
            <w:vAlign w:val="bottom"/>
          </w:tcPr>
          <w:p w:rsidR="00272A18" w:rsidRDefault="00272A18" w:rsidP="004559E7">
            <w:pPr>
              <w:spacing w:before="100" w:beforeAutospacing="1" w:after="100" w:afterAutospacing="1"/>
              <w:rPr>
                <w:color w:val="000000"/>
                <w:sz w:val="20"/>
                <w:lang w:eastAsia="zh-CN"/>
              </w:rPr>
            </w:pPr>
            <w:r>
              <w:rPr>
                <w:color w:val="000000"/>
                <w:sz w:val="20"/>
                <w:lang w:eastAsia="zh-CN"/>
              </w:rPr>
              <w:t xml:space="preserve">Smart </w:t>
            </w:r>
            <w:r w:rsidR="00284E37">
              <w:rPr>
                <w:color w:val="000000"/>
                <w:sz w:val="20"/>
                <w:lang w:eastAsia="zh-CN"/>
              </w:rPr>
              <w:t>w</w:t>
            </w:r>
            <w:r>
              <w:rPr>
                <w:color w:val="000000"/>
                <w:sz w:val="20"/>
                <w:lang w:eastAsia="zh-CN"/>
              </w:rPr>
              <w:t xml:space="preserve">atches and </w:t>
            </w:r>
            <w:r w:rsidR="00284E37">
              <w:rPr>
                <w:color w:val="000000"/>
                <w:sz w:val="20"/>
                <w:lang w:eastAsia="zh-CN"/>
              </w:rPr>
              <w:t>w</w:t>
            </w:r>
            <w:r>
              <w:rPr>
                <w:color w:val="000000"/>
                <w:sz w:val="20"/>
                <w:lang w:eastAsia="zh-CN"/>
              </w:rPr>
              <w:t>earables</w:t>
            </w:r>
          </w:p>
        </w:tc>
        <w:tc>
          <w:tcPr>
            <w:tcW w:w="1572" w:type="dxa"/>
            <w:vAlign w:val="bottom"/>
          </w:tcPr>
          <w:p w:rsidR="00272A18" w:rsidRDefault="00272A18" w:rsidP="004559E7">
            <w:pPr>
              <w:spacing w:before="100" w:beforeAutospacing="1" w:after="100" w:afterAutospacing="1"/>
              <w:jc w:val="right"/>
              <w:rPr>
                <w:color w:val="000000"/>
                <w:sz w:val="20"/>
                <w:lang w:eastAsia="zh-CN"/>
              </w:rPr>
            </w:pPr>
            <w:r>
              <w:rPr>
                <w:color w:val="000000"/>
                <w:sz w:val="20"/>
                <w:lang w:eastAsia="zh-CN"/>
              </w:rPr>
              <w:t>0.02</w:t>
            </w:r>
          </w:p>
        </w:tc>
      </w:tr>
      <w:tr w:rsidR="00272A18" w:rsidRPr="007B00BD" w:rsidTr="008A0612">
        <w:trPr>
          <w:trHeight w:val="300"/>
          <w:jc w:val="center"/>
        </w:trPr>
        <w:tc>
          <w:tcPr>
            <w:tcW w:w="4856" w:type="dxa"/>
            <w:shd w:val="clear" w:color="auto" w:fill="auto"/>
            <w:noWrap/>
            <w:vAlign w:val="bottom"/>
          </w:tcPr>
          <w:p w:rsidR="00272A18" w:rsidRDefault="00272A18" w:rsidP="004559E7">
            <w:pPr>
              <w:spacing w:before="100" w:beforeAutospacing="1" w:after="100" w:afterAutospacing="1"/>
              <w:rPr>
                <w:color w:val="000000"/>
                <w:sz w:val="20"/>
                <w:lang w:eastAsia="zh-CN"/>
              </w:rPr>
            </w:pPr>
            <w:r>
              <w:rPr>
                <w:color w:val="000000"/>
                <w:sz w:val="20"/>
                <w:lang w:eastAsia="zh-CN"/>
              </w:rPr>
              <w:t>Computer</w:t>
            </w:r>
            <w:r w:rsidR="00284E37">
              <w:rPr>
                <w:color w:val="000000"/>
                <w:sz w:val="20"/>
                <w:lang w:eastAsia="zh-CN"/>
              </w:rPr>
              <w:t>/e</w:t>
            </w:r>
            <w:r>
              <w:rPr>
                <w:color w:val="000000"/>
                <w:sz w:val="20"/>
                <w:lang w:eastAsia="zh-CN"/>
              </w:rPr>
              <w:t xml:space="preserve">quipment </w:t>
            </w:r>
            <w:r w:rsidR="00284E37">
              <w:rPr>
                <w:color w:val="000000"/>
                <w:sz w:val="20"/>
                <w:lang w:eastAsia="zh-CN"/>
              </w:rPr>
              <w:t>repair and maintenance</w:t>
            </w:r>
          </w:p>
        </w:tc>
        <w:tc>
          <w:tcPr>
            <w:tcW w:w="1572" w:type="dxa"/>
            <w:vAlign w:val="bottom"/>
          </w:tcPr>
          <w:p w:rsidR="00272A18" w:rsidRDefault="00272A18" w:rsidP="004559E7">
            <w:pPr>
              <w:spacing w:before="100" w:beforeAutospacing="1" w:after="100" w:afterAutospacing="1"/>
              <w:jc w:val="right"/>
              <w:rPr>
                <w:color w:val="000000"/>
                <w:sz w:val="20"/>
                <w:lang w:eastAsia="zh-CN"/>
              </w:rPr>
            </w:pPr>
            <w:r>
              <w:rPr>
                <w:color w:val="000000"/>
                <w:sz w:val="20"/>
                <w:lang w:eastAsia="zh-CN"/>
              </w:rPr>
              <w:t>0.53</w:t>
            </w:r>
          </w:p>
        </w:tc>
      </w:tr>
      <w:tr w:rsidR="002C4F90" w:rsidRPr="007B00BD" w:rsidTr="008A0612">
        <w:trPr>
          <w:trHeight w:val="300"/>
          <w:jc w:val="center"/>
        </w:trPr>
        <w:tc>
          <w:tcPr>
            <w:tcW w:w="4856" w:type="dxa"/>
            <w:shd w:val="clear" w:color="auto" w:fill="auto"/>
            <w:noWrap/>
            <w:vAlign w:val="center"/>
          </w:tcPr>
          <w:p w:rsidR="002C4F90" w:rsidRPr="007B00BD" w:rsidRDefault="00272A18" w:rsidP="004559E7">
            <w:pPr>
              <w:spacing w:before="100" w:beforeAutospacing="1" w:after="100" w:afterAutospacing="1"/>
              <w:jc w:val="right"/>
              <w:rPr>
                <w:b/>
                <w:bCs/>
                <w:color w:val="000000"/>
                <w:sz w:val="20"/>
                <w:lang w:eastAsia="zh-CN"/>
              </w:rPr>
            </w:pPr>
            <w:r>
              <w:rPr>
                <w:b/>
                <w:bCs/>
                <w:color w:val="000000"/>
                <w:sz w:val="20"/>
                <w:lang w:eastAsia="zh-CN"/>
              </w:rPr>
              <w:t>Total Communication Equipment</w:t>
            </w:r>
          </w:p>
        </w:tc>
        <w:tc>
          <w:tcPr>
            <w:tcW w:w="1572" w:type="dxa"/>
            <w:vAlign w:val="bottom"/>
          </w:tcPr>
          <w:p w:rsidR="002C4F90" w:rsidRDefault="008A0612" w:rsidP="004559E7">
            <w:pPr>
              <w:spacing w:before="100" w:beforeAutospacing="1" w:after="100" w:afterAutospacing="1"/>
              <w:jc w:val="right"/>
              <w:rPr>
                <w:b/>
                <w:bCs/>
                <w:color w:val="000000"/>
                <w:sz w:val="20"/>
                <w:lang w:eastAsia="zh-CN"/>
              </w:rPr>
            </w:pPr>
            <w:r>
              <w:rPr>
                <w:b/>
                <w:bCs/>
                <w:color w:val="000000"/>
                <w:sz w:val="20"/>
                <w:lang w:eastAsia="zh-CN"/>
              </w:rPr>
              <w:t>$</w:t>
            </w:r>
            <w:r w:rsidR="00272A18">
              <w:rPr>
                <w:b/>
                <w:bCs/>
                <w:color w:val="000000"/>
                <w:sz w:val="20"/>
                <w:lang w:eastAsia="zh-CN"/>
              </w:rPr>
              <w:t>10.60</w:t>
            </w:r>
          </w:p>
        </w:tc>
      </w:tr>
      <w:tr w:rsidR="006E4739" w:rsidRPr="00704F23" w:rsidTr="006E4739">
        <w:trPr>
          <w:trHeight w:val="300"/>
          <w:jc w:val="center"/>
        </w:trPr>
        <w:tc>
          <w:tcPr>
            <w:tcW w:w="4856" w:type="dxa"/>
            <w:shd w:val="clear" w:color="auto" w:fill="auto"/>
            <w:noWrap/>
            <w:vAlign w:val="bottom"/>
          </w:tcPr>
          <w:p w:rsidR="006E4739" w:rsidRPr="00704F23" w:rsidRDefault="00284E37" w:rsidP="004559E7">
            <w:pPr>
              <w:spacing w:before="100" w:beforeAutospacing="1" w:after="100" w:afterAutospacing="1"/>
              <w:rPr>
                <w:iCs/>
                <w:color w:val="000000"/>
                <w:sz w:val="20"/>
                <w:lang w:eastAsia="zh-CN"/>
              </w:rPr>
            </w:pPr>
            <w:r>
              <w:rPr>
                <w:iCs/>
                <w:color w:val="000000"/>
                <w:sz w:val="20"/>
                <w:lang w:eastAsia="zh-CN"/>
              </w:rPr>
              <w:t>Mobile phone account</w:t>
            </w:r>
          </w:p>
        </w:tc>
        <w:tc>
          <w:tcPr>
            <w:tcW w:w="1572" w:type="dxa"/>
            <w:vAlign w:val="bottom"/>
          </w:tcPr>
          <w:p w:rsidR="006E4739" w:rsidRDefault="006E4739" w:rsidP="004559E7">
            <w:pPr>
              <w:spacing w:before="100" w:beforeAutospacing="1" w:after="100" w:afterAutospacing="1"/>
              <w:jc w:val="right"/>
              <w:rPr>
                <w:iCs/>
                <w:color w:val="000000"/>
                <w:sz w:val="20"/>
                <w:lang w:eastAsia="zh-CN"/>
              </w:rPr>
            </w:pPr>
            <w:r>
              <w:rPr>
                <w:iCs/>
                <w:color w:val="000000"/>
                <w:sz w:val="20"/>
                <w:lang w:eastAsia="zh-CN"/>
              </w:rPr>
              <w:t>17.24</w:t>
            </w:r>
          </w:p>
        </w:tc>
      </w:tr>
      <w:tr w:rsidR="002C4F90" w:rsidRPr="00704F23" w:rsidTr="008A0612">
        <w:trPr>
          <w:trHeight w:val="300"/>
          <w:jc w:val="center"/>
        </w:trPr>
        <w:tc>
          <w:tcPr>
            <w:tcW w:w="4856" w:type="dxa"/>
            <w:shd w:val="clear" w:color="auto" w:fill="auto"/>
            <w:noWrap/>
            <w:vAlign w:val="bottom"/>
          </w:tcPr>
          <w:p w:rsidR="002C4F90" w:rsidRPr="00704F23" w:rsidRDefault="00284E37" w:rsidP="004559E7">
            <w:pPr>
              <w:spacing w:before="100" w:beforeAutospacing="1" w:after="100" w:afterAutospacing="1"/>
              <w:rPr>
                <w:iCs/>
                <w:color w:val="000000"/>
                <w:sz w:val="20"/>
                <w:lang w:eastAsia="zh-CN"/>
              </w:rPr>
            </w:pPr>
            <w:r>
              <w:rPr>
                <w:iCs/>
                <w:color w:val="000000"/>
                <w:sz w:val="20"/>
                <w:lang w:eastAsia="zh-CN"/>
              </w:rPr>
              <w:t>Fixed phone account</w:t>
            </w:r>
          </w:p>
        </w:tc>
        <w:tc>
          <w:tcPr>
            <w:tcW w:w="1572" w:type="dxa"/>
            <w:vAlign w:val="bottom"/>
          </w:tcPr>
          <w:p w:rsidR="002C4F90" w:rsidRDefault="008A0612" w:rsidP="004559E7">
            <w:pPr>
              <w:spacing w:before="100" w:beforeAutospacing="1" w:after="100" w:afterAutospacing="1"/>
              <w:jc w:val="right"/>
              <w:rPr>
                <w:iCs/>
                <w:color w:val="000000"/>
                <w:sz w:val="20"/>
                <w:lang w:eastAsia="zh-CN"/>
              </w:rPr>
            </w:pPr>
            <w:r>
              <w:rPr>
                <w:iCs/>
                <w:color w:val="000000"/>
                <w:sz w:val="20"/>
                <w:lang w:eastAsia="zh-CN"/>
              </w:rPr>
              <w:t>14.02</w:t>
            </w:r>
          </w:p>
        </w:tc>
      </w:tr>
      <w:tr w:rsidR="006E4739" w:rsidRPr="00704F23" w:rsidTr="006E4739">
        <w:trPr>
          <w:trHeight w:val="300"/>
          <w:jc w:val="center"/>
        </w:trPr>
        <w:tc>
          <w:tcPr>
            <w:tcW w:w="4856" w:type="dxa"/>
            <w:shd w:val="clear" w:color="auto" w:fill="auto"/>
            <w:noWrap/>
            <w:vAlign w:val="bottom"/>
          </w:tcPr>
          <w:p w:rsidR="006E4739" w:rsidRDefault="00284E37" w:rsidP="004559E7">
            <w:pPr>
              <w:spacing w:before="100" w:beforeAutospacing="1" w:after="100" w:afterAutospacing="1"/>
              <w:rPr>
                <w:iCs/>
                <w:color w:val="000000"/>
                <w:sz w:val="20"/>
                <w:lang w:eastAsia="zh-CN"/>
              </w:rPr>
            </w:pPr>
            <w:r>
              <w:rPr>
                <w:iCs/>
                <w:color w:val="000000"/>
                <w:sz w:val="20"/>
                <w:lang w:eastAsia="zh-CN"/>
              </w:rPr>
              <w:t>Internet charges (account)</w:t>
            </w:r>
          </w:p>
        </w:tc>
        <w:tc>
          <w:tcPr>
            <w:tcW w:w="1572" w:type="dxa"/>
            <w:vAlign w:val="bottom"/>
          </w:tcPr>
          <w:p w:rsidR="006E4739" w:rsidRDefault="006E4739" w:rsidP="004559E7">
            <w:pPr>
              <w:spacing w:before="100" w:beforeAutospacing="1" w:after="100" w:afterAutospacing="1"/>
              <w:jc w:val="right"/>
              <w:rPr>
                <w:iCs/>
                <w:color w:val="000000"/>
                <w:sz w:val="20"/>
                <w:lang w:eastAsia="zh-CN"/>
              </w:rPr>
            </w:pPr>
            <w:r>
              <w:rPr>
                <w:iCs/>
                <w:color w:val="000000"/>
                <w:sz w:val="20"/>
                <w:lang w:eastAsia="zh-CN"/>
              </w:rPr>
              <w:t>5.97</w:t>
            </w:r>
          </w:p>
        </w:tc>
      </w:tr>
      <w:tr w:rsidR="006E4739" w:rsidRPr="00704F23" w:rsidTr="006E4739">
        <w:trPr>
          <w:trHeight w:val="300"/>
          <w:jc w:val="center"/>
        </w:trPr>
        <w:tc>
          <w:tcPr>
            <w:tcW w:w="4856" w:type="dxa"/>
            <w:shd w:val="clear" w:color="auto" w:fill="auto"/>
            <w:noWrap/>
            <w:vAlign w:val="bottom"/>
          </w:tcPr>
          <w:p w:rsidR="006E4739" w:rsidRDefault="00284E37" w:rsidP="004559E7">
            <w:pPr>
              <w:spacing w:before="100" w:beforeAutospacing="1" w:after="100" w:afterAutospacing="1"/>
              <w:rPr>
                <w:iCs/>
                <w:color w:val="000000"/>
                <w:sz w:val="20"/>
                <w:lang w:eastAsia="zh-CN"/>
              </w:rPr>
            </w:pPr>
            <w:r>
              <w:rPr>
                <w:iCs/>
                <w:color w:val="000000"/>
                <w:sz w:val="20"/>
                <w:lang w:eastAsia="zh-CN"/>
              </w:rPr>
              <w:t>Mobile phone charges (non-account, incl. pre-paid)</w:t>
            </w:r>
          </w:p>
        </w:tc>
        <w:tc>
          <w:tcPr>
            <w:tcW w:w="1572" w:type="dxa"/>
            <w:vAlign w:val="bottom"/>
          </w:tcPr>
          <w:p w:rsidR="006E4739" w:rsidRDefault="006E4739" w:rsidP="004559E7">
            <w:pPr>
              <w:spacing w:before="100" w:beforeAutospacing="1" w:after="100" w:afterAutospacing="1"/>
              <w:jc w:val="right"/>
              <w:rPr>
                <w:iCs/>
                <w:color w:val="000000"/>
                <w:sz w:val="20"/>
                <w:lang w:eastAsia="zh-CN"/>
              </w:rPr>
            </w:pPr>
            <w:r>
              <w:rPr>
                <w:iCs/>
                <w:color w:val="000000"/>
                <w:sz w:val="20"/>
                <w:lang w:eastAsia="zh-CN"/>
              </w:rPr>
              <w:t>2.24</w:t>
            </w:r>
          </w:p>
        </w:tc>
      </w:tr>
      <w:tr w:rsidR="006E4739" w:rsidRPr="00704F23" w:rsidTr="006E4739">
        <w:trPr>
          <w:trHeight w:val="300"/>
          <w:jc w:val="center"/>
        </w:trPr>
        <w:tc>
          <w:tcPr>
            <w:tcW w:w="4856" w:type="dxa"/>
            <w:shd w:val="clear" w:color="auto" w:fill="auto"/>
            <w:noWrap/>
            <w:vAlign w:val="bottom"/>
          </w:tcPr>
          <w:p w:rsidR="006E4739" w:rsidRDefault="00284E37" w:rsidP="004559E7">
            <w:pPr>
              <w:spacing w:before="100" w:beforeAutospacing="1" w:after="100" w:afterAutospacing="1"/>
              <w:rPr>
                <w:iCs/>
                <w:color w:val="000000"/>
                <w:sz w:val="20"/>
                <w:lang w:eastAsia="zh-CN"/>
              </w:rPr>
            </w:pPr>
            <w:r>
              <w:rPr>
                <w:iCs/>
                <w:color w:val="000000"/>
                <w:sz w:val="20"/>
                <w:lang w:eastAsia="zh-CN"/>
              </w:rPr>
              <w:t>Other phone and fax charges</w:t>
            </w:r>
          </w:p>
        </w:tc>
        <w:tc>
          <w:tcPr>
            <w:tcW w:w="1572" w:type="dxa"/>
            <w:vAlign w:val="bottom"/>
          </w:tcPr>
          <w:p w:rsidR="006E4739" w:rsidRDefault="006E4739" w:rsidP="004559E7">
            <w:pPr>
              <w:spacing w:before="100" w:beforeAutospacing="1" w:after="100" w:afterAutospacing="1"/>
              <w:jc w:val="right"/>
              <w:rPr>
                <w:iCs/>
                <w:color w:val="000000"/>
                <w:sz w:val="20"/>
                <w:lang w:eastAsia="zh-CN"/>
              </w:rPr>
            </w:pPr>
            <w:r>
              <w:rPr>
                <w:iCs/>
                <w:color w:val="000000"/>
                <w:sz w:val="20"/>
                <w:lang w:eastAsia="zh-CN"/>
              </w:rPr>
              <w:t>2.03</w:t>
            </w:r>
          </w:p>
        </w:tc>
      </w:tr>
      <w:tr w:rsidR="006E4739" w:rsidRPr="00704F23" w:rsidTr="006E4739">
        <w:trPr>
          <w:trHeight w:val="300"/>
          <w:jc w:val="center"/>
        </w:trPr>
        <w:tc>
          <w:tcPr>
            <w:tcW w:w="4856" w:type="dxa"/>
            <w:shd w:val="clear" w:color="auto" w:fill="auto"/>
            <w:noWrap/>
            <w:vAlign w:val="bottom"/>
          </w:tcPr>
          <w:p w:rsidR="006E4739" w:rsidRDefault="006E4739" w:rsidP="004559E7">
            <w:pPr>
              <w:spacing w:before="100" w:beforeAutospacing="1" w:after="100" w:afterAutospacing="1"/>
              <w:rPr>
                <w:iCs/>
                <w:color w:val="000000"/>
                <w:sz w:val="20"/>
                <w:lang w:eastAsia="zh-CN"/>
              </w:rPr>
            </w:pPr>
            <w:r>
              <w:rPr>
                <w:iCs/>
                <w:color w:val="000000"/>
                <w:sz w:val="20"/>
                <w:lang w:eastAsia="zh-CN"/>
              </w:rPr>
              <w:t>I</w:t>
            </w:r>
            <w:r w:rsidR="00284E37">
              <w:rPr>
                <w:iCs/>
                <w:color w:val="000000"/>
                <w:sz w:val="20"/>
                <w:lang w:eastAsia="zh-CN"/>
              </w:rPr>
              <w:t>nternet charges (non-account, incl. pre-paid)</w:t>
            </w:r>
          </w:p>
        </w:tc>
        <w:tc>
          <w:tcPr>
            <w:tcW w:w="1572" w:type="dxa"/>
            <w:vAlign w:val="bottom"/>
          </w:tcPr>
          <w:p w:rsidR="006E4739" w:rsidRDefault="006E4739" w:rsidP="004559E7">
            <w:pPr>
              <w:spacing w:before="100" w:beforeAutospacing="1" w:after="100" w:afterAutospacing="1"/>
              <w:jc w:val="right"/>
              <w:rPr>
                <w:iCs/>
                <w:color w:val="000000"/>
                <w:sz w:val="20"/>
                <w:lang w:eastAsia="zh-CN"/>
              </w:rPr>
            </w:pPr>
            <w:r>
              <w:rPr>
                <w:iCs/>
                <w:color w:val="000000"/>
                <w:sz w:val="20"/>
                <w:lang w:eastAsia="zh-CN"/>
              </w:rPr>
              <w:t>0.48</w:t>
            </w:r>
          </w:p>
        </w:tc>
      </w:tr>
      <w:tr w:rsidR="002C4F90" w:rsidRPr="00704F23" w:rsidTr="008A0612">
        <w:trPr>
          <w:trHeight w:val="300"/>
          <w:jc w:val="center"/>
        </w:trPr>
        <w:tc>
          <w:tcPr>
            <w:tcW w:w="4856" w:type="dxa"/>
            <w:shd w:val="clear" w:color="auto" w:fill="auto"/>
            <w:noWrap/>
            <w:vAlign w:val="bottom"/>
          </w:tcPr>
          <w:p w:rsidR="002C4F90" w:rsidRDefault="00284E37" w:rsidP="004559E7">
            <w:pPr>
              <w:spacing w:before="100" w:beforeAutospacing="1" w:after="100" w:afterAutospacing="1"/>
              <w:rPr>
                <w:iCs/>
                <w:color w:val="000000"/>
                <w:sz w:val="20"/>
                <w:lang w:eastAsia="zh-CN"/>
              </w:rPr>
            </w:pPr>
            <w:r>
              <w:rPr>
                <w:iCs/>
                <w:color w:val="000000"/>
                <w:sz w:val="20"/>
                <w:lang w:eastAsia="zh-CN"/>
              </w:rPr>
              <w:t>Public telephone calls</w:t>
            </w:r>
          </w:p>
        </w:tc>
        <w:tc>
          <w:tcPr>
            <w:tcW w:w="1572" w:type="dxa"/>
            <w:vAlign w:val="bottom"/>
          </w:tcPr>
          <w:p w:rsidR="002C4F90" w:rsidRDefault="008A0612" w:rsidP="004559E7">
            <w:pPr>
              <w:spacing w:before="100" w:beforeAutospacing="1" w:after="100" w:afterAutospacing="1"/>
              <w:jc w:val="right"/>
              <w:rPr>
                <w:iCs/>
                <w:color w:val="000000"/>
                <w:sz w:val="20"/>
                <w:lang w:eastAsia="zh-CN"/>
              </w:rPr>
            </w:pPr>
            <w:r>
              <w:rPr>
                <w:iCs/>
                <w:color w:val="000000"/>
                <w:sz w:val="20"/>
                <w:lang w:eastAsia="zh-CN"/>
              </w:rPr>
              <w:t>0.01</w:t>
            </w:r>
          </w:p>
        </w:tc>
      </w:tr>
      <w:tr w:rsidR="002C4F90" w:rsidRPr="00704F23" w:rsidTr="008A0612">
        <w:trPr>
          <w:trHeight w:val="300"/>
          <w:jc w:val="center"/>
        </w:trPr>
        <w:tc>
          <w:tcPr>
            <w:tcW w:w="4856" w:type="dxa"/>
            <w:shd w:val="clear" w:color="auto" w:fill="auto"/>
            <w:noWrap/>
            <w:vAlign w:val="center"/>
          </w:tcPr>
          <w:p w:rsidR="002C4F90" w:rsidRPr="00704F23" w:rsidRDefault="00272A18" w:rsidP="004559E7">
            <w:pPr>
              <w:spacing w:before="100" w:beforeAutospacing="1" w:after="100" w:afterAutospacing="1"/>
              <w:jc w:val="right"/>
              <w:rPr>
                <w:b/>
                <w:iCs/>
                <w:color w:val="000000"/>
                <w:sz w:val="20"/>
                <w:lang w:eastAsia="zh-CN"/>
              </w:rPr>
            </w:pPr>
            <w:r>
              <w:rPr>
                <w:b/>
                <w:iCs/>
                <w:color w:val="000000"/>
                <w:sz w:val="20"/>
                <w:lang w:eastAsia="zh-CN"/>
              </w:rPr>
              <w:t>Total Communication Charges</w:t>
            </w:r>
          </w:p>
        </w:tc>
        <w:tc>
          <w:tcPr>
            <w:tcW w:w="1572" w:type="dxa"/>
            <w:vAlign w:val="bottom"/>
          </w:tcPr>
          <w:p w:rsidR="002C4F90" w:rsidRDefault="008A0612" w:rsidP="004559E7">
            <w:pPr>
              <w:spacing w:before="100" w:beforeAutospacing="1" w:after="100" w:afterAutospacing="1"/>
              <w:jc w:val="right"/>
              <w:rPr>
                <w:b/>
                <w:iCs/>
                <w:color w:val="000000"/>
                <w:sz w:val="20"/>
                <w:lang w:eastAsia="zh-CN"/>
              </w:rPr>
            </w:pPr>
            <w:r>
              <w:rPr>
                <w:b/>
                <w:iCs/>
                <w:color w:val="000000"/>
                <w:sz w:val="20"/>
                <w:lang w:eastAsia="zh-CN"/>
              </w:rPr>
              <w:t>$42.16</w:t>
            </w:r>
          </w:p>
        </w:tc>
      </w:tr>
      <w:tr w:rsidR="008A0612" w:rsidRPr="00704F23" w:rsidTr="004C0620">
        <w:trPr>
          <w:trHeight w:val="78"/>
          <w:jc w:val="center"/>
        </w:trPr>
        <w:tc>
          <w:tcPr>
            <w:tcW w:w="4856" w:type="dxa"/>
            <w:shd w:val="clear" w:color="auto" w:fill="auto"/>
            <w:noWrap/>
            <w:vAlign w:val="center"/>
          </w:tcPr>
          <w:p w:rsidR="008A0612" w:rsidRDefault="008A0612" w:rsidP="004559E7">
            <w:pPr>
              <w:spacing w:before="100" w:beforeAutospacing="1" w:after="100" w:afterAutospacing="1"/>
              <w:jc w:val="right"/>
              <w:rPr>
                <w:b/>
                <w:iCs/>
                <w:color w:val="000000"/>
                <w:sz w:val="20"/>
                <w:lang w:eastAsia="zh-CN"/>
              </w:rPr>
            </w:pPr>
          </w:p>
        </w:tc>
        <w:tc>
          <w:tcPr>
            <w:tcW w:w="1572" w:type="dxa"/>
            <w:vAlign w:val="bottom"/>
          </w:tcPr>
          <w:p w:rsidR="008A0612" w:rsidRDefault="008A0612" w:rsidP="004559E7">
            <w:pPr>
              <w:spacing w:before="100" w:beforeAutospacing="1" w:after="100" w:afterAutospacing="1"/>
              <w:jc w:val="right"/>
              <w:rPr>
                <w:b/>
                <w:iCs/>
                <w:color w:val="000000"/>
                <w:sz w:val="20"/>
                <w:lang w:eastAsia="zh-CN"/>
              </w:rPr>
            </w:pPr>
          </w:p>
        </w:tc>
      </w:tr>
      <w:tr w:rsidR="002C4F90" w:rsidRPr="00704F23" w:rsidTr="008A0612">
        <w:trPr>
          <w:trHeight w:val="300"/>
          <w:jc w:val="center"/>
        </w:trPr>
        <w:tc>
          <w:tcPr>
            <w:tcW w:w="4856" w:type="dxa"/>
            <w:shd w:val="clear" w:color="auto" w:fill="auto"/>
            <w:noWrap/>
            <w:vAlign w:val="center"/>
          </w:tcPr>
          <w:p w:rsidR="002C4F90" w:rsidRPr="00704F23" w:rsidRDefault="002C4F90" w:rsidP="004559E7">
            <w:pPr>
              <w:spacing w:before="100" w:beforeAutospacing="1" w:after="100" w:afterAutospacing="1"/>
              <w:jc w:val="right"/>
              <w:rPr>
                <w:b/>
                <w:iCs/>
                <w:color w:val="000000"/>
                <w:sz w:val="20"/>
                <w:lang w:eastAsia="zh-CN"/>
              </w:rPr>
            </w:pPr>
            <w:r>
              <w:rPr>
                <w:b/>
                <w:iCs/>
                <w:color w:val="000000"/>
                <w:sz w:val="20"/>
                <w:lang w:eastAsia="zh-CN"/>
              </w:rPr>
              <w:t>TOTAL TELECOMMUNICATIONS EXPENDITURE</w:t>
            </w:r>
          </w:p>
        </w:tc>
        <w:tc>
          <w:tcPr>
            <w:tcW w:w="1572" w:type="dxa"/>
            <w:vAlign w:val="bottom"/>
          </w:tcPr>
          <w:p w:rsidR="002C4F90" w:rsidRDefault="008A0612" w:rsidP="004559E7">
            <w:pPr>
              <w:spacing w:before="100" w:beforeAutospacing="1" w:after="100" w:afterAutospacing="1"/>
              <w:jc w:val="right"/>
              <w:rPr>
                <w:b/>
                <w:iCs/>
                <w:color w:val="000000"/>
                <w:sz w:val="20"/>
                <w:lang w:eastAsia="zh-CN"/>
              </w:rPr>
            </w:pPr>
            <w:r>
              <w:rPr>
                <w:b/>
                <w:iCs/>
                <w:color w:val="000000"/>
                <w:sz w:val="20"/>
                <w:lang w:eastAsia="zh-CN"/>
              </w:rPr>
              <w:t>$52.76</w:t>
            </w:r>
          </w:p>
        </w:tc>
      </w:tr>
      <w:tr w:rsidR="002C4F90" w:rsidRPr="007B00BD" w:rsidTr="008A0612">
        <w:trPr>
          <w:trHeight w:val="300"/>
          <w:jc w:val="center"/>
        </w:trPr>
        <w:tc>
          <w:tcPr>
            <w:tcW w:w="4856" w:type="dxa"/>
            <w:shd w:val="clear" w:color="auto" w:fill="auto"/>
            <w:noWrap/>
            <w:vAlign w:val="bottom"/>
            <w:hideMark/>
          </w:tcPr>
          <w:p w:rsidR="002C4F90" w:rsidRPr="007B00BD" w:rsidRDefault="002C4F90" w:rsidP="004559E7">
            <w:pPr>
              <w:spacing w:before="100" w:beforeAutospacing="1" w:after="100" w:afterAutospacing="1"/>
              <w:rPr>
                <w:i/>
                <w:iCs/>
                <w:color w:val="000000"/>
                <w:sz w:val="20"/>
                <w:lang w:eastAsia="zh-CN"/>
              </w:rPr>
            </w:pPr>
            <w:r w:rsidRPr="007B00BD">
              <w:rPr>
                <w:i/>
                <w:iCs/>
                <w:color w:val="000000"/>
                <w:sz w:val="20"/>
                <w:lang w:eastAsia="zh-CN"/>
              </w:rPr>
              <w:t>% of Total G</w:t>
            </w:r>
            <w:r>
              <w:rPr>
                <w:i/>
                <w:iCs/>
                <w:color w:val="000000"/>
                <w:sz w:val="20"/>
                <w:lang w:eastAsia="zh-CN"/>
              </w:rPr>
              <w:t xml:space="preserve">oods </w:t>
            </w:r>
            <w:r w:rsidRPr="007B00BD">
              <w:rPr>
                <w:i/>
                <w:iCs/>
                <w:color w:val="000000"/>
                <w:sz w:val="20"/>
                <w:lang w:eastAsia="zh-CN"/>
              </w:rPr>
              <w:t>&amp;</w:t>
            </w:r>
            <w:r>
              <w:rPr>
                <w:i/>
                <w:iCs/>
                <w:color w:val="000000"/>
                <w:sz w:val="20"/>
                <w:lang w:eastAsia="zh-CN"/>
              </w:rPr>
              <w:t xml:space="preserve"> </w:t>
            </w:r>
            <w:r w:rsidRPr="007B00BD">
              <w:rPr>
                <w:i/>
                <w:iCs/>
                <w:color w:val="000000"/>
                <w:sz w:val="20"/>
                <w:lang w:eastAsia="zh-CN"/>
              </w:rPr>
              <w:t>S</w:t>
            </w:r>
            <w:r>
              <w:rPr>
                <w:i/>
                <w:iCs/>
                <w:color w:val="000000"/>
                <w:sz w:val="20"/>
                <w:lang w:eastAsia="zh-CN"/>
              </w:rPr>
              <w:t>ervice</w:t>
            </w:r>
            <w:r w:rsidRPr="007B00BD">
              <w:rPr>
                <w:i/>
                <w:iCs/>
                <w:color w:val="000000"/>
                <w:sz w:val="20"/>
                <w:lang w:eastAsia="zh-CN"/>
              </w:rPr>
              <w:t xml:space="preserve"> Expenditure</w:t>
            </w:r>
          </w:p>
        </w:tc>
        <w:tc>
          <w:tcPr>
            <w:tcW w:w="1572" w:type="dxa"/>
            <w:vAlign w:val="bottom"/>
          </w:tcPr>
          <w:p w:rsidR="002C4F90" w:rsidRPr="00767592" w:rsidRDefault="008A0612" w:rsidP="004559E7">
            <w:pPr>
              <w:spacing w:before="100" w:beforeAutospacing="1" w:after="100" w:afterAutospacing="1"/>
              <w:jc w:val="center"/>
              <w:rPr>
                <w:i/>
                <w:iCs/>
                <w:color w:val="000000"/>
                <w:sz w:val="20"/>
                <w:lang w:eastAsia="zh-CN"/>
              </w:rPr>
            </w:pPr>
            <w:r w:rsidRPr="00767592">
              <w:rPr>
                <w:i/>
                <w:iCs/>
                <w:color w:val="000000"/>
                <w:sz w:val="20"/>
                <w:lang w:eastAsia="zh-CN"/>
              </w:rPr>
              <w:t>3.7%</w:t>
            </w:r>
          </w:p>
        </w:tc>
      </w:tr>
      <w:tr w:rsidR="008A0612" w:rsidRPr="007B00BD" w:rsidTr="008A0612">
        <w:trPr>
          <w:trHeight w:val="300"/>
          <w:jc w:val="center"/>
        </w:trPr>
        <w:tc>
          <w:tcPr>
            <w:tcW w:w="4856" w:type="dxa"/>
            <w:shd w:val="clear" w:color="auto" w:fill="auto"/>
            <w:noWrap/>
            <w:vAlign w:val="bottom"/>
          </w:tcPr>
          <w:p w:rsidR="008A0612" w:rsidRDefault="008A0612" w:rsidP="004559E7">
            <w:pPr>
              <w:spacing w:before="100" w:beforeAutospacing="1" w:after="100" w:afterAutospacing="1"/>
              <w:rPr>
                <w:i/>
                <w:iCs/>
                <w:color w:val="000000"/>
                <w:sz w:val="20"/>
                <w:lang w:eastAsia="zh-CN"/>
              </w:rPr>
            </w:pPr>
            <w:r>
              <w:rPr>
                <w:i/>
                <w:iCs/>
                <w:color w:val="000000"/>
                <w:sz w:val="20"/>
                <w:lang w:eastAsia="zh-CN"/>
              </w:rPr>
              <w:t>% of Household Disposable Income</w:t>
            </w:r>
          </w:p>
        </w:tc>
        <w:tc>
          <w:tcPr>
            <w:tcW w:w="1572" w:type="dxa"/>
            <w:vAlign w:val="bottom"/>
          </w:tcPr>
          <w:p w:rsidR="008A0612" w:rsidRPr="00767592" w:rsidRDefault="008A0612" w:rsidP="004559E7">
            <w:pPr>
              <w:spacing w:before="100" w:beforeAutospacing="1" w:after="100" w:afterAutospacing="1"/>
              <w:jc w:val="center"/>
              <w:rPr>
                <w:i/>
                <w:iCs/>
                <w:color w:val="000000"/>
                <w:sz w:val="20"/>
                <w:lang w:eastAsia="zh-CN"/>
              </w:rPr>
            </w:pPr>
            <w:r w:rsidRPr="00767592">
              <w:rPr>
                <w:i/>
                <w:iCs/>
                <w:color w:val="000000"/>
                <w:sz w:val="20"/>
                <w:lang w:eastAsia="zh-CN"/>
              </w:rPr>
              <w:t>3.1%</w:t>
            </w:r>
          </w:p>
        </w:tc>
      </w:tr>
    </w:tbl>
    <w:p w:rsidR="000841A4" w:rsidRDefault="002B7C7D" w:rsidP="004C0620">
      <w:pPr>
        <w:jc w:val="center"/>
        <w:rPr>
          <w:sz w:val="20"/>
        </w:rPr>
      </w:pPr>
      <w:r w:rsidRPr="008A0612">
        <w:rPr>
          <w:sz w:val="20"/>
        </w:rPr>
        <w:t xml:space="preserve">* </w:t>
      </w:r>
      <w:r w:rsidR="00272A18" w:rsidRPr="008A0612">
        <w:rPr>
          <w:sz w:val="20"/>
        </w:rPr>
        <w:t>Includes telephone handset purchase, answering machines, modems</w:t>
      </w:r>
      <w:r w:rsidR="008A0612">
        <w:rPr>
          <w:sz w:val="20"/>
        </w:rPr>
        <w:t xml:space="preserve"> (separately purchased)</w:t>
      </w:r>
    </w:p>
    <w:p w:rsidR="00CA4042" w:rsidRDefault="00122177" w:rsidP="00CB428E">
      <w:r>
        <w:rPr>
          <w:noProof/>
          <w:szCs w:val="24"/>
        </w:rPr>
        <mc:AlternateContent>
          <mc:Choice Requires="wps">
            <w:drawing>
              <wp:anchor distT="0" distB="0" distL="114300" distR="114300" simplePos="0" relativeHeight="251659264" behindDoc="0" locked="0" layoutInCell="1" allowOverlap="1" wp14:anchorId="10024E69" wp14:editId="4386C013">
                <wp:simplePos x="0" y="0"/>
                <wp:positionH relativeFrom="column">
                  <wp:posOffset>40640</wp:posOffset>
                </wp:positionH>
                <wp:positionV relativeFrom="paragraph">
                  <wp:posOffset>9698990</wp:posOffset>
                </wp:positionV>
                <wp:extent cx="7505700" cy="105410"/>
                <wp:effectExtent l="0" t="2540" r="127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105410"/>
                        </a:xfrm>
                        <a:prstGeom prst="rect">
                          <a:avLst/>
                        </a:prstGeom>
                        <a:gradFill rotWithShape="1">
                          <a:gsLst>
                            <a:gs pos="0">
                              <a:srgbClr val="FFFFFF"/>
                            </a:gs>
                            <a:gs pos="50000">
                              <a:srgbClr val="44C8F5"/>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2pt;margin-top:763.7pt;width:591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" stroked="f">
                <v:fill color2="#44c8f5" rotate="t" angle="90" focus="50%" type="gradient"/>
              </v:rect>
            </w:pict>
          </mc:Fallback>
        </mc:AlternateContent>
      </w:r>
      <w:r>
        <w:rPr>
          <w:noProof/>
          <w:szCs w:val="24"/>
        </w:rPr>
        <mc:AlternateContent>
          <mc:Choice Requires="wps">
            <w:drawing>
              <wp:anchor distT="0" distB="0" distL="114300" distR="114300" simplePos="0" relativeHeight="251658240" behindDoc="0" locked="0" layoutInCell="1" allowOverlap="1" wp14:anchorId="23838001" wp14:editId="06D27DCF">
                <wp:simplePos x="0" y="0"/>
                <wp:positionH relativeFrom="column">
                  <wp:posOffset>40640</wp:posOffset>
                </wp:positionH>
                <wp:positionV relativeFrom="paragraph">
                  <wp:posOffset>9698990</wp:posOffset>
                </wp:positionV>
                <wp:extent cx="7505700" cy="105410"/>
                <wp:effectExtent l="0" t="2540" r="127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105410"/>
                        </a:xfrm>
                        <a:prstGeom prst="rect">
                          <a:avLst/>
                        </a:prstGeom>
                        <a:gradFill rotWithShape="1">
                          <a:gsLst>
                            <a:gs pos="0">
                              <a:srgbClr val="FFFFFF"/>
                            </a:gs>
                            <a:gs pos="50000">
                              <a:srgbClr val="44C8F5"/>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2pt;margin-top:763.7pt;width:591pt;height: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" stroked="f">
                <v:fill color2="#44c8f5" rotate="t" angle="90" focus="50%" type="gradient"/>
              </v:rect>
            </w:pict>
          </mc:Fallback>
        </mc:AlternateContent>
      </w:r>
      <w:r w:rsidR="00F805DC">
        <w:rPr>
          <w:szCs w:val="24"/>
        </w:rPr>
        <w:t xml:space="preserve">As with all HES data, these figures represent the average expenditure of all households. Where some households have little or no expenditure in any category, this brings down the average for all households but underestimates the expenditure for those households with that expenditure. Hence for instance (in the starkest example), the average expenditure on housing is reduced greatly by those who own their own home and have limited weekly costs, while the </w:t>
      </w:r>
      <w:r w:rsidR="00126E12">
        <w:rPr>
          <w:szCs w:val="24"/>
        </w:rPr>
        <w:t xml:space="preserve">HES </w:t>
      </w:r>
      <w:r w:rsidR="00F805DC">
        <w:rPr>
          <w:szCs w:val="24"/>
        </w:rPr>
        <w:t>rent</w:t>
      </w:r>
      <w:r w:rsidR="00126E12">
        <w:rPr>
          <w:szCs w:val="24"/>
        </w:rPr>
        <w:t xml:space="preserve"> expenditure</w:t>
      </w:r>
      <w:r w:rsidR="00F805DC">
        <w:rPr>
          <w:szCs w:val="24"/>
        </w:rPr>
        <w:t xml:space="preserve"> figure </w:t>
      </w:r>
      <w:r w:rsidR="00126E12">
        <w:rPr>
          <w:szCs w:val="24"/>
        </w:rPr>
        <w:t>of</w:t>
      </w:r>
      <w:r w:rsidR="00F805DC">
        <w:rPr>
          <w:szCs w:val="24"/>
        </w:rPr>
        <w:t xml:space="preserve"> </w:t>
      </w:r>
      <w:r w:rsidR="00126E12" w:rsidRPr="00126E12">
        <w:rPr>
          <w:szCs w:val="24"/>
        </w:rPr>
        <w:t>$105</w:t>
      </w:r>
      <w:r w:rsidR="00F805DC">
        <w:rPr>
          <w:szCs w:val="24"/>
        </w:rPr>
        <w:t xml:space="preserve"> per week </w:t>
      </w:r>
      <w:r w:rsidR="00126E12">
        <w:rPr>
          <w:szCs w:val="24"/>
        </w:rPr>
        <w:t>is</w:t>
      </w:r>
      <w:r w:rsidR="00F805DC">
        <w:rPr>
          <w:szCs w:val="24"/>
        </w:rPr>
        <w:t xml:space="preserve"> well below what any renter would actually pay (but the result of averaging the rent paid across all households). For telecommunications, ABS census data shows that </w:t>
      </w:r>
      <w:r w:rsidR="00CB428E" w:rsidRPr="00CB428E">
        <w:rPr>
          <w:szCs w:val="24"/>
        </w:rPr>
        <w:t>14.1</w:t>
      </w:r>
      <w:r w:rsidR="00F805DC">
        <w:rPr>
          <w:szCs w:val="24"/>
        </w:rPr>
        <w:t>% of household</w:t>
      </w:r>
      <w:r w:rsidR="003E113F">
        <w:rPr>
          <w:szCs w:val="24"/>
        </w:rPr>
        <w:t>s</w:t>
      </w:r>
      <w:r w:rsidR="00F805DC">
        <w:rPr>
          <w:szCs w:val="24"/>
        </w:rPr>
        <w:t xml:space="preserve"> do </w:t>
      </w:r>
      <w:r w:rsidR="00126E12">
        <w:rPr>
          <w:szCs w:val="24"/>
        </w:rPr>
        <w:t xml:space="preserve">not </w:t>
      </w:r>
      <w:r w:rsidR="00F805DC">
        <w:rPr>
          <w:szCs w:val="24"/>
        </w:rPr>
        <w:t xml:space="preserve">have internet access at home (or by mobile). Accordingly, the figures above underestimate </w:t>
      </w:r>
      <w:r w:rsidR="00126E12">
        <w:rPr>
          <w:szCs w:val="24"/>
        </w:rPr>
        <w:t>the telecommunications expenditure for those households who are connected and do not account for very great differences in usage between households. However, the figures do represent telecommunications expenditure averaged across all households and as such enable a significant analysis and comparisons to be made.</w:t>
      </w:r>
    </w:p>
    <w:p w:rsidR="00526800" w:rsidRDefault="00526800" w:rsidP="00287592">
      <w:pPr>
        <w:pStyle w:val="Heading1"/>
      </w:pPr>
      <w:bookmarkStart w:id="8" w:name="_Toc498421749"/>
      <w:r>
        <w:lastRenderedPageBreak/>
        <w:t>Relative Importance of Telecommunications Expenditure</w:t>
      </w:r>
      <w:bookmarkEnd w:id="8"/>
    </w:p>
    <w:p w:rsidR="00526800" w:rsidRDefault="00526800" w:rsidP="00526800">
      <w:r>
        <w:t xml:space="preserve">Telecommunications is not one of the </w:t>
      </w:r>
      <w:r w:rsidR="003E0461">
        <w:t>three</w:t>
      </w:r>
      <w:r w:rsidR="00E0156E">
        <w:t xml:space="preserve"> big</w:t>
      </w:r>
      <w:r>
        <w:t xml:space="preserve"> weekly household expenditures </w:t>
      </w:r>
      <w:r w:rsidR="00E0156E">
        <w:t>(</w:t>
      </w:r>
      <w:r>
        <w:t>housing, food and transport</w:t>
      </w:r>
      <w:r w:rsidR="00E0156E">
        <w:t>)</w:t>
      </w:r>
      <w:r>
        <w:t xml:space="preserve">, but at 3.7% of </w:t>
      </w:r>
      <w:r w:rsidR="00E0156E">
        <w:t>average household expenditure</w:t>
      </w:r>
      <w:r w:rsidR="003E0461">
        <w:t>,</w:t>
      </w:r>
      <w:r>
        <w:t xml:space="preserve"> </w:t>
      </w:r>
      <w:r w:rsidR="00166620">
        <w:t>it is</w:t>
      </w:r>
      <w:r w:rsidR="00E0156E">
        <w:t xml:space="preserve"> </w:t>
      </w:r>
      <w:r>
        <w:t>significant</w:t>
      </w:r>
      <w:r w:rsidR="00166620">
        <w:t xml:space="preserve"> – as eviden</w:t>
      </w:r>
      <w:r w:rsidR="003E0461">
        <w:t>ced</w:t>
      </w:r>
      <w:r w:rsidR="00166620">
        <w:t xml:space="preserve"> by the comparison with other important household expenditures</w:t>
      </w:r>
      <w:r w:rsidR="009A0CAC">
        <w:t xml:space="preserve"> in </w:t>
      </w:r>
      <w:r w:rsidR="009A0CAC">
        <w:fldChar w:fldCharType="begin"/>
      </w:r>
      <w:r w:rsidR="009A0CAC">
        <w:instrText xml:space="preserve"> REF _Ref497909003 \h </w:instrText>
      </w:r>
      <w:r w:rsidR="009A0CAC">
        <w:fldChar w:fldCharType="separate"/>
      </w:r>
      <w:r w:rsidR="00AF12ED">
        <w:t xml:space="preserve">Figure </w:t>
      </w:r>
      <w:r w:rsidR="00AF12ED">
        <w:rPr>
          <w:noProof/>
        </w:rPr>
        <w:t>1</w:t>
      </w:r>
      <w:r w:rsidR="009A0CAC">
        <w:fldChar w:fldCharType="end"/>
      </w:r>
      <w:r w:rsidR="00166620">
        <w:t>.</w:t>
      </w:r>
    </w:p>
    <w:p w:rsidR="00526800" w:rsidRDefault="00526800" w:rsidP="00526800"/>
    <w:p w:rsidR="00BE1037" w:rsidRDefault="00BE1037" w:rsidP="00BE1037">
      <w:pPr>
        <w:pStyle w:val="Caption"/>
      </w:pPr>
      <w:bookmarkStart w:id="9" w:name="_Ref497909003"/>
      <w:bookmarkStart w:id="10" w:name="_Toc498421771"/>
      <w:r>
        <w:t xml:space="preserve">Figure </w:t>
      </w:r>
      <w:fldSimple w:instr=" SEQ Figure \* ARABIC ">
        <w:r w:rsidR="00AF12ED">
          <w:rPr>
            <w:noProof/>
          </w:rPr>
          <w:t>1</w:t>
        </w:r>
      </w:fldSimple>
      <w:bookmarkEnd w:id="9"/>
      <w:r>
        <w:t>: Share of Household Goods and Services Expenditure</w:t>
      </w:r>
      <w:bookmarkEnd w:id="10"/>
    </w:p>
    <w:p w:rsidR="00526800" w:rsidRDefault="00526800" w:rsidP="00526800">
      <w:pPr>
        <w:jc w:val="center"/>
      </w:pPr>
      <w:r>
        <w:rPr>
          <w:noProof/>
        </w:rPr>
        <w:drawing>
          <wp:inline distT="0" distB="0" distL="0" distR="0" wp14:anchorId="543120B3" wp14:editId="7BC05D33">
            <wp:extent cx="5273040" cy="3341370"/>
            <wp:effectExtent l="0" t="0" r="22860" b="11430"/>
            <wp:docPr id="1" name="Chart 1" descr="Figure 1: Pie chart showing housing, food and transport as the 3 major expenditure categories, with telecomms also fairing as a smaller, though significant, expenditure, at 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99FFB2C-2DCE-4AC3-BB59-3C17CC52D7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26800" w:rsidRPr="00526800" w:rsidRDefault="00526800" w:rsidP="002F2638">
      <w:pPr>
        <w:rPr>
          <w:sz w:val="20"/>
        </w:rPr>
      </w:pPr>
      <w:r>
        <w:rPr>
          <w:sz w:val="20"/>
        </w:rPr>
        <w:t>Note: categories and proportions of expenditure adjusted to definition of telecommunications used herein.</w:t>
      </w:r>
    </w:p>
    <w:p w:rsidR="00526800" w:rsidRDefault="00526800" w:rsidP="00526800"/>
    <w:p w:rsidR="00166620" w:rsidRDefault="00166620" w:rsidP="00526800">
      <w:r>
        <w:t>Telecommunications</w:t>
      </w:r>
      <w:r w:rsidR="00313A24">
        <w:t xml:space="preserve"> expenditure is</w:t>
      </w:r>
      <w:r>
        <w:t xml:space="preserve"> also significant </w:t>
      </w:r>
      <w:r w:rsidR="00313A24">
        <w:t>compared to</w:t>
      </w:r>
      <w:r>
        <w:t xml:space="preserve"> other public utilities</w:t>
      </w:r>
      <w:r w:rsidR="00C27954">
        <w:t xml:space="preserve">. Average household </w:t>
      </w:r>
      <w:r w:rsidR="00313A24">
        <w:t xml:space="preserve">expenditure </w:t>
      </w:r>
      <w:r w:rsidR="00C27954">
        <w:t>on telecommunications is</w:t>
      </w:r>
      <w:r w:rsidR="00313A24">
        <w:t xml:space="preserve"> greater than on </w:t>
      </w:r>
      <w:r>
        <w:t>either energy (el</w:t>
      </w:r>
      <w:r w:rsidR="00313A24">
        <w:t>ectricity and gas) or water/</w:t>
      </w:r>
      <w:r>
        <w:t>sewerage.</w:t>
      </w:r>
      <w:r w:rsidR="009A0CAC">
        <w:t xml:space="preserve"> See </w:t>
      </w:r>
      <w:r w:rsidR="009A0CAC">
        <w:fldChar w:fldCharType="begin"/>
      </w:r>
      <w:r w:rsidR="009A0CAC">
        <w:instrText xml:space="preserve"> REF _Ref497909033 \h </w:instrText>
      </w:r>
      <w:r w:rsidR="009A0CAC">
        <w:fldChar w:fldCharType="separate"/>
      </w:r>
      <w:r w:rsidR="00AF12ED">
        <w:t xml:space="preserve">Figure </w:t>
      </w:r>
      <w:r w:rsidR="00AF12ED">
        <w:rPr>
          <w:noProof/>
        </w:rPr>
        <w:t>2</w:t>
      </w:r>
      <w:r w:rsidR="009A0CAC">
        <w:fldChar w:fldCharType="end"/>
      </w:r>
      <w:r w:rsidR="009A0CAC">
        <w:t>.</w:t>
      </w:r>
    </w:p>
    <w:p w:rsidR="00BE1037" w:rsidRDefault="00BE1037" w:rsidP="00AE1139">
      <w:pPr>
        <w:pStyle w:val="Caption"/>
        <w:keepNext/>
        <w:keepLines/>
      </w:pPr>
      <w:bookmarkStart w:id="11" w:name="_Ref497909033"/>
      <w:bookmarkStart w:id="12" w:name="_Toc498421772"/>
      <w:r>
        <w:lastRenderedPageBreak/>
        <w:t xml:space="preserve">Figure </w:t>
      </w:r>
      <w:fldSimple w:instr=" SEQ Figure \* ARABIC ">
        <w:r w:rsidR="00AF12ED">
          <w:rPr>
            <w:noProof/>
          </w:rPr>
          <w:t>2</w:t>
        </w:r>
      </w:fldSimple>
      <w:bookmarkEnd w:id="11"/>
      <w:r>
        <w:t>: Comparative Expenditure on Utilities</w:t>
      </w:r>
      <w:bookmarkEnd w:id="12"/>
    </w:p>
    <w:p w:rsidR="00166620" w:rsidRDefault="00AC3A6B" w:rsidP="00166620">
      <w:pPr>
        <w:jc w:val="center"/>
      </w:pPr>
      <w:r>
        <w:rPr>
          <w:noProof/>
        </w:rPr>
        <w:drawing>
          <wp:inline distT="0" distB="0" distL="0" distR="0" wp14:anchorId="1DC45621" wp14:editId="1028F959">
            <wp:extent cx="4625340" cy="2354580"/>
            <wp:effectExtent l="0" t="0" r="22860" b="26670"/>
            <wp:docPr id="6" name="Chart 6" descr="Figure 2: telecomms Expenditure is greater than for energy or water/sewerag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33196DB-7A7F-4593-AE66-6BE0E65AB5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26800" w:rsidRDefault="00166620" w:rsidP="00313A24">
      <w:pPr>
        <w:jc w:val="center"/>
      </w:pPr>
      <w:r>
        <w:rPr>
          <w:sz w:val="20"/>
        </w:rPr>
        <w:t xml:space="preserve">Note: Energy expenditure </w:t>
      </w:r>
      <w:r w:rsidR="00491E2C">
        <w:rPr>
          <w:sz w:val="20"/>
        </w:rPr>
        <w:t>includes HES estimate of expenditure on solar panels</w:t>
      </w:r>
      <w:r>
        <w:rPr>
          <w:sz w:val="20"/>
        </w:rPr>
        <w:t>.</w:t>
      </w:r>
    </w:p>
    <w:p w:rsidR="00EE1F77" w:rsidRDefault="00FD147E" w:rsidP="00287592">
      <w:pPr>
        <w:pStyle w:val="Heading1"/>
      </w:pPr>
      <w:bookmarkStart w:id="13" w:name="_Toc498421750"/>
      <w:r>
        <w:lastRenderedPageBreak/>
        <w:t>Telecommunication</w:t>
      </w:r>
      <w:r w:rsidR="00B4155E">
        <w:t>s Expenditure by Income</w:t>
      </w:r>
      <w:bookmarkEnd w:id="13"/>
    </w:p>
    <w:p w:rsidR="00B4155E" w:rsidRDefault="00B4155E" w:rsidP="00287592">
      <w:pPr>
        <w:pStyle w:val="Heading2"/>
      </w:pPr>
      <w:bookmarkStart w:id="14" w:name="_Toc498421751"/>
      <w:r>
        <w:t>Analysis by Income Quintile</w:t>
      </w:r>
      <w:bookmarkEnd w:id="14"/>
    </w:p>
    <w:p w:rsidR="00FD147E" w:rsidRDefault="00FD147E" w:rsidP="00FD147E">
      <w:r>
        <w:t>Telecommunication e</w:t>
      </w:r>
      <w:r w:rsidR="00E51AF8">
        <w:t xml:space="preserve">xpenditure is regressive: </w:t>
      </w:r>
      <w:r>
        <w:t xml:space="preserve"> </w:t>
      </w:r>
      <w:r w:rsidR="00BA58A3">
        <w:t xml:space="preserve">telecommunications make up </w:t>
      </w:r>
      <w:r>
        <w:t>propo</w:t>
      </w:r>
      <w:r w:rsidR="00E51AF8">
        <w:t xml:space="preserve">rtionately more </w:t>
      </w:r>
      <w:r w:rsidR="00F261A9">
        <w:t xml:space="preserve">of the </w:t>
      </w:r>
      <w:r w:rsidR="00BA58A3">
        <w:t>expenditure</w:t>
      </w:r>
      <w:r w:rsidR="00905859">
        <w:t xml:space="preserve"> of people on the lowest incomes</w:t>
      </w:r>
      <w:r>
        <w:t xml:space="preserve"> than those on higher incomes</w:t>
      </w:r>
      <w:r w:rsidR="00321118">
        <w:t xml:space="preserve"> (see </w:t>
      </w:r>
      <w:r w:rsidR="00321118">
        <w:fldChar w:fldCharType="begin"/>
      </w:r>
      <w:r w:rsidR="00321118">
        <w:instrText xml:space="preserve"> REF _Ref497913019 \h </w:instrText>
      </w:r>
      <w:r w:rsidR="00321118">
        <w:fldChar w:fldCharType="separate"/>
      </w:r>
      <w:r w:rsidR="00AF12ED">
        <w:t xml:space="preserve">Table </w:t>
      </w:r>
      <w:r w:rsidR="00AF12ED">
        <w:rPr>
          <w:noProof/>
        </w:rPr>
        <w:t>2</w:t>
      </w:r>
      <w:r w:rsidR="00321118">
        <w:fldChar w:fldCharType="end"/>
      </w:r>
      <w:r w:rsidR="00321118">
        <w:t>)</w:t>
      </w:r>
      <w:r>
        <w:t xml:space="preserve">. </w:t>
      </w:r>
    </w:p>
    <w:p w:rsidR="00346D94" w:rsidRDefault="00346D94" w:rsidP="00346D94">
      <w:pPr>
        <w:pStyle w:val="Caption"/>
      </w:pPr>
      <w:bookmarkStart w:id="15" w:name="_Ref497913019"/>
      <w:bookmarkStart w:id="16" w:name="_Ref497913015"/>
      <w:bookmarkStart w:id="17" w:name="_Toc498421781"/>
      <w:r>
        <w:t xml:space="preserve">Table </w:t>
      </w:r>
      <w:fldSimple w:instr=" SEQ Table \* ARABIC ">
        <w:r w:rsidR="00AF12ED">
          <w:rPr>
            <w:noProof/>
          </w:rPr>
          <w:t>2</w:t>
        </w:r>
      </w:fldSimple>
      <w:bookmarkEnd w:id="15"/>
      <w:r>
        <w:t>: Weekly Telecommunications Expenditure by Gross Income Quintile</w:t>
      </w:r>
      <w:bookmarkEnd w:id="16"/>
      <w:bookmarkEnd w:id="17"/>
    </w:p>
    <w:tbl>
      <w:tblPr>
        <w:tblStyle w:val="TableGrid"/>
        <w:tblW w:w="0" w:type="auto"/>
        <w:jc w:val="center"/>
        <w:tblInd w:w="-511" w:type="dxa"/>
        <w:tblLook w:val="04A0" w:firstRow="1" w:lastRow="0" w:firstColumn="1" w:lastColumn="0" w:noHBand="0" w:noVBand="1"/>
        <w:tblDescription w:val="Table 2: Telecommunication expenditure is regressive"/>
      </w:tblPr>
      <w:tblGrid>
        <w:gridCol w:w="3839"/>
        <w:gridCol w:w="1049"/>
        <w:gridCol w:w="1049"/>
        <w:gridCol w:w="1049"/>
        <w:gridCol w:w="1049"/>
        <w:gridCol w:w="1049"/>
        <w:gridCol w:w="13"/>
      </w:tblGrid>
      <w:tr w:rsidR="00346D94" w:rsidRPr="00346D94" w:rsidTr="009B0463">
        <w:trPr>
          <w:tblHeader/>
          <w:jc w:val="center"/>
        </w:trPr>
        <w:tc>
          <w:tcPr>
            <w:tcW w:w="3839" w:type="dxa"/>
          </w:tcPr>
          <w:p w:rsidR="00346D94" w:rsidRPr="00346D94" w:rsidRDefault="00346D94" w:rsidP="00FD147E">
            <w:pPr>
              <w:rPr>
                <w:rFonts w:asciiTheme="minorHAnsi" w:hAnsiTheme="minorHAnsi" w:cstheme="minorHAnsi"/>
                <w:b/>
                <w:sz w:val="22"/>
              </w:rPr>
            </w:pPr>
            <w:bookmarkStart w:id="18" w:name="_GoBack" w:colFirst="1" w:colLast="2"/>
          </w:p>
        </w:tc>
        <w:tc>
          <w:tcPr>
            <w:tcW w:w="5258" w:type="dxa"/>
            <w:gridSpan w:val="6"/>
            <w:vAlign w:val="center"/>
          </w:tcPr>
          <w:p w:rsidR="00346D94" w:rsidRPr="00346D94" w:rsidRDefault="00346D94" w:rsidP="00346D94">
            <w:pPr>
              <w:jc w:val="center"/>
              <w:rPr>
                <w:rFonts w:asciiTheme="minorHAnsi" w:hAnsiTheme="minorHAnsi" w:cstheme="minorHAnsi"/>
                <w:b/>
                <w:sz w:val="22"/>
              </w:rPr>
            </w:pPr>
            <w:r>
              <w:rPr>
                <w:rFonts w:asciiTheme="minorHAnsi" w:hAnsiTheme="minorHAnsi" w:cstheme="minorHAnsi"/>
                <w:b/>
                <w:sz w:val="22"/>
              </w:rPr>
              <w:t>Gross Income Quintile</w:t>
            </w:r>
          </w:p>
        </w:tc>
      </w:tr>
      <w:bookmarkEnd w:id="18"/>
      <w:tr w:rsidR="00AE7455" w:rsidRPr="00346D94" w:rsidTr="009B0463">
        <w:trPr>
          <w:gridAfter w:val="1"/>
          <w:wAfter w:w="13" w:type="dxa"/>
          <w:jc w:val="center"/>
        </w:trPr>
        <w:tc>
          <w:tcPr>
            <w:tcW w:w="3839" w:type="dxa"/>
          </w:tcPr>
          <w:p w:rsidR="00AE7455" w:rsidRPr="00346D94" w:rsidRDefault="00AE7455" w:rsidP="00FD147E">
            <w:pPr>
              <w:rPr>
                <w:rFonts w:asciiTheme="minorHAnsi" w:hAnsiTheme="minorHAnsi" w:cstheme="minorHAnsi"/>
                <w:b/>
                <w:sz w:val="22"/>
              </w:rPr>
            </w:pPr>
          </w:p>
        </w:tc>
        <w:tc>
          <w:tcPr>
            <w:tcW w:w="1049" w:type="dxa"/>
            <w:vAlign w:val="center"/>
          </w:tcPr>
          <w:p w:rsidR="00AE7455" w:rsidRPr="00346D94" w:rsidRDefault="00AE7455" w:rsidP="00346D94">
            <w:pPr>
              <w:jc w:val="center"/>
              <w:rPr>
                <w:rFonts w:asciiTheme="minorHAnsi" w:hAnsiTheme="minorHAnsi" w:cstheme="minorHAnsi"/>
                <w:b/>
                <w:sz w:val="22"/>
              </w:rPr>
            </w:pPr>
            <w:r w:rsidRPr="00346D94">
              <w:rPr>
                <w:rFonts w:asciiTheme="minorHAnsi" w:hAnsiTheme="minorHAnsi" w:cstheme="minorHAnsi"/>
                <w:b/>
                <w:sz w:val="22"/>
              </w:rPr>
              <w:t>Lowest</w:t>
            </w:r>
          </w:p>
        </w:tc>
        <w:tc>
          <w:tcPr>
            <w:tcW w:w="1049" w:type="dxa"/>
            <w:vAlign w:val="center"/>
          </w:tcPr>
          <w:p w:rsidR="00AE7455" w:rsidRPr="00346D94" w:rsidRDefault="00AE7455" w:rsidP="00346D94">
            <w:pPr>
              <w:jc w:val="center"/>
              <w:rPr>
                <w:rFonts w:asciiTheme="minorHAnsi" w:hAnsiTheme="minorHAnsi" w:cstheme="minorHAnsi"/>
                <w:b/>
                <w:sz w:val="22"/>
              </w:rPr>
            </w:pPr>
            <w:r w:rsidRPr="00346D94">
              <w:rPr>
                <w:rFonts w:asciiTheme="minorHAnsi" w:hAnsiTheme="minorHAnsi" w:cstheme="minorHAnsi"/>
                <w:b/>
                <w:sz w:val="22"/>
              </w:rPr>
              <w:t>Second</w:t>
            </w:r>
          </w:p>
        </w:tc>
        <w:tc>
          <w:tcPr>
            <w:tcW w:w="1049" w:type="dxa"/>
            <w:vAlign w:val="center"/>
          </w:tcPr>
          <w:p w:rsidR="00AE7455" w:rsidRPr="00346D94" w:rsidRDefault="00AE7455" w:rsidP="00346D94">
            <w:pPr>
              <w:jc w:val="center"/>
              <w:rPr>
                <w:rFonts w:asciiTheme="minorHAnsi" w:hAnsiTheme="minorHAnsi" w:cstheme="minorHAnsi"/>
                <w:b/>
                <w:sz w:val="22"/>
              </w:rPr>
            </w:pPr>
            <w:r w:rsidRPr="00346D94">
              <w:rPr>
                <w:rFonts w:asciiTheme="minorHAnsi" w:hAnsiTheme="minorHAnsi" w:cstheme="minorHAnsi"/>
                <w:b/>
                <w:sz w:val="22"/>
              </w:rPr>
              <w:t>Third</w:t>
            </w:r>
          </w:p>
        </w:tc>
        <w:tc>
          <w:tcPr>
            <w:tcW w:w="1049" w:type="dxa"/>
            <w:vAlign w:val="center"/>
          </w:tcPr>
          <w:p w:rsidR="00AE7455" w:rsidRPr="00346D94" w:rsidRDefault="00AE7455" w:rsidP="00346D94">
            <w:pPr>
              <w:jc w:val="center"/>
              <w:rPr>
                <w:rFonts w:asciiTheme="minorHAnsi" w:hAnsiTheme="minorHAnsi" w:cstheme="minorHAnsi"/>
                <w:b/>
                <w:sz w:val="22"/>
              </w:rPr>
            </w:pPr>
            <w:r w:rsidRPr="00346D94">
              <w:rPr>
                <w:rFonts w:asciiTheme="minorHAnsi" w:hAnsiTheme="minorHAnsi" w:cstheme="minorHAnsi"/>
                <w:b/>
                <w:sz w:val="22"/>
              </w:rPr>
              <w:t>Fourth</w:t>
            </w:r>
          </w:p>
        </w:tc>
        <w:tc>
          <w:tcPr>
            <w:tcW w:w="1049" w:type="dxa"/>
            <w:vAlign w:val="center"/>
          </w:tcPr>
          <w:p w:rsidR="00AE7455" w:rsidRPr="00346D94" w:rsidRDefault="00AE7455" w:rsidP="00346D94">
            <w:pPr>
              <w:jc w:val="center"/>
              <w:rPr>
                <w:rFonts w:asciiTheme="minorHAnsi" w:hAnsiTheme="minorHAnsi" w:cstheme="minorHAnsi"/>
                <w:b/>
                <w:sz w:val="22"/>
              </w:rPr>
            </w:pPr>
            <w:r w:rsidRPr="00346D94">
              <w:rPr>
                <w:rFonts w:asciiTheme="minorHAnsi" w:hAnsiTheme="minorHAnsi" w:cstheme="minorHAnsi"/>
                <w:b/>
                <w:sz w:val="22"/>
              </w:rPr>
              <w:t>Highest</w:t>
            </w:r>
          </w:p>
        </w:tc>
      </w:tr>
      <w:tr w:rsidR="00AE7455" w:rsidRPr="00346D94" w:rsidTr="009B0463">
        <w:trPr>
          <w:gridAfter w:val="1"/>
          <w:wAfter w:w="13" w:type="dxa"/>
          <w:jc w:val="center"/>
        </w:trPr>
        <w:tc>
          <w:tcPr>
            <w:tcW w:w="3839" w:type="dxa"/>
          </w:tcPr>
          <w:p w:rsidR="00AE7455" w:rsidRPr="00346D94" w:rsidRDefault="00AE7455" w:rsidP="00AE7455">
            <w:pPr>
              <w:rPr>
                <w:rFonts w:asciiTheme="minorHAnsi" w:hAnsiTheme="minorHAnsi" w:cstheme="minorHAnsi"/>
                <w:sz w:val="22"/>
              </w:rPr>
            </w:pPr>
            <w:r w:rsidRPr="00346D94">
              <w:rPr>
                <w:rFonts w:asciiTheme="minorHAnsi" w:hAnsiTheme="minorHAnsi" w:cstheme="minorHAnsi"/>
                <w:sz w:val="22"/>
              </w:rPr>
              <w:t>Equipment</w:t>
            </w:r>
          </w:p>
        </w:tc>
        <w:tc>
          <w:tcPr>
            <w:tcW w:w="1049" w:type="dxa"/>
            <w:shd w:val="clear" w:color="auto" w:fill="auto"/>
          </w:tcPr>
          <w:p w:rsidR="00AE7455" w:rsidRPr="00346D94" w:rsidRDefault="00AE7455" w:rsidP="00767592">
            <w:pPr>
              <w:spacing w:line="240" w:lineRule="auto"/>
              <w:jc w:val="right"/>
              <w:rPr>
                <w:rFonts w:asciiTheme="minorHAnsi" w:eastAsia="Times New Roman" w:hAnsiTheme="minorHAnsi" w:cstheme="minorHAnsi"/>
                <w:bCs/>
                <w:color w:val="000000"/>
                <w:sz w:val="22"/>
              </w:rPr>
            </w:pPr>
            <w:r w:rsidRPr="00346D94">
              <w:rPr>
                <w:rFonts w:asciiTheme="minorHAnsi" w:hAnsiTheme="minorHAnsi" w:cstheme="minorHAnsi"/>
                <w:bCs/>
                <w:color w:val="000000"/>
                <w:sz w:val="22"/>
              </w:rPr>
              <w:t>5.09</w:t>
            </w:r>
          </w:p>
        </w:tc>
        <w:tc>
          <w:tcPr>
            <w:tcW w:w="1049" w:type="dxa"/>
            <w:shd w:val="clear" w:color="auto" w:fill="auto"/>
          </w:tcPr>
          <w:p w:rsidR="00AE7455" w:rsidRPr="00346D94" w:rsidRDefault="00AE7455" w:rsidP="00767592">
            <w:pPr>
              <w:jc w:val="right"/>
              <w:rPr>
                <w:rFonts w:asciiTheme="minorHAnsi" w:hAnsiTheme="minorHAnsi" w:cstheme="minorHAnsi"/>
                <w:bCs/>
                <w:color w:val="000000"/>
                <w:sz w:val="22"/>
              </w:rPr>
            </w:pPr>
            <w:r w:rsidRPr="00346D94">
              <w:rPr>
                <w:rFonts w:asciiTheme="minorHAnsi" w:hAnsiTheme="minorHAnsi" w:cstheme="minorHAnsi"/>
                <w:bCs/>
                <w:color w:val="000000"/>
                <w:sz w:val="22"/>
              </w:rPr>
              <w:t>7.04</w:t>
            </w:r>
          </w:p>
        </w:tc>
        <w:tc>
          <w:tcPr>
            <w:tcW w:w="1049" w:type="dxa"/>
            <w:shd w:val="clear" w:color="auto" w:fill="auto"/>
          </w:tcPr>
          <w:p w:rsidR="00AE7455" w:rsidRPr="00346D94" w:rsidRDefault="00AE7455" w:rsidP="00767592">
            <w:pPr>
              <w:jc w:val="right"/>
              <w:rPr>
                <w:rFonts w:asciiTheme="minorHAnsi" w:hAnsiTheme="minorHAnsi" w:cstheme="minorHAnsi"/>
                <w:bCs/>
                <w:color w:val="000000"/>
                <w:sz w:val="22"/>
              </w:rPr>
            </w:pPr>
            <w:r w:rsidRPr="00346D94">
              <w:rPr>
                <w:rFonts w:asciiTheme="minorHAnsi" w:hAnsiTheme="minorHAnsi" w:cstheme="minorHAnsi"/>
                <w:bCs/>
                <w:color w:val="000000"/>
                <w:sz w:val="22"/>
              </w:rPr>
              <w:t>9.09</w:t>
            </w:r>
          </w:p>
        </w:tc>
        <w:tc>
          <w:tcPr>
            <w:tcW w:w="1049" w:type="dxa"/>
            <w:shd w:val="clear" w:color="auto" w:fill="auto"/>
          </w:tcPr>
          <w:p w:rsidR="00AE7455" w:rsidRPr="00346D94" w:rsidRDefault="00AE7455" w:rsidP="00767592">
            <w:pPr>
              <w:jc w:val="right"/>
              <w:rPr>
                <w:rFonts w:asciiTheme="minorHAnsi" w:hAnsiTheme="minorHAnsi" w:cstheme="minorHAnsi"/>
                <w:bCs/>
                <w:color w:val="000000"/>
                <w:sz w:val="22"/>
              </w:rPr>
            </w:pPr>
            <w:r w:rsidRPr="00346D94">
              <w:rPr>
                <w:rFonts w:asciiTheme="minorHAnsi" w:hAnsiTheme="minorHAnsi" w:cstheme="minorHAnsi"/>
                <w:bCs/>
                <w:color w:val="000000"/>
                <w:sz w:val="22"/>
              </w:rPr>
              <w:t>12.53</w:t>
            </w:r>
          </w:p>
        </w:tc>
        <w:tc>
          <w:tcPr>
            <w:tcW w:w="1049" w:type="dxa"/>
            <w:shd w:val="clear" w:color="auto" w:fill="auto"/>
          </w:tcPr>
          <w:p w:rsidR="00AE7455" w:rsidRPr="00346D94" w:rsidRDefault="00AE7455" w:rsidP="00767592">
            <w:pPr>
              <w:jc w:val="right"/>
              <w:rPr>
                <w:rFonts w:asciiTheme="minorHAnsi" w:hAnsiTheme="minorHAnsi" w:cstheme="minorHAnsi"/>
                <w:bCs/>
                <w:color w:val="000000"/>
                <w:sz w:val="22"/>
              </w:rPr>
            </w:pPr>
            <w:r w:rsidRPr="00346D94">
              <w:rPr>
                <w:rFonts w:asciiTheme="minorHAnsi" w:hAnsiTheme="minorHAnsi" w:cstheme="minorHAnsi"/>
                <w:bCs/>
                <w:color w:val="000000"/>
                <w:sz w:val="22"/>
              </w:rPr>
              <w:t>19.04</w:t>
            </w:r>
          </w:p>
        </w:tc>
      </w:tr>
      <w:tr w:rsidR="00AE7455" w:rsidRPr="00346D94" w:rsidTr="009B0463">
        <w:trPr>
          <w:gridAfter w:val="1"/>
          <w:wAfter w:w="13" w:type="dxa"/>
          <w:jc w:val="center"/>
        </w:trPr>
        <w:tc>
          <w:tcPr>
            <w:tcW w:w="3839" w:type="dxa"/>
          </w:tcPr>
          <w:p w:rsidR="00AE7455" w:rsidRPr="00346D94" w:rsidRDefault="00AE7455" w:rsidP="00AE7455">
            <w:pPr>
              <w:rPr>
                <w:rFonts w:asciiTheme="minorHAnsi" w:hAnsiTheme="minorHAnsi" w:cstheme="minorHAnsi"/>
                <w:sz w:val="22"/>
              </w:rPr>
            </w:pPr>
            <w:r w:rsidRPr="00346D94">
              <w:rPr>
                <w:rFonts w:asciiTheme="minorHAnsi" w:hAnsiTheme="minorHAnsi" w:cstheme="minorHAnsi"/>
                <w:sz w:val="22"/>
              </w:rPr>
              <w:t>Current Charges</w:t>
            </w:r>
          </w:p>
        </w:tc>
        <w:tc>
          <w:tcPr>
            <w:tcW w:w="1049" w:type="dxa"/>
            <w:shd w:val="clear" w:color="auto" w:fill="auto"/>
          </w:tcPr>
          <w:p w:rsidR="00AE7455" w:rsidRPr="00346D94" w:rsidRDefault="00AE7455" w:rsidP="00767592">
            <w:pPr>
              <w:spacing w:line="240" w:lineRule="auto"/>
              <w:jc w:val="right"/>
              <w:rPr>
                <w:rFonts w:asciiTheme="minorHAnsi" w:eastAsia="Times New Roman" w:hAnsiTheme="minorHAnsi" w:cstheme="minorHAnsi"/>
                <w:bCs/>
                <w:iCs/>
                <w:color w:val="000000"/>
                <w:sz w:val="22"/>
              </w:rPr>
            </w:pPr>
            <w:r w:rsidRPr="00346D94">
              <w:rPr>
                <w:rFonts w:asciiTheme="minorHAnsi" w:hAnsiTheme="minorHAnsi" w:cstheme="minorHAnsi"/>
                <w:bCs/>
                <w:iCs/>
                <w:color w:val="000000"/>
                <w:sz w:val="22"/>
              </w:rPr>
              <w:t>23.40</w:t>
            </w:r>
          </w:p>
        </w:tc>
        <w:tc>
          <w:tcPr>
            <w:tcW w:w="1049" w:type="dxa"/>
            <w:shd w:val="clear" w:color="auto" w:fill="auto"/>
          </w:tcPr>
          <w:p w:rsidR="00AE7455" w:rsidRPr="00346D94" w:rsidRDefault="00AE7455" w:rsidP="00767592">
            <w:pPr>
              <w:jc w:val="right"/>
              <w:rPr>
                <w:rFonts w:asciiTheme="minorHAnsi" w:hAnsiTheme="minorHAnsi" w:cstheme="minorHAnsi"/>
                <w:bCs/>
                <w:iCs/>
                <w:color w:val="000000"/>
                <w:sz w:val="22"/>
              </w:rPr>
            </w:pPr>
            <w:r w:rsidRPr="00346D94">
              <w:rPr>
                <w:rFonts w:asciiTheme="minorHAnsi" w:hAnsiTheme="minorHAnsi" w:cstheme="minorHAnsi"/>
                <w:bCs/>
                <w:iCs/>
                <w:color w:val="000000"/>
                <w:sz w:val="22"/>
              </w:rPr>
              <w:t>32.26</w:t>
            </w:r>
          </w:p>
        </w:tc>
        <w:tc>
          <w:tcPr>
            <w:tcW w:w="1049" w:type="dxa"/>
            <w:shd w:val="clear" w:color="auto" w:fill="auto"/>
          </w:tcPr>
          <w:p w:rsidR="00AE7455" w:rsidRPr="00346D94" w:rsidRDefault="00AE7455" w:rsidP="00767592">
            <w:pPr>
              <w:jc w:val="right"/>
              <w:rPr>
                <w:rFonts w:asciiTheme="minorHAnsi" w:hAnsiTheme="minorHAnsi" w:cstheme="minorHAnsi"/>
                <w:bCs/>
                <w:iCs/>
                <w:color w:val="000000"/>
                <w:sz w:val="22"/>
              </w:rPr>
            </w:pPr>
            <w:r w:rsidRPr="00346D94">
              <w:rPr>
                <w:rFonts w:asciiTheme="minorHAnsi" w:hAnsiTheme="minorHAnsi" w:cstheme="minorHAnsi"/>
                <w:bCs/>
                <w:iCs/>
                <w:color w:val="000000"/>
                <w:sz w:val="22"/>
              </w:rPr>
              <w:t>42.79</w:t>
            </w:r>
          </w:p>
        </w:tc>
        <w:tc>
          <w:tcPr>
            <w:tcW w:w="1049" w:type="dxa"/>
            <w:shd w:val="clear" w:color="auto" w:fill="auto"/>
          </w:tcPr>
          <w:p w:rsidR="00AE7455" w:rsidRPr="00346D94" w:rsidRDefault="00AE7455" w:rsidP="00767592">
            <w:pPr>
              <w:jc w:val="right"/>
              <w:rPr>
                <w:rFonts w:asciiTheme="minorHAnsi" w:hAnsiTheme="minorHAnsi" w:cstheme="minorHAnsi"/>
                <w:bCs/>
                <w:iCs/>
                <w:color w:val="000000"/>
                <w:sz w:val="22"/>
              </w:rPr>
            </w:pPr>
            <w:r w:rsidRPr="00346D94">
              <w:rPr>
                <w:rFonts w:asciiTheme="minorHAnsi" w:hAnsiTheme="minorHAnsi" w:cstheme="minorHAnsi"/>
                <w:bCs/>
                <w:iCs/>
                <w:color w:val="000000"/>
                <w:sz w:val="22"/>
              </w:rPr>
              <w:t>50.79</w:t>
            </w:r>
          </w:p>
        </w:tc>
        <w:tc>
          <w:tcPr>
            <w:tcW w:w="1049" w:type="dxa"/>
            <w:shd w:val="clear" w:color="auto" w:fill="auto"/>
          </w:tcPr>
          <w:p w:rsidR="00AE7455" w:rsidRPr="00346D94" w:rsidRDefault="00AE7455" w:rsidP="00767592">
            <w:pPr>
              <w:jc w:val="right"/>
              <w:rPr>
                <w:rFonts w:asciiTheme="minorHAnsi" w:hAnsiTheme="minorHAnsi" w:cstheme="minorHAnsi"/>
                <w:bCs/>
                <w:iCs/>
                <w:color w:val="000000"/>
                <w:sz w:val="22"/>
              </w:rPr>
            </w:pPr>
            <w:r w:rsidRPr="00346D94">
              <w:rPr>
                <w:rFonts w:asciiTheme="minorHAnsi" w:hAnsiTheme="minorHAnsi" w:cstheme="minorHAnsi"/>
                <w:bCs/>
                <w:iCs/>
                <w:color w:val="000000"/>
                <w:sz w:val="22"/>
              </w:rPr>
              <w:t>61.45</w:t>
            </w:r>
          </w:p>
        </w:tc>
      </w:tr>
      <w:tr w:rsidR="00AE7455" w:rsidRPr="00346D94" w:rsidTr="009B0463">
        <w:trPr>
          <w:gridAfter w:val="1"/>
          <w:wAfter w:w="13" w:type="dxa"/>
          <w:jc w:val="center"/>
        </w:trPr>
        <w:tc>
          <w:tcPr>
            <w:tcW w:w="3839" w:type="dxa"/>
          </w:tcPr>
          <w:p w:rsidR="00AE7455" w:rsidRPr="00346D94" w:rsidRDefault="00AE7455" w:rsidP="00AE7455">
            <w:pPr>
              <w:rPr>
                <w:rFonts w:asciiTheme="minorHAnsi" w:hAnsiTheme="minorHAnsi" w:cstheme="minorHAnsi"/>
                <w:b/>
                <w:sz w:val="22"/>
              </w:rPr>
            </w:pPr>
            <w:r w:rsidRPr="00346D94">
              <w:rPr>
                <w:rFonts w:asciiTheme="minorHAnsi" w:hAnsiTheme="minorHAnsi" w:cstheme="minorHAnsi"/>
                <w:b/>
                <w:sz w:val="22"/>
              </w:rPr>
              <w:t>Telecommunications Expenditure</w:t>
            </w:r>
          </w:p>
        </w:tc>
        <w:tc>
          <w:tcPr>
            <w:tcW w:w="1049" w:type="dxa"/>
            <w:shd w:val="clear" w:color="auto" w:fill="auto"/>
          </w:tcPr>
          <w:p w:rsidR="00AE7455" w:rsidRPr="00346D94" w:rsidRDefault="00346D94" w:rsidP="00767592">
            <w:pPr>
              <w:spacing w:line="240" w:lineRule="auto"/>
              <w:jc w:val="right"/>
              <w:rPr>
                <w:rFonts w:asciiTheme="minorHAnsi" w:eastAsia="Times New Roman" w:hAnsiTheme="minorHAnsi" w:cstheme="minorHAnsi"/>
                <w:b/>
                <w:color w:val="000000"/>
                <w:sz w:val="22"/>
              </w:rPr>
            </w:pPr>
            <w:r>
              <w:rPr>
                <w:rFonts w:asciiTheme="minorHAnsi" w:hAnsiTheme="minorHAnsi" w:cstheme="minorHAnsi"/>
                <w:b/>
                <w:color w:val="000000"/>
                <w:sz w:val="22"/>
              </w:rPr>
              <w:t>$</w:t>
            </w:r>
            <w:r w:rsidR="00AE7455" w:rsidRPr="00346D94">
              <w:rPr>
                <w:rFonts w:asciiTheme="minorHAnsi" w:hAnsiTheme="minorHAnsi" w:cstheme="minorHAnsi"/>
                <w:b/>
                <w:color w:val="000000"/>
                <w:sz w:val="22"/>
              </w:rPr>
              <w:t>28.49</w:t>
            </w:r>
          </w:p>
        </w:tc>
        <w:tc>
          <w:tcPr>
            <w:tcW w:w="1049" w:type="dxa"/>
            <w:shd w:val="clear" w:color="auto" w:fill="auto"/>
          </w:tcPr>
          <w:p w:rsidR="00AE7455" w:rsidRPr="00346D94" w:rsidRDefault="00346D94" w:rsidP="00767592">
            <w:pPr>
              <w:jc w:val="right"/>
              <w:rPr>
                <w:rFonts w:asciiTheme="minorHAnsi" w:hAnsiTheme="minorHAnsi" w:cstheme="minorHAnsi"/>
                <w:b/>
                <w:color w:val="000000"/>
                <w:sz w:val="22"/>
              </w:rPr>
            </w:pPr>
            <w:r>
              <w:rPr>
                <w:rFonts w:asciiTheme="minorHAnsi" w:hAnsiTheme="minorHAnsi" w:cstheme="minorHAnsi"/>
                <w:b/>
                <w:color w:val="000000"/>
                <w:sz w:val="22"/>
              </w:rPr>
              <w:t>$</w:t>
            </w:r>
            <w:r w:rsidR="00AE7455" w:rsidRPr="00346D94">
              <w:rPr>
                <w:rFonts w:asciiTheme="minorHAnsi" w:hAnsiTheme="minorHAnsi" w:cstheme="minorHAnsi"/>
                <w:b/>
                <w:color w:val="000000"/>
                <w:sz w:val="22"/>
              </w:rPr>
              <w:t>39.30</w:t>
            </w:r>
          </w:p>
        </w:tc>
        <w:tc>
          <w:tcPr>
            <w:tcW w:w="1049" w:type="dxa"/>
            <w:shd w:val="clear" w:color="auto" w:fill="auto"/>
          </w:tcPr>
          <w:p w:rsidR="00AE7455" w:rsidRPr="00346D94" w:rsidRDefault="00346D94" w:rsidP="00767592">
            <w:pPr>
              <w:jc w:val="right"/>
              <w:rPr>
                <w:rFonts w:asciiTheme="minorHAnsi" w:hAnsiTheme="minorHAnsi" w:cstheme="minorHAnsi"/>
                <w:b/>
                <w:color w:val="000000"/>
                <w:sz w:val="22"/>
              </w:rPr>
            </w:pPr>
            <w:r>
              <w:rPr>
                <w:rFonts w:asciiTheme="minorHAnsi" w:hAnsiTheme="minorHAnsi" w:cstheme="minorHAnsi"/>
                <w:b/>
                <w:color w:val="000000"/>
                <w:sz w:val="22"/>
              </w:rPr>
              <w:t>$</w:t>
            </w:r>
            <w:r w:rsidR="00AE7455" w:rsidRPr="00346D94">
              <w:rPr>
                <w:rFonts w:asciiTheme="minorHAnsi" w:hAnsiTheme="minorHAnsi" w:cstheme="minorHAnsi"/>
                <w:b/>
                <w:color w:val="000000"/>
                <w:sz w:val="22"/>
              </w:rPr>
              <w:t>51.88</w:t>
            </w:r>
          </w:p>
        </w:tc>
        <w:tc>
          <w:tcPr>
            <w:tcW w:w="1049" w:type="dxa"/>
            <w:shd w:val="clear" w:color="auto" w:fill="auto"/>
          </w:tcPr>
          <w:p w:rsidR="00AE7455" w:rsidRPr="00346D94" w:rsidRDefault="00346D94" w:rsidP="00767592">
            <w:pPr>
              <w:jc w:val="right"/>
              <w:rPr>
                <w:rFonts w:asciiTheme="minorHAnsi" w:hAnsiTheme="minorHAnsi" w:cstheme="minorHAnsi"/>
                <w:b/>
                <w:color w:val="000000"/>
                <w:sz w:val="22"/>
              </w:rPr>
            </w:pPr>
            <w:r>
              <w:rPr>
                <w:rFonts w:asciiTheme="minorHAnsi" w:hAnsiTheme="minorHAnsi" w:cstheme="minorHAnsi"/>
                <w:b/>
                <w:color w:val="000000"/>
                <w:sz w:val="22"/>
              </w:rPr>
              <w:t>$</w:t>
            </w:r>
            <w:r w:rsidR="00AE7455" w:rsidRPr="00346D94">
              <w:rPr>
                <w:rFonts w:asciiTheme="minorHAnsi" w:hAnsiTheme="minorHAnsi" w:cstheme="minorHAnsi"/>
                <w:b/>
                <w:color w:val="000000"/>
                <w:sz w:val="22"/>
              </w:rPr>
              <w:t>63.32</w:t>
            </w:r>
          </w:p>
        </w:tc>
        <w:tc>
          <w:tcPr>
            <w:tcW w:w="1049" w:type="dxa"/>
            <w:shd w:val="clear" w:color="auto" w:fill="auto"/>
          </w:tcPr>
          <w:p w:rsidR="00AE7455" w:rsidRPr="00346D94" w:rsidRDefault="00346D94" w:rsidP="00767592">
            <w:pPr>
              <w:jc w:val="right"/>
              <w:rPr>
                <w:rFonts w:asciiTheme="minorHAnsi" w:hAnsiTheme="minorHAnsi" w:cstheme="minorHAnsi"/>
                <w:b/>
                <w:color w:val="000000"/>
                <w:sz w:val="22"/>
              </w:rPr>
            </w:pPr>
            <w:r>
              <w:rPr>
                <w:rFonts w:asciiTheme="minorHAnsi" w:hAnsiTheme="minorHAnsi" w:cstheme="minorHAnsi"/>
                <w:b/>
                <w:color w:val="000000"/>
                <w:sz w:val="22"/>
              </w:rPr>
              <w:t>$</w:t>
            </w:r>
            <w:r w:rsidR="00AE7455" w:rsidRPr="00346D94">
              <w:rPr>
                <w:rFonts w:asciiTheme="minorHAnsi" w:hAnsiTheme="minorHAnsi" w:cstheme="minorHAnsi"/>
                <w:b/>
                <w:color w:val="000000"/>
                <w:sz w:val="22"/>
              </w:rPr>
              <w:t>80.49</w:t>
            </w:r>
          </w:p>
        </w:tc>
      </w:tr>
      <w:tr w:rsidR="00AE7455" w:rsidRPr="00CB428E" w:rsidTr="009B0463">
        <w:trPr>
          <w:gridAfter w:val="1"/>
          <w:wAfter w:w="13" w:type="dxa"/>
          <w:jc w:val="center"/>
        </w:trPr>
        <w:tc>
          <w:tcPr>
            <w:tcW w:w="3839" w:type="dxa"/>
          </w:tcPr>
          <w:p w:rsidR="00AE7455" w:rsidRPr="009B0463" w:rsidRDefault="00AE7455" w:rsidP="00AE7455">
            <w:pPr>
              <w:rPr>
                <w:rFonts w:asciiTheme="minorHAnsi" w:hAnsiTheme="minorHAnsi" w:cstheme="minorHAnsi"/>
                <w:b/>
                <w:i/>
                <w:spacing w:val="-2"/>
                <w:sz w:val="22"/>
              </w:rPr>
            </w:pPr>
            <w:r w:rsidRPr="009B0463">
              <w:rPr>
                <w:rFonts w:asciiTheme="minorHAnsi" w:hAnsiTheme="minorHAnsi" w:cstheme="minorHAnsi"/>
                <w:b/>
                <w:i/>
                <w:spacing w:val="-2"/>
                <w:sz w:val="22"/>
              </w:rPr>
              <w:t xml:space="preserve">% of Total </w:t>
            </w:r>
            <w:r w:rsidR="009B0463" w:rsidRPr="009B0463">
              <w:rPr>
                <w:rFonts w:asciiTheme="minorHAnsi" w:hAnsiTheme="minorHAnsi" w:cstheme="minorHAnsi"/>
                <w:b/>
                <w:i/>
                <w:spacing w:val="-2"/>
                <w:sz w:val="22"/>
              </w:rPr>
              <w:t>Goods &amp; Services Expenditure</w:t>
            </w:r>
          </w:p>
        </w:tc>
        <w:tc>
          <w:tcPr>
            <w:tcW w:w="1049" w:type="dxa"/>
            <w:shd w:val="clear" w:color="auto" w:fill="auto"/>
          </w:tcPr>
          <w:p w:rsidR="00AE7455" w:rsidRPr="00CB428E" w:rsidRDefault="00AE7455" w:rsidP="00767592">
            <w:pPr>
              <w:spacing w:line="240" w:lineRule="auto"/>
              <w:jc w:val="right"/>
              <w:rPr>
                <w:rFonts w:asciiTheme="minorHAnsi" w:eastAsia="Times New Roman" w:hAnsiTheme="minorHAnsi" w:cstheme="minorHAnsi"/>
                <w:b/>
                <w:bCs/>
                <w:i/>
                <w:iCs/>
                <w:color w:val="000000"/>
                <w:sz w:val="22"/>
              </w:rPr>
            </w:pPr>
            <w:r w:rsidRPr="00CB428E">
              <w:rPr>
                <w:rFonts w:asciiTheme="minorHAnsi" w:hAnsiTheme="minorHAnsi" w:cstheme="minorHAnsi"/>
                <w:b/>
                <w:bCs/>
                <w:i/>
                <w:iCs/>
                <w:color w:val="000000"/>
                <w:sz w:val="22"/>
              </w:rPr>
              <w:t>4.5%</w:t>
            </w:r>
          </w:p>
        </w:tc>
        <w:tc>
          <w:tcPr>
            <w:tcW w:w="1049" w:type="dxa"/>
            <w:shd w:val="clear" w:color="auto" w:fill="auto"/>
          </w:tcPr>
          <w:p w:rsidR="00AE7455" w:rsidRPr="00CB428E" w:rsidRDefault="00AE7455" w:rsidP="00767592">
            <w:pPr>
              <w:jc w:val="right"/>
              <w:rPr>
                <w:rFonts w:asciiTheme="minorHAnsi" w:hAnsiTheme="minorHAnsi" w:cstheme="minorHAnsi"/>
                <w:b/>
                <w:bCs/>
                <w:i/>
                <w:iCs/>
                <w:color w:val="000000"/>
                <w:sz w:val="22"/>
              </w:rPr>
            </w:pPr>
            <w:r w:rsidRPr="00CB428E">
              <w:rPr>
                <w:rFonts w:asciiTheme="minorHAnsi" w:hAnsiTheme="minorHAnsi" w:cstheme="minorHAnsi"/>
                <w:b/>
                <w:bCs/>
                <w:i/>
                <w:iCs/>
                <w:color w:val="000000"/>
                <w:sz w:val="22"/>
              </w:rPr>
              <w:t>4.2%</w:t>
            </w:r>
          </w:p>
        </w:tc>
        <w:tc>
          <w:tcPr>
            <w:tcW w:w="1049" w:type="dxa"/>
            <w:shd w:val="clear" w:color="auto" w:fill="auto"/>
          </w:tcPr>
          <w:p w:rsidR="00AE7455" w:rsidRPr="00CB428E" w:rsidRDefault="00AE7455" w:rsidP="00767592">
            <w:pPr>
              <w:jc w:val="right"/>
              <w:rPr>
                <w:rFonts w:asciiTheme="minorHAnsi" w:hAnsiTheme="minorHAnsi" w:cstheme="minorHAnsi"/>
                <w:b/>
                <w:bCs/>
                <w:i/>
                <w:iCs/>
                <w:color w:val="000000"/>
                <w:sz w:val="22"/>
              </w:rPr>
            </w:pPr>
            <w:r w:rsidRPr="00CB428E">
              <w:rPr>
                <w:rFonts w:asciiTheme="minorHAnsi" w:hAnsiTheme="minorHAnsi" w:cstheme="minorHAnsi"/>
                <w:b/>
                <w:bCs/>
                <w:i/>
                <w:iCs/>
                <w:color w:val="000000"/>
                <w:sz w:val="22"/>
              </w:rPr>
              <w:t>4.0%</w:t>
            </w:r>
          </w:p>
        </w:tc>
        <w:tc>
          <w:tcPr>
            <w:tcW w:w="1049" w:type="dxa"/>
            <w:shd w:val="clear" w:color="auto" w:fill="auto"/>
          </w:tcPr>
          <w:p w:rsidR="00AE7455" w:rsidRPr="00CB428E" w:rsidRDefault="00AE7455" w:rsidP="00767592">
            <w:pPr>
              <w:jc w:val="right"/>
              <w:rPr>
                <w:rFonts w:asciiTheme="minorHAnsi" w:hAnsiTheme="minorHAnsi" w:cstheme="minorHAnsi"/>
                <w:b/>
                <w:bCs/>
                <w:i/>
                <w:iCs/>
                <w:color w:val="000000"/>
                <w:sz w:val="22"/>
              </w:rPr>
            </w:pPr>
            <w:r w:rsidRPr="00CB428E">
              <w:rPr>
                <w:rFonts w:asciiTheme="minorHAnsi" w:hAnsiTheme="minorHAnsi" w:cstheme="minorHAnsi"/>
                <w:b/>
                <w:bCs/>
                <w:i/>
                <w:iCs/>
                <w:color w:val="000000"/>
                <w:sz w:val="22"/>
              </w:rPr>
              <w:t>3.8%</w:t>
            </w:r>
          </w:p>
        </w:tc>
        <w:tc>
          <w:tcPr>
            <w:tcW w:w="1049" w:type="dxa"/>
            <w:shd w:val="clear" w:color="auto" w:fill="auto"/>
          </w:tcPr>
          <w:p w:rsidR="00AE7455" w:rsidRPr="00CB428E" w:rsidRDefault="00AE7455" w:rsidP="00767592">
            <w:pPr>
              <w:jc w:val="right"/>
              <w:rPr>
                <w:rFonts w:asciiTheme="minorHAnsi" w:hAnsiTheme="minorHAnsi" w:cstheme="minorHAnsi"/>
                <w:b/>
                <w:bCs/>
                <w:i/>
                <w:iCs/>
                <w:color w:val="000000"/>
                <w:sz w:val="22"/>
              </w:rPr>
            </w:pPr>
            <w:r w:rsidRPr="00CB428E">
              <w:rPr>
                <w:rFonts w:asciiTheme="minorHAnsi" w:hAnsiTheme="minorHAnsi" w:cstheme="minorHAnsi"/>
                <w:b/>
                <w:bCs/>
                <w:i/>
                <w:iCs/>
                <w:color w:val="000000"/>
                <w:sz w:val="22"/>
              </w:rPr>
              <w:t>3.1%</w:t>
            </w:r>
          </w:p>
        </w:tc>
      </w:tr>
    </w:tbl>
    <w:p w:rsidR="00854226" w:rsidRDefault="00854226" w:rsidP="00FD147E"/>
    <w:p w:rsidR="00854226" w:rsidRDefault="00854226" w:rsidP="00FD147E">
      <w:r>
        <w:t>The regressive nature of the expenditure is even clearer when considered relative to income (rather than expenditure)</w:t>
      </w:r>
      <w:r w:rsidR="009A0CAC">
        <w:t xml:space="preserve">, as in </w:t>
      </w:r>
      <w:r w:rsidR="009A0CAC">
        <w:fldChar w:fldCharType="begin"/>
      </w:r>
      <w:r w:rsidR="009A0CAC">
        <w:instrText xml:space="preserve"> REF _Ref497909072 \h </w:instrText>
      </w:r>
      <w:r w:rsidR="009A0CAC">
        <w:fldChar w:fldCharType="separate"/>
      </w:r>
      <w:r w:rsidR="00AF12ED">
        <w:t xml:space="preserve">Figure </w:t>
      </w:r>
      <w:r w:rsidR="00AF12ED">
        <w:rPr>
          <w:noProof/>
        </w:rPr>
        <w:t>3</w:t>
      </w:r>
      <w:r w:rsidR="009A0CAC">
        <w:fldChar w:fldCharType="end"/>
      </w:r>
      <w:r>
        <w:t>.</w:t>
      </w:r>
      <w:r w:rsidR="00CB428E">
        <w:t xml:space="preserve"> The figures differ because those on higher incomes are able to save a proportion of their income</w:t>
      </w:r>
      <w:r w:rsidR="00A97792">
        <w:t>,</w:t>
      </w:r>
      <w:r w:rsidR="00CB428E">
        <w:t xml:space="preserve"> and therefore any expenditure is a sma</w:t>
      </w:r>
      <w:r w:rsidR="00A97792">
        <w:t>ller proportion of</w:t>
      </w:r>
      <w:r w:rsidR="00CB428E">
        <w:t xml:space="preserve"> income</w:t>
      </w:r>
      <w:r w:rsidR="00A97792">
        <w:t xml:space="preserve"> than expenditure</w:t>
      </w:r>
      <w:r w:rsidR="00CB428E">
        <w:t>. By contrast, those in the lowest income brackets are often spending more than their income (</w:t>
      </w:r>
      <w:proofErr w:type="spellStart"/>
      <w:r w:rsidR="00CB428E">
        <w:t>eg</w:t>
      </w:r>
      <w:proofErr w:type="spellEnd"/>
      <w:r w:rsidR="00CB428E">
        <w:t>. living on savings or borrowings). While the HES data is usually expressed in terms of percentages of household expenditure, measuring telecommunications expenditure as a per</w:t>
      </w:r>
      <w:r w:rsidR="000A4115">
        <w:t xml:space="preserve"> </w:t>
      </w:r>
      <w:r w:rsidR="00CB428E">
        <w:t xml:space="preserve">cent of household income better reflects </w:t>
      </w:r>
      <w:r w:rsidR="00A97792">
        <w:t xml:space="preserve">affordability and </w:t>
      </w:r>
      <w:r w:rsidR="00CB428E">
        <w:t>the impact on the household budget</w:t>
      </w:r>
      <w:r w:rsidR="00A97792">
        <w:t>.</w:t>
      </w:r>
    </w:p>
    <w:p w:rsidR="00346D94" w:rsidRDefault="00346D94" w:rsidP="00AE1139">
      <w:pPr>
        <w:pStyle w:val="Caption"/>
        <w:keepNext/>
        <w:keepLines/>
      </w:pPr>
      <w:bookmarkStart w:id="19" w:name="_Ref497909072"/>
      <w:bookmarkStart w:id="20" w:name="_Toc498421773"/>
      <w:r>
        <w:t xml:space="preserve">Figure </w:t>
      </w:r>
      <w:fldSimple w:instr=" SEQ Figure \* ARABIC ">
        <w:r w:rsidR="00AF12ED">
          <w:rPr>
            <w:noProof/>
          </w:rPr>
          <w:t>3</w:t>
        </w:r>
      </w:fldSimple>
      <w:bookmarkEnd w:id="19"/>
      <w:r>
        <w:t>: Te</w:t>
      </w:r>
      <w:r w:rsidR="009F320A">
        <w:t xml:space="preserve">lecommunications Expenditure by </w:t>
      </w:r>
      <w:r>
        <w:t>Income Quintile</w:t>
      </w:r>
      <w:bookmarkEnd w:id="20"/>
    </w:p>
    <w:p w:rsidR="00854226" w:rsidRDefault="009F320A" w:rsidP="009F320A">
      <w:pPr>
        <w:jc w:val="center"/>
      </w:pPr>
      <w:r>
        <w:rPr>
          <w:noProof/>
        </w:rPr>
        <w:drawing>
          <wp:inline distT="0" distB="0" distL="0" distR="0" wp14:anchorId="0EF27824" wp14:editId="06F7C863">
            <wp:extent cx="4572000" cy="2537460"/>
            <wp:effectExtent l="0" t="0" r="19050" b="15240"/>
            <wp:docPr id="5" name="Chart 5" descr="bar graph showing stark difference between lowest and highest quintiles, of % of household disposable income spent on telecommunications">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FBC8684-8996-4698-8681-559D1492C5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A41B3" w:rsidRDefault="001170B0" w:rsidP="00854226">
      <w:r>
        <w:lastRenderedPageBreak/>
        <w:t>T</w:t>
      </w:r>
      <w:r w:rsidR="009F320A">
        <w:t>ho</w:t>
      </w:r>
      <w:r w:rsidR="00854226">
        <w:t xml:space="preserve">se on low incomes </w:t>
      </w:r>
      <w:r>
        <w:t xml:space="preserve">also </w:t>
      </w:r>
      <w:r w:rsidR="00854226">
        <w:t xml:space="preserve">spend proportionately more on account costs than on equipment. </w:t>
      </w:r>
      <w:r w:rsidR="009A0CAC">
        <w:fldChar w:fldCharType="begin"/>
      </w:r>
      <w:r w:rsidR="009A0CAC">
        <w:instrText xml:space="preserve"> REF _Ref497909148 \h </w:instrText>
      </w:r>
      <w:r w:rsidR="009A0CAC">
        <w:fldChar w:fldCharType="separate"/>
      </w:r>
      <w:r w:rsidR="00AF12ED">
        <w:t xml:space="preserve">Figure </w:t>
      </w:r>
      <w:r w:rsidR="00AF12ED">
        <w:rPr>
          <w:noProof/>
        </w:rPr>
        <w:t>4</w:t>
      </w:r>
      <w:r w:rsidR="009A0CAC">
        <w:fldChar w:fldCharType="end"/>
      </w:r>
      <w:r w:rsidR="009A0CAC">
        <w:t xml:space="preserve"> shows that f</w:t>
      </w:r>
      <w:r w:rsidR="00767592">
        <w:t xml:space="preserve">or those on the highest incomes, </w:t>
      </w:r>
      <w:r w:rsidR="004D5453">
        <w:t>76% of telecommunications expenditure goes on current charges, by comparison with 82% for the lowest income quintile. This means that those on the lowest income not only spend proportionately more</w:t>
      </w:r>
      <w:r w:rsidR="00854226">
        <w:t xml:space="preserve"> of their income on telecommunications</w:t>
      </w:r>
      <w:r w:rsidR="004D5453">
        <w:t xml:space="preserve">, but their expenditure is less </w:t>
      </w:r>
      <w:r w:rsidR="00A97792">
        <w:t xml:space="preserve">capital intensive </w:t>
      </w:r>
      <w:r w:rsidR="004D5453">
        <w:t>– meaning they are also</w:t>
      </w:r>
      <w:r w:rsidR="00A97792">
        <w:t xml:space="preserve"> likely to have fewer and/or cheaper </w:t>
      </w:r>
      <w:r w:rsidR="004D5453">
        <w:t xml:space="preserve">(lower quality) </w:t>
      </w:r>
      <w:r w:rsidR="00A97792">
        <w:t>devices</w:t>
      </w:r>
      <w:r w:rsidR="00854226">
        <w:t>.</w:t>
      </w:r>
      <w:r w:rsidR="00E51AF8">
        <w:t xml:space="preserve"> </w:t>
      </w:r>
    </w:p>
    <w:p w:rsidR="001A41B3" w:rsidRDefault="001A41B3" w:rsidP="00854226"/>
    <w:p w:rsidR="004D5453" w:rsidRDefault="004D5453" w:rsidP="004D5453">
      <w:pPr>
        <w:pStyle w:val="Caption"/>
      </w:pPr>
      <w:bookmarkStart w:id="21" w:name="_Ref497909148"/>
      <w:bookmarkStart w:id="22" w:name="_Toc498421774"/>
      <w:r>
        <w:t xml:space="preserve">Figure </w:t>
      </w:r>
      <w:fldSimple w:instr=" SEQ Figure \* ARABIC ">
        <w:r w:rsidR="00AF12ED">
          <w:rPr>
            <w:noProof/>
          </w:rPr>
          <w:t>4</w:t>
        </w:r>
      </w:fldSimple>
      <w:bookmarkEnd w:id="21"/>
      <w:r>
        <w:t>: Share of Expenditure on Equipment and Current Charges</w:t>
      </w:r>
      <w:bookmarkEnd w:id="22"/>
    </w:p>
    <w:p w:rsidR="00283419" w:rsidRDefault="00283419" w:rsidP="004D5453">
      <w:pPr>
        <w:jc w:val="center"/>
      </w:pPr>
      <w:r>
        <w:rPr>
          <w:noProof/>
        </w:rPr>
        <w:drawing>
          <wp:inline distT="0" distB="0" distL="0" distR="0" wp14:anchorId="6ACF2021" wp14:editId="27108B99">
            <wp:extent cx="4572000" cy="2743200"/>
            <wp:effectExtent l="0" t="0" r="19050" b="19050"/>
            <wp:docPr id="2" name="Chart 2" descr="those on the lowest income  spend proportionately more of their income on telecommunications, but their expenditure is less capital intensive ">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57953B2-48F2-4A2F-AAC4-1F10A1832A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83419" w:rsidRDefault="00283419" w:rsidP="00854226"/>
    <w:p w:rsidR="00B4155E" w:rsidRDefault="001170B0" w:rsidP="00854226">
      <w:r>
        <w:t>Further</w:t>
      </w:r>
      <w:r w:rsidR="00E46969" w:rsidRPr="00E46969">
        <w:t xml:space="preserve"> </w:t>
      </w:r>
      <w:r w:rsidR="00E46969">
        <w:t>in relation to current charges</w:t>
      </w:r>
      <w:r>
        <w:t xml:space="preserve">, using </w:t>
      </w:r>
      <w:r w:rsidR="005D7BE3">
        <w:t xml:space="preserve">data from </w:t>
      </w:r>
      <w:r>
        <w:t>the</w:t>
      </w:r>
      <w:r w:rsidR="00921ED7">
        <w:t xml:space="preserve"> Australian Digital Inclusion Index</w:t>
      </w:r>
      <w:r w:rsidR="00767592">
        <w:rPr>
          <w:rStyle w:val="FootnoteReference"/>
        </w:rPr>
        <w:footnoteReference w:id="3"/>
      </w:r>
      <w:r w:rsidR="005D7BE3">
        <w:t xml:space="preserve">, </w:t>
      </w:r>
      <w:r>
        <w:t>SACOSS has calculated</w:t>
      </w:r>
      <w:r w:rsidR="00921ED7">
        <w:t xml:space="preserve"> that the value for money obtained by the highest income quintile is more than three times that of the lowest income quintile</w:t>
      </w:r>
      <w:r w:rsidR="006A6037">
        <w:t xml:space="preserve"> (1.2GB per </w:t>
      </w:r>
      <w:r>
        <w:t>$1 spend for the l</w:t>
      </w:r>
      <w:r w:rsidR="006A6037">
        <w:t>owest income quintile</w:t>
      </w:r>
      <w:r w:rsidR="005D7BE3">
        <w:t xml:space="preserve"> versus</w:t>
      </w:r>
      <w:r w:rsidR="006A6037">
        <w:t xml:space="preserve"> 3.9GB per </w:t>
      </w:r>
      <w:r>
        <w:t>$1 for the highest income quintile).</w:t>
      </w:r>
      <w:r>
        <w:rPr>
          <w:rStyle w:val="FootnoteReference"/>
        </w:rPr>
        <w:footnoteReference w:id="4"/>
      </w:r>
      <w:r w:rsidR="004D5453">
        <w:t xml:space="preserve"> </w:t>
      </w:r>
    </w:p>
    <w:p w:rsidR="00B4155E" w:rsidRDefault="00E81FE1" w:rsidP="00854226">
      <w:r>
        <w:t>In summary</w:t>
      </w:r>
      <w:r w:rsidR="004D5453">
        <w:t>, those on the lowest incomes spen</w:t>
      </w:r>
      <w:r>
        <w:t>d proportionately more on telecommunications, use fewer or cheaper devices and get worse value for money on services.</w:t>
      </w:r>
    </w:p>
    <w:p w:rsidR="00B4155E" w:rsidRDefault="00B4155E" w:rsidP="00287592">
      <w:pPr>
        <w:pStyle w:val="Heading2"/>
      </w:pPr>
      <w:bookmarkStart w:id="23" w:name="_Toc498421752"/>
      <w:r>
        <w:t>Income Source</w:t>
      </w:r>
      <w:bookmarkEnd w:id="23"/>
    </w:p>
    <w:p w:rsidR="00B4155E" w:rsidRDefault="00B4155E" w:rsidP="00B4155E">
      <w:r>
        <w:t xml:space="preserve">There are also major differences in telecommunications expenditure patterns depending on the main source of household income. Those households whose major source of income is </w:t>
      </w:r>
      <w:r w:rsidR="00657AE3">
        <w:t>private (</w:t>
      </w:r>
      <w:proofErr w:type="spellStart"/>
      <w:r w:rsidR="00657AE3">
        <w:t>ie</w:t>
      </w:r>
      <w:proofErr w:type="spellEnd"/>
      <w:r w:rsidR="00657AE3">
        <w:t xml:space="preserve">. </w:t>
      </w:r>
      <w:r>
        <w:t>wage</w:t>
      </w:r>
      <w:r w:rsidR="00657AE3">
        <w:t>s and salaries, owning unincorporated businesses, or other private wealth)</w:t>
      </w:r>
      <w:r>
        <w:t xml:space="preserve"> spend </w:t>
      </w:r>
      <w:r w:rsidR="00657AE3">
        <w:t>about</w:t>
      </w:r>
      <w:r>
        <w:t xml:space="preserve"> twice as much per week on telecommunications as households who are reliant </w:t>
      </w:r>
      <w:r>
        <w:lastRenderedPageBreak/>
        <w:t>on government pensions and allowances</w:t>
      </w:r>
      <w:r w:rsidR="005D7BE3">
        <w:t>. F</w:t>
      </w:r>
      <w:r>
        <w:t>or the lat</w:t>
      </w:r>
      <w:r w:rsidR="005D7BE3">
        <w:t>t</w:t>
      </w:r>
      <w:r>
        <w:t>er</w:t>
      </w:r>
      <w:r w:rsidR="005D7BE3">
        <w:t>,</w:t>
      </w:r>
      <w:r>
        <w:t xml:space="preserve"> telecommunications is a significantly greater impost on the household budget.</w:t>
      </w:r>
      <w:r w:rsidR="002321E5">
        <w:t xml:space="preserve"> This can be seen in </w:t>
      </w:r>
      <w:r w:rsidR="002321E5">
        <w:fldChar w:fldCharType="begin"/>
      </w:r>
      <w:r w:rsidR="002321E5">
        <w:instrText xml:space="preserve"> REF _Ref497908933 \h </w:instrText>
      </w:r>
      <w:r w:rsidR="002321E5">
        <w:fldChar w:fldCharType="separate"/>
      </w:r>
      <w:r w:rsidR="00AF12ED">
        <w:t xml:space="preserve">Table </w:t>
      </w:r>
      <w:r w:rsidR="00AF12ED">
        <w:rPr>
          <w:noProof/>
        </w:rPr>
        <w:t>3</w:t>
      </w:r>
      <w:r w:rsidR="002321E5">
        <w:fldChar w:fldCharType="end"/>
      </w:r>
      <w:r w:rsidR="002321E5">
        <w:t xml:space="preserve">. </w:t>
      </w:r>
    </w:p>
    <w:p w:rsidR="00B4155E" w:rsidRDefault="00B4155E" w:rsidP="00AE1139">
      <w:pPr>
        <w:pStyle w:val="Caption"/>
        <w:keepNext/>
        <w:keepLines/>
      </w:pPr>
      <w:bookmarkStart w:id="24" w:name="_Ref497908933"/>
      <w:bookmarkStart w:id="25" w:name="_Toc498421782"/>
      <w:r>
        <w:t xml:space="preserve">Table </w:t>
      </w:r>
      <w:fldSimple w:instr=" SEQ Table \* ARABIC ">
        <w:r w:rsidR="00AF12ED">
          <w:rPr>
            <w:noProof/>
          </w:rPr>
          <w:t>3</w:t>
        </w:r>
      </w:fldSimple>
      <w:bookmarkEnd w:id="24"/>
      <w:r>
        <w:t xml:space="preserve">: </w:t>
      </w:r>
      <w:r w:rsidR="002321E5">
        <w:t xml:space="preserve">Weekly </w:t>
      </w:r>
      <w:r>
        <w:t>Telecommunications Expenditure by Main Source of Income</w:t>
      </w:r>
      <w:bookmarkEnd w:id="25"/>
    </w:p>
    <w:tbl>
      <w:tblPr>
        <w:tblStyle w:val="TableGrid"/>
        <w:tblW w:w="0" w:type="auto"/>
        <w:jc w:val="center"/>
        <w:tblLook w:val="04A0" w:firstRow="1" w:lastRow="0" w:firstColumn="1" w:lastColumn="0" w:noHBand="0" w:noVBand="1"/>
        <w:tblDescription w:val="how much is spent on telecomms differs depending on the type of income you have"/>
      </w:tblPr>
      <w:tblGrid>
        <w:gridCol w:w="3328"/>
        <w:gridCol w:w="1134"/>
        <w:gridCol w:w="1257"/>
      </w:tblGrid>
      <w:tr w:rsidR="001C398A" w:rsidRPr="00346D94" w:rsidTr="001E0519">
        <w:trPr>
          <w:tblHeader/>
          <w:jc w:val="center"/>
        </w:trPr>
        <w:tc>
          <w:tcPr>
            <w:tcW w:w="3328" w:type="dxa"/>
          </w:tcPr>
          <w:p w:rsidR="001C398A" w:rsidRPr="00346D94" w:rsidRDefault="001C398A" w:rsidP="00FE2A5D">
            <w:pPr>
              <w:jc w:val="center"/>
              <w:rPr>
                <w:rFonts w:asciiTheme="minorHAnsi" w:hAnsiTheme="minorHAnsi" w:cstheme="minorHAnsi"/>
                <w:b/>
                <w:sz w:val="22"/>
              </w:rPr>
            </w:pPr>
          </w:p>
        </w:tc>
        <w:tc>
          <w:tcPr>
            <w:tcW w:w="1134" w:type="dxa"/>
          </w:tcPr>
          <w:p w:rsidR="001C398A" w:rsidRPr="00346D94" w:rsidRDefault="001C398A" w:rsidP="00FE2A5D">
            <w:pPr>
              <w:jc w:val="center"/>
              <w:rPr>
                <w:rFonts w:asciiTheme="minorHAnsi" w:hAnsiTheme="minorHAnsi" w:cstheme="minorHAnsi"/>
                <w:b/>
                <w:sz w:val="22"/>
              </w:rPr>
            </w:pPr>
            <w:r>
              <w:rPr>
                <w:rFonts w:asciiTheme="minorHAnsi" w:hAnsiTheme="minorHAnsi" w:cstheme="minorHAnsi"/>
                <w:b/>
                <w:sz w:val="22"/>
              </w:rPr>
              <w:t>Private Income</w:t>
            </w:r>
          </w:p>
        </w:tc>
        <w:tc>
          <w:tcPr>
            <w:tcW w:w="1257" w:type="dxa"/>
          </w:tcPr>
          <w:p w:rsidR="001C398A" w:rsidRPr="00346D94" w:rsidRDefault="001C398A" w:rsidP="00FE2A5D">
            <w:pPr>
              <w:jc w:val="center"/>
              <w:rPr>
                <w:rFonts w:asciiTheme="minorHAnsi" w:hAnsiTheme="minorHAnsi" w:cstheme="minorHAnsi"/>
                <w:b/>
                <w:sz w:val="22"/>
              </w:rPr>
            </w:pPr>
            <w:proofErr w:type="spellStart"/>
            <w:r>
              <w:rPr>
                <w:rFonts w:asciiTheme="minorHAnsi" w:hAnsiTheme="minorHAnsi" w:cstheme="minorHAnsi"/>
                <w:b/>
                <w:sz w:val="22"/>
              </w:rPr>
              <w:t>Govt</w:t>
            </w:r>
            <w:proofErr w:type="spellEnd"/>
            <w:r>
              <w:rPr>
                <w:rFonts w:asciiTheme="minorHAnsi" w:hAnsiTheme="minorHAnsi" w:cstheme="minorHAnsi"/>
                <w:b/>
                <w:sz w:val="22"/>
              </w:rPr>
              <w:t xml:space="preserve"> Pension &amp; Allowances</w:t>
            </w:r>
          </w:p>
        </w:tc>
      </w:tr>
      <w:tr w:rsidR="001C398A" w:rsidRPr="00346D94" w:rsidTr="00B4155E">
        <w:trPr>
          <w:jc w:val="center"/>
        </w:trPr>
        <w:tc>
          <w:tcPr>
            <w:tcW w:w="3328" w:type="dxa"/>
          </w:tcPr>
          <w:p w:rsidR="001C398A" w:rsidRPr="00346D94" w:rsidRDefault="001C398A" w:rsidP="007030EF">
            <w:pPr>
              <w:rPr>
                <w:rFonts w:asciiTheme="minorHAnsi" w:hAnsiTheme="minorHAnsi" w:cstheme="minorHAnsi"/>
                <w:sz w:val="22"/>
              </w:rPr>
            </w:pPr>
            <w:r w:rsidRPr="00346D94">
              <w:rPr>
                <w:rFonts w:asciiTheme="minorHAnsi" w:hAnsiTheme="minorHAnsi" w:cstheme="minorHAnsi"/>
                <w:sz w:val="22"/>
              </w:rPr>
              <w:t>Equipment</w:t>
            </w:r>
          </w:p>
        </w:tc>
        <w:tc>
          <w:tcPr>
            <w:tcW w:w="1134" w:type="dxa"/>
            <w:shd w:val="clear" w:color="auto" w:fill="auto"/>
            <w:vAlign w:val="bottom"/>
          </w:tcPr>
          <w:p w:rsidR="001C398A" w:rsidRPr="00346D94" w:rsidRDefault="00657AE3" w:rsidP="007030EF">
            <w:pPr>
              <w:jc w:val="right"/>
              <w:rPr>
                <w:rFonts w:asciiTheme="minorHAnsi" w:hAnsiTheme="minorHAnsi" w:cstheme="minorHAnsi"/>
                <w:bCs/>
                <w:color w:val="000000"/>
                <w:sz w:val="22"/>
              </w:rPr>
            </w:pPr>
            <w:r>
              <w:rPr>
                <w:rFonts w:asciiTheme="minorHAnsi" w:hAnsiTheme="minorHAnsi" w:cstheme="minorHAnsi"/>
                <w:bCs/>
                <w:color w:val="000000"/>
                <w:sz w:val="22"/>
              </w:rPr>
              <w:t>12.52</w:t>
            </w:r>
          </w:p>
        </w:tc>
        <w:tc>
          <w:tcPr>
            <w:tcW w:w="1257" w:type="dxa"/>
            <w:shd w:val="clear" w:color="auto" w:fill="auto"/>
            <w:vAlign w:val="bottom"/>
          </w:tcPr>
          <w:p w:rsidR="001C398A" w:rsidRPr="00346D94" w:rsidRDefault="001C398A" w:rsidP="007030EF">
            <w:pPr>
              <w:jc w:val="right"/>
              <w:rPr>
                <w:rFonts w:asciiTheme="minorHAnsi" w:hAnsiTheme="minorHAnsi" w:cstheme="minorHAnsi"/>
                <w:bCs/>
                <w:color w:val="000000"/>
                <w:sz w:val="22"/>
              </w:rPr>
            </w:pPr>
            <w:r>
              <w:rPr>
                <w:rFonts w:asciiTheme="minorHAnsi" w:hAnsiTheme="minorHAnsi" w:cstheme="minorHAnsi"/>
                <w:bCs/>
                <w:color w:val="000000"/>
                <w:sz w:val="22"/>
              </w:rPr>
              <w:t>4.36</w:t>
            </w:r>
          </w:p>
        </w:tc>
      </w:tr>
      <w:tr w:rsidR="001C398A" w:rsidRPr="00346D94" w:rsidTr="00B4155E">
        <w:trPr>
          <w:jc w:val="center"/>
        </w:trPr>
        <w:tc>
          <w:tcPr>
            <w:tcW w:w="3328" w:type="dxa"/>
          </w:tcPr>
          <w:p w:rsidR="001C398A" w:rsidRPr="00346D94" w:rsidRDefault="001C398A" w:rsidP="007030EF">
            <w:pPr>
              <w:rPr>
                <w:rFonts w:asciiTheme="minorHAnsi" w:hAnsiTheme="minorHAnsi" w:cstheme="minorHAnsi"/>
                <w:sz w:val="22"/>
              </w:rPr>
            </w:pPr>
            <w:r w:rsidRPr="00346D94">
              <w:rPr>
                <w:rFonts w:asciiTheme="minorHAnsi" w:hAnsiTheme="minorHAnsi" w:cstheme="minorHAnsi"/>
                <w:sz w:val="22"/>
              </w:rPr>
              <w:t>Current Charges</w:t>
            </w:r>
          </w:p>
        </w:tc>
        <w:tc>
          <w:tcPr>
            <w:tcW w:w="1134" w:type="dxa"/>
            <w:shd w:val="clear" w:color="auto" w:fill="auto"/>
            <w:vAlign w:val="bottom"/>
          </w:tcPr>
          <w:p w:rsidR="001C398A" w:rsidRPr="00346D94" w:rsidRDefault="00657AE3" w:rsidP="007030EF">
            <w:pPr>
              <w:jc w:val="right"/>
              <w:rPr>
                <w:rFonts w:asciiTheme="minorHAnsi" w:hAnsiTheme="minorHAnsi" w:cstheme="minorHAnsi"/>
                <w:bCs/>
                <w:iCs/>
                <w:color w:val="000000"/>
                <w:sz w:val="22"/>
              </w:rPr>
            </w:pPr>
            <w:r>
              <w:rPr>
                <w:rFonts w:asciiTheme="minorHAnsi" w:hAnsiTheme="minorHAnsi" w:cstheme="minorHAnsi"/>
                <w:bCs/>
                <w:iCs/>
                <w:color w:val="000000"/>
                <w:sz w:val="22"/>
              </w:rPr>
              <w:t>47.13</w:t>
            </w:r>
          </w:p>
        </w:tc>
        <w:tc>
          <w:tcPr>
            <w:tcW w:w="1257" w:type="dxa"/>
            <w:shd w:val="clear" w:color="auto" w:fill="auto"/>
            <w:vAlign w:val="bottom"/>
          </w:tcPr>
          <w:p w:rsidR="001C398A" w:rsidRPr="00346D94" w:rsidRDefault="001C398A" w:rsidP="007030EF">
            <w:pPr>
              <w:jc w:val="right"/>
              <w:rPr>
                <w:rFonts w:asciiTheme="minorHAnsi" w:hAnsiTheme="minorHAnsi" w:cstheme="minorHAnsi"/>
                <w:bCs/>
                <w:iCs/>
                <w:color w:val="000000"/>
                <w:sz w:val="22"/>
              </w:rPr>
            </w:pPr>
            <w:r>
              <w:rPr>
                <w:rFonts w:asciiTheme="minorHAnsi" w:hAnsiTheme="minorHAnsi" w:cstheme="minorHAnsi"/>
                <w:bCs/>
                <w:iCs/>
                <w:color w:val="000000"/>
                <w:sz w:val="22"/>
              </w:rPr>
              <w:t>26.51</w:t>
            </w:r>
          </w:p>
        </w:tc>
      </w:tr>
      <w:tr w:rsidR="001C398A" w:rsidRPr="00346D94" w:rsidTr="00B4155E">
        <w:trPr>
          <w:jc w:val="center"/>
        </w:trPr>
        <w:tc>
          <w:tcPr>
            <w:tcW w:w="3328" w:type="dxa"/>
          </w:tcPr>
          <w:p w:rsidR="001C398A" w:rsidRPr="00346D94" w:rsidRDefault="001C398A" w:rsidP="007030EF">
            <w:pPr>
              <w:rPr>
                <w:rFonts w:asciiTheme="minorHAnsi" w:hAnsiTheme="minorHAnsi" w:cstheme="minorHAnsi"/>
                <w:b/>
                <w:sz w:val="22"/>
              </w:rPr>
            </w:pPr>
            <w:r w:rsidRPr="00346D94">
              <w:rPr>
                <w:rFonts w:asciiTheme="minorHAnsi" w:hAnsiTheme="minorHAnsi" w:cstheme="minorHAnsi"/>
                <w:b/>
                <w:sz w:val="22"/>
              </w:rPr>
              <w:t>Telecommunications Expenditure</w:t>
            </w:r>
          </w:p>
        </w:tc>
        <w:tc>
          <w:tcPr>
            <w:tcW w:w="1134" w:type="dxa"/>
            <w:shd w:val="clear" w:color="auto" w:fill="auto"/>
            <w:vAlign w:val="bottom"/>
          </w:tcPr>
          <w:p w:rsidR="001C398A" w:rsidRPr="00346D94" w:rsidRDefault="001C398A" w:rsidP="007030EF">
            <w:pPr>
              <w:jc w:val="right"/>
              <w:rPr>
                <w:rFonts w:asciiTheme="minorHAnsi" w:hAnsiTheme="minorHAnsi" w:cstheme="minorHAnsi"/>
                <w:b/>
                <w:color w:val="000000"/>
                <w:sz w:val="22"/>
              </w:rPr>
            </w:pPr>
            <w:r>
              <w:rPr>
                <w:rFonts w:asciiTheme="minorHAnsi" w:hAnsiTheme="minorHAnsi" w:cstheme="minorHAnsi"/>
                <w:b/>
                <w:color w:val="000000"/>
                <w:sz w:val="22"/>
              </w:rPr>
              <w:t>$</w:t>
            </w:r>
            <w:r w:rsidR="00657AE3">
              <w:rPr>
                <w:rFonts w:asciiTheme="minorHAnsi" w:hAnsiTheme="minorHAnsi" w:cstheme="minorHAnsi"/>
                <w:b/>
                <w:color w:val="000000"/>
                <w:sz w:val="22"/>
              </w:rPr>
              <w:t>59.65</w:t>
            </w:r>
          </w:p>
        </w:tc>
        <w:tc>
          <w:tcPr>
            <w:tcW w:w="1257" w:type="dxa"/>
            <w:shd w:val="clear" w:color="auto" w:fill="auto"/>
            <w:vAlign w:val="bottom"/>
          </w:tcPr>
          <w:p w:rsidR="001C398A" w:rsidRPr="00346D94" w:rsidRDefault="001C398A" w:rsidP="007030EF">
            <w:pPr>
              <w:jc w:val="right"/>
              <w:rPr>
                <w:rFonts w:asciiTheme="minorHAnsi" w:hAnsiTheme="minorHAnsi" w:cstheme="minorHAnsi"/>
                <w:b/>
                <w:color w:val="000000"/>
                <w:sz w:val="22"/>
              </w:rPr>
            </w:pPr>
            <w:r>
              <w:rPr>
                <w:rFonts w:asciiTheme="minorHAnsi" w:hAnsiTheme="minorHAnsi" w:cstheme="minorHAnsi"/>
                <w:b/>
                <w:color w:val="000000"/>
                <w:sz w:val="22"/>
              </w:rPr>
              <w:t>$30.87</w:t>
            </w:r>
          </w:p>
        </w:tc>
      </w:tr>
      <w:tr w:rsidR="001C398A" w:rsidRPr="00346D94" w:rsidTr="00B4155E">
        <w:trPr>
          <w:jc w:val="center"/>
        </w:trPr>
        <w:tc>
          <w:tcPr>
            <w:tcW w:w="3328" w:type="dxa"/>
          </w:tcPr>
          <w:p w:rsidR="001C398A" w:rsidRPr="00346D94" w:rsidRDefault="001C398A" w:rsidP="007030EF">
            <w:pPr>
              <w:rPr>
                <w:rFonts w:asciiTheme="minorHAnsi" w:hAnsiTheme="minorHAnsi" w:cstheme="minorHAnsi"/>
                <w:i/>
                <w:sz w:val="22"/>
              </w:rPr>
            </w:pPr>
            <w:r>
              <w:rPr>
                <w:rFonts w:asciiTheme="minorHAnsi" w:hAnsiTheme="minorHAnsi" w:cstheme="minorHAnsi"/>
                <w:i/>
                <w:sz w:val="22"/>
              </w:rPr>
              <w:t>% of H/hold Disposable Income</w:t>
            </w:r>
          </w:p>
        </w:tc>
        <w:tc>
          <w:tcPr>
            <w:tcW w:w="1134" w:type="dxa"/>
            <w:shd w:val="clear" w:color="auto" w:fill="auto"/>
            <w:vAlign w:val="bottom"/>
          </w:tcPr>
          <w:p w:rsidR="001C398A" w:rsidRPr="00346D94" w:rsidRDefault="001C398A" w:rsidP="007030EF">
            <w:pPr>
              <w:jc w:val="right"/>
              <w:rPr>
                <w:rFonts w:asciiTheme="minorHAnsi" w:hAnsiTheme="minorHAnsi" w:cstheme="minorHAnsi"/>
                <w:bCs/>
                <w:i/>
                <w:iCs/>
                <w:color w:val="000000"/>
                <w:sz w:val="22"/>
              </w:rPr>
            </w:pPr>
            <w:r>
              <w:rPr>
                <w:rFonts w:asciiTheme="minorHAnsi" w:hAnsiTheme="minorHAnsi" w:cstheme="minorHAnsi"/>
                <w:bCs/>
                <w:i/>
                <w:iCs/>
                <w:color w:val="000000"/>
                <w:sz w:val="22"/>
              </w:rPr>
              <w:t>2.9%</w:t>
            </w:r>
          </w:p>
        </w:tc>
        <w:tc>
          <w:tcPr>
            <w:tcW w:w="1257" w:type="dxa"/>
            <w:shd w:val="clear" w:color="auto" w:fill="auto"/>
            <w:vAlign w:val="bottom"/>
          </w:tcPr>
          <w:p w:rsidR="001C398A" w:rsidRPr="00346D94" w:rsidRDefault="001C398A" w:rsidP="007030EF">
            <w:pPr>
              <w:jc w:val="right"/>
              <w:rPr>
                <w:rFonts w:asciiTheme="minorHAnsi" w:hAnsiTheme="minorHAnsi" w:cstheme="minorHAnsi"/>
                <w:bCs/>
                <w:i/>
                <w:iCs/>
                <w:color w:val="000000"/>
                <w:sz w:val="22"/>
              </w:rPr>
            </w:pPr>
            <w:r>
              <w:rPr>
                <w:rFonts w:asciiTheme="minorHAnsi" w:hAnsiTheme="minorHAnsi" w:cstheme="minorHAnsi"/>
                <w:bCs/>
                <w:i/>
                <w:iCs/>
                <w:color w:val="000000"/>
                <w:sz w:val="22"/>
              </w:rPr>
              <w:t>4.4%</w:t>
            </w:r>
          </w:p>
        </w:tc>
      </w:tr>
    </w:tbl>
    <w:p w:rsidR="00B4155E" w:rsidRDefault="00B4155E" w:rsidP="00B4155E"/>
    <w:p w:rsidR="003860FF" w:rsidRDefault="003860FF" w:rsidP="00B4155E">
      <w:r>
        <w:t xml:space="preserve">Again, those whose main source of income is government pension and allowances spend proportionately less on equipment (14.1% of their telecommunications expenditure is on equipment by comparison with 21% for households with private income), so pensioners and other social security recipients are spending proportionately more of their income on telecommunications but using </w:t>
      </w:r>
      <w:r w:rsidR="000A2C42">
        <w:t xml:space="preserve">less or </w:t>
      </w:r>
      <w:r>
        <w:t>lower standard equipment.</w:t>
      </w:r>
      <w:r w:rsidR="009A0CAC">
        <w:t xml:space="preserve"> </w:t>
      </w:r>
      <w:r w:rsidR="009A0CAC">
        <w:fldChar w:fldCharType="begin"/>
      </w:r>
      <w:r w:rsidR="009A0CAC">
        <w:instrText xml:space="preserve"> REF _Ref497909211 \h </w:instrText>
      </w:r>
      <w:r w:rsidR="009A0CAC">
        <w:fldChar w:fldCharType="separate"/>
      </w:r>
      <w:r w:rsidR="00AF12ED">
        <w:t xml:space="preserve">Figure </w:t>
      </w:r>
      <w:r w:rsidR="00AF12ED">
        <w:rPr>
          <w:noProof/>
        </w:rPr>
        <w:t>5</w:t>
      </w:r>
      <w:r w:rsidR="009A0CAC">
        <w:fldChar w:fldCharType="end"/>
      </w:r>
      <w:r w:rsidR="009A0CAC">
        <w:t xml:space="preserve"> shows this in dollar terms. </w:t>
      </w:r>
    </w:p>
    <w:p w:rsidR="009E00EA" w:rsidRDefault="009E00EA" w:rsidP="00B4155E"/>
    <w:p w:rsidR="009E00EA" w:rsidRDefault="009E00EA" w:rsidP="009E00EA">
      <w:pPr>
        <w:pStyle w:val="Caption"/>
      </w:pPr>
      <w:bookmarkStart w:id="26" w:name="_Ref497909211"/>
      <w:bookmarkStart w:id="27" w:name="_Toc498421775"/>
      <w:r>
        <w:t xml:space="preserve">Figure </w:t>
      </w:r>
      <w:fldSimple w:instr=" SEQ Figure \* ARABIC ">
        <w:r w:rsidR="00AF12ED">
          <w:rPr>
            <w:noProof/>
          </w:rPr>
          <w:t>5</w:t>
        </w:r>
      </w:fldSimple>
      <w:bookmarkEnd w:id="26"/>
      <w:r>
        <w:t>: Equipment and Current Telecommunication Charges by Main Source of Income</w:t>
      </w:r>
      <w:bookmarkEnd w:id="27"/>
    </w:p>
    <w:p w:rsidR="00B4155E" w:rsidRDefault="00296A4C" w:rsidP="009E00EA">
      <w:pPr>
        <w:jc w:val="center"/>
      </w:pPr>
      <w:r>
        <w:rPr>
          <w:noProof/>
        </w:rPr>
        <w:drawing>
          <wp:inline distT="0" distB="0" distL="0" distR="0" wp14:anchorId="40C83EEE" wp14:editId="5D22FBD6">
            <wp:extent cx="4572000" cy="2743200"/>
            <wp:effectExtent l="0" t="0" r="19050" b="19050"/>
            <wp:docPr id="4" name="Chart 4" descr="for those on private incomes, they spend more on capital equipment compared with those on government allowances">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8422D33-88FF-4287-90ED-2EC135FE06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01423" w:rsidRDefault="00A01423" w:rsidP="00287592">
      <w:pPr>
        <w:pStyle w:val="Heading1"/>
      </w:pPr>
      <w:bookmarkStart w:id="28" w:name="_Toc498421753"/>
      <w:r>
        <w:lastRenderedPageBreak/>
        <w:t>Geographic Differences in Telecommunications Expenditure</w:t>
      </w:r>
      <w:bookmarkEnd w:id="28"/>
    </w:p>
    <w:p w:rsidR="00A01423" w:rsidRDefault="00A01423" w:rsidP="00287592">
      <w:pPr>
        <w:pStyle w:val="Heading2"/>
      </w:pPr>
      <w:bookmarkStart w:id="29" w:name="_Toc498421754"/>
      <w:r>
        <w:t>State Comparisons</w:t>
      </w:r>
      <w:bookmarkEnd w:id="29"/>
    </w:p>
    <w:p w:rsidR="001C398A" w:rsidRDefault="00BE0E50" w:rsidP="00A01423">
      <w:r>
        <w:t>As a percent</w:t>
      </w:r>
      <w:r w:rsidR="005001A6">
        <w:t>age</w:t>
      </w:r>
      <w:r>
        <w:t xml:space="preserve"> of household disposable income there are minimal differences in telecommunications expenditure between the states and territories. </w:t>
      </w:r>
    </w:p>
    <w:p w:rsidR="001C398A" w:rsidRDefault="00BE0E50" w:rsidP="00A01423">
      <w:r>
        <w:t>However, in absolute terms</w:t>
      </w:r>
      <w:r w:rsidR="005001A6">
        <w:t>,</w:t>
      </w:r>
      <w:r>
        <w:t xml:space="preserve"> South</w:t>
      </w:r>
      <w:r w:rsidR="006B13CD">
        <w:t xml:space="preserve"> Australian and Tasmanian households spend</w:t>
      </w:r>
      <w:r>
        <w:t xml:space="preserve"> 12% and 17% below the national average</w:t>
      </w:r>
      <w:r w:rsidR="005001A6">
        <w:t>, respectively,</w:t>
      </w:r>
      <w:r w:rsidR="006B13CD">
        <w:t xml:space="preserve"> on telecommunications</w:t>
      </w:r>
      <w:r>
        <w:t xml:space="preserve">. </w:t>
      </w:r>
      <w:r w:rsidR="00A7359F">
        <w:t>With the price of many current charges being set nationally, this may suggest of lack of usage in those two states – which is consistent with them also rating</w:t>
      </w:r>
      <w:r>
        <w:t xml:space="preserve"> lowest on the Australian Digital Inclusion Index</w:t>
      </w:r>
      <w:r w:rsidR="00A7359F">
        <w:t xml:space="preserve">. </w:t>
      </w:r>
    </w:p>
    <w:p w:rsidR="00A01423" w:rsidRDefault="00A7359F" w:rsidP="00A01423">
      <w:r>
        <w:t>That said, given that those states are already spending relatively highly as a proportion of household disposable income, there may be a reluctance to spend more to catch up.</w:t>
      </w:r>
    </w:p>
    <w:p w:rsidR="00BE0E50" w:rsidRDefault="00BE0E50" w:rsidP="00A01423"/>
    <w:p w:rsidR="00853BC0" w:rsidRDefault="00E52F5B" w:rsidP="00E52F5B">
      <w:pPr>
        <w:pStyle w:val="Caption"/>
      </w:pPr>
      <w:bookmarkStart w:id="30" w:name="_Toc498421783"/>
      <w:r>
        <w:t xml:space="preserve">Table </w:t>
      </w:r>
      <w:fldSimple w:instr=" SEQ Table \* ARABIC ">
        <w:r w:rsidR="00AF12ED">
          <w:rPr>
            <w:noProof/>
          </w:rPr>
          <w:t>4</w:t>
        </w:r>
      </w:fldSimple>
      <w:r>
        <w:t xml:space="preserve">: </w:t>
      </w:r>
      <w:r w:rsidR="00BE0E50">
        <w:t>Weekly Telecommunications Expenditure by State/Territory</w:t>
      </w:r>
      <w:bookmarkEnd w:id="30"/>
    </w:p>
    <w:tbl>
      <w:tblPr>
        <w:tblStyle w:val="TableGrid"/>
        <w:tblW w:w="0" w:type="auto"/>
        <w:jc w:val="center"/>
        <w:tblLook w:val="04A0" w:firstRow="1" w:lastRow="0" w:firstColumn="1" w:lastColumn="0" w:noHBand="0" w:noVBand="1"/>
        <w:tblDescription w:val="there is little real difference between spending amongst the states and territories"/>
      </w:tblPr>
      <w:tblGrid>
        <w:gridCol w:w="2324"/>
        <w:gridCol w:w="850"/>
        <w:gridCol w:w="850"/>
        <w:gridCol w:w="850"/>
        <w:gridCol w:w="850"/>
        <w:gridCol w:w="850"/>
        <w:gridCol w:w="850"/>
        <w:gridCol w:w="850"/>
        <w:gridCol w:w="850"/>
      </w:tblGrid>
      <w:tr w:rsidR="00BC78C0" w:rsidRPr="00346D94" w:rsidTr="001E0519">
        <w:trPr>
          <w:tblHeader/>
          <w:jc w:val="center"/>
        </w:trPr>
        <w:tc>
          <w:tcPr>
            <w:tcW w:w="2324" w:type="dxa"/>
            <w:vAlign w:val="center"/>
          </w:tcPr>
          <w:p w:rsidR="00BC78C0" w:rsidRPr="00346D94" w:rsidRDefault="00BC78C0" w:rsidP="007C64A6">
            <w:pPr>
              <w:rPr>
                <w:rFonts w:asciiTheme="minorHAnsi" w:hAnsiTheme="minorHAnsi" w:cstheme="minorHAnsi"/>
                <w:b/>
                <w:sz w:val="22"/>
              </w:rPr>
            </w:pPr>
          </w:p>
        </w:tc>
        <w:tc>
          <w:tcPr>
            <w:tcW w:w="850" w:type="dxa"/>
          </w:tcPr>
          <w:p w:rsidR="00BC78C0" w:rsidRPr="00346D94" w:rsidRDefault="00BC78C0" w:rsidP="007030EF">
            <w:pPr>
              <w:jc w:val="center"/>
              <w:rPr>
                <w:rFonts w:asciiTheme="minorHAnsi" w:hAnsiTheme="minorHAnsi" w:cstheme="minorHAnsi"/>
                <w:b/>
                <w:sz w:val="22"/>
              </w:rPr>
            </w:pPr>
            <w:r>
              <w:rPr>
                <w:rFonts w:asciiTheme="minorHAnsi" w:hAnsiTheme="minorHAnsi" w:cstheme="minorHAnsi"/>
                <w:b/>
                <w:sz w:val="22"/>
              </w:rPr>
              <w:t>NSW</w:t>
            </w:r>
          </w:p>
        </w:tc>
        <w:tc>
          <w:tcPr>
            <w:tcW w:w="850" w:type="dxa"/>
            <w:vAlign w:val="center"/>
          </w:tcPr>
          <w:p w:rsidR="00BC78C0" w:rsidRPr="00346D94" w:rsidRDefault="005001A6" w:rsidP="005001A6">
            <w:pPr>
              <w:jc w:val="center"/>
              <w:rPr>
                <w:rFonts w:asciiTheme="minorHAnsi" w:hAnsiTheme="minorHAnsi" w:cstheme="minorHAnsi"/>
                <w:b/>
                <w:sz w:val="22"/>
              </w:rPr>
            </w:pPr>
            <w:r>
              <w:rPr>
                <w:rFonts w:asciiTheme="minorHAnsi" w:hAnsiTheme="minorHAnsi" w:cstheme="minorHAnsi"/>
                <w:b/>
                <w:sz w:val="22"/>
              </w:rPr>
              <w:t>VIC</w:t>
            </w:r>
          </w:p>
        </w:tc>
        <w:tc>
          <w:tcPr>
            <w:tcW w:w="850" w:type="dxa"/>
            <w:vAlign w:val="center"/>
          </w:tcPr>
          <w:p w:rsidR="00BC78C0" w:rsidRPr="00346D94" w:rsidRDefault="005001A6" w:rsidP="005001A6">
            <w:pPr>
              <w:jc w:val="center"/>
              <w:rPr>
                <w:rFonts w:asciiTheme="minorHAnsi" w:hAnsiTheme="minorHAnsi" w:cstheme="minorHAnsi"/>
                <w:b/>
                <w:sz w:val="22"/>
              </w:rPr>
            </w:pPr>
            <w:r>
              <w:rPr>
                <w:rFonts w:asciiTheme="minorHAnsi" w:hAnsiTheme="minorHAnsi" w:cstheme="minorHAnsi"/>
                <w:b/>
                <w:sz w:val="22"/>
              </w:rPr>
              <w:t>QLD</w:t>
            </w:r>
          </w:p>
        </w:tc>
        <w:tc>
          <w:tcPr>
            <w:tcW w:w="850" w:type="dxa"/>
            <w:vAlign w:val="center"/>
          </w:tcPr>
          <w:p w:rsidR="00BC78C0" w:rsidRPr="00346D94" w:rsidRDefault="00BC78C0" w:rsidP="007030EF">
            <w:pPr>
              <w:jc w:val="center"/>
              <w:rPr>
                <w:rFonts w:asciiTheme="minorHAnsi" w:hAnsiTheme="minorHAnsi" w:cstheme="minorHAnsi"/>
                <w:b/>
                <w:sz w:val="22"/>
              </w:rPr>
            </w:pPr>
            <w:r>
              <w:rPr>
                <w:rFonts w:asciiTheme="minorHAnsi" w:hAnsiTheme="minorHAnsi" w:cstheme="minorHAnsi"/>
                <w:b/>
                <w:sz w:val="22"/>
              </w:rPr>
              <w:t>SA</w:t>
            </w:r>
          </w:p>
        </w:tc>
        <w:tc>
          <w:tcPr>
            <w:tcW w:w="850" w:type="dxa"/>
            <w:vAlign w:val="center"/>
          </w:tcPr>
          <w:p w:rsidR="00BC78C0" w:rsidRPr="00346D94" w:rsidRDefault="00BC78C0" w:rsidP="007030EF">
            <w:pPr>
              <w:jc w:val="center"/>
              <w:rPr>
                <w:rFonts w:asciiTheme="minorHAnsi" w:hAnsiTheme="minorHAnsi" w:cstheme="minorHAnsi"/>
                <w:b/>
                <w:sz w:val="22"/>
              </w:rPr>
            </w:pPr>
            <w:r>
              <w:rPr>
                <w:rFonts w:asciiTheme="minorHAnsi" w:hAnsiTheme="minorHAnsi" w:cstheme="minorHAnsi"/>
                <w:b/>
                <w:sz w:val="22"/>
              </w:rPr>
              <w:t>WA</w:t>
            </w:r>
          </w:p>
        </w:tc>
        <w:tc>
          <w:tcPr>
            <w:tcW w:w="850" w:type="dxa"/>
            <w:vAlign w:val="center"/>
          </w:tcPr>
          <w:p w:rsidR="00BC78C0" w:rsidRPr="00346D94" w:rsidRDefault="00BC78C0" w:rsidP="007030EF">
            <w:pPr>
              <w:jc w:val="center"/>
              <w:rPr>
                <w:rFonts w:asciiTheme="minorHAnsi" w:hAnsiTheme="minorHAnsi" w:cstheme="minorHAnsi"/>
                <w:b/>
                <w:sz w:val="22"/>
              </w:rPr>
            </w:pPr>
            <w:r>
              <w:rPr>
                <w:rFonts w:asciiTheme="minorHAnsi" w:hAnsiTheme="minorHAnsi" w:cstheme="minorHAnsi"/>
                <w:b/>
                <w:sz w:val="22"/>
              </w:rPr>
              <w:t>T</w:t>
            </w:r>
            <w:r w:rsidR="005001A6">
              <w:rPr>
                <w:rFonts w:asciiTheme="minorHAnsi" w:hAnsiTheme="minorHAnsi" w:cstheme="minorHAnsi"/>
                <w:b/>
                <w:sz w:val="22"/>
              </w:rPr>
              <w:t>AS</w:t>
            </w:r>
          </w:p>
        </w:tc>
        <w:tc>
          <w:tcPr>
            <w:tcW w:w="850" w:type="dxa"/>
          </w:tcPr>
          <w:p w:rsidR="00BC78C0" w:rsidRDefault="00BC78C0" w:rsidP="007030EF">
            <w:pPr>
              <w:jc w:val="center"/>
              <w:rPr>
                <w:rFonts w:asciiTheme="minorHAnsi" w:hAnsiTheme="minorHAnsi" w:cstheme="minorHAnsi"/>
                <w:b/>
                <w:sz w:val="22"/>
              </w:rPr>
            </w:pPr>
            <w:r>
              <w:rPr>
                <w:rFonts w:asciiTheme="minorHAnsi" w:hAnsiTheme="minorHAnsi" w:cstheme="minorHAnsi"/>
                <w:b/>
                <w:sz w:val="22"/>
              </w:rPr>
              <w:t>NT</w:t>
            </w:r>
          </w:p>
        </w:tc>
        <w:tc>
          <w:tcPr>
            <w:tcW w:w="850" w:type="dxa"/>
          </w:tcPr>
          <w:p w:rsidR="00BC78C0" w:rsidRDefault="00BC78C0" w:rsidP="007030EF">
            <w:pPr>
              <w:jc w:val="center"/>
              <w:rPr>
                <w:rFonts w:asciiTheme="minorHAnsi" w:hAnsiTheme="minorHAnsi" w:cstheme="minorHAnsi"/>
                <w:b/>
                <w:sz w:val="22"/>
              </w:rPr>
            </w:pPr>
            <w:r>
              <w:rPr>
                <w:rFonts w:asciiTheme="minorHAnsi" w:hAnsiTheme="minorHAnsi" w:cstheme="minorHAnsi"/>
                <w:b/>
                <w:sz w:val="22"/>
              </w:rPr>
              <w:t>ACT</w:t>
            </w:r>
          </w:p>
        </w:tc>
      </w:tr>
      <w:tr w:rsidR="00BC78C0" w:rsidRPr="00346D94" w:rsidTr="001E0519">
        <w:trPr>
          <w:tblHeader/>
          <w:jc w:val="center"/>
        </w:trPr>
        <w:tc>
          <w:tcPr>
            <w:tcW w:w="2324" w:type="dxa"/>
            <w:vAlign w:val="center"/>
          </w:tcPr>
          <w:p w:rsidR="00BC78C0" w:rsidRPr="00346D94" w:rsidRDefault="00BC78C0" w:rsidP="007C64A6">
            <w:pPr>
              <w:rPr>
                <w:rFonts w:asciiTheme="minorHAnsi" w:hAnsiTheme="minorHAnsi" w:cstheme="minorHAnsi"/>
                <w:sz w:val="22"/>
              </w:rPr>
            </w:pPr>
            <w:r w:rsidRPr="00346D94">
              <w:rPr>
                <w:rFonts w:asciiTheme="minorHAnsi" w:hAnsiTheme="minorHAnsi" w:cstheme="minorHAnsi"/>
                <w:sz w:val="22"/>
              </w:rPr>
              <w:t>Equipment</w:t>
            </w:r>
          </w:p>
        </w:tc>
        <w:tc>
          <w:tcPr>
            <w:tcW w:w="850" w:type="dxa"/>
            <w:vAlign w:val="center"/>
          </w:tcPr>
          <w:p w:rsidR="00BC78C0" w:rsidRPr="00346D94" w:rsidRDefault="00BC78C0" w:rsidP="00BE0E50">
            <w:pPr>
              <w:spacing w:line="240" w:lineRule="auto"/>
              <w:jc w:val="right"/>
              <w:rPr>
                <w:rFonts w:asciiTheme="minorHAnsi" w:hAnsiTheme="minorHAnsi" w:cstheme="minorHAnsi"/>
                <w:bCs/>
                <w:color w:val="000000"/>
                <w:sz w:val="22"/>
              </w:rPr>
            </w:pPr>
            <w:r>
              <w:rPr>
                <w:rFonts w:asciiTheme="minorHAnsi" w:hAnsiTheme="minorHAnsi" w:cstheme="minorHAnsi"/>
                <w:bCs/>
                <w:color w:val="000000"/>
                <w:sz w:val="22"/>
              </w:rPr>
              <w:t>12.60</w:t>
            </w:r>
          </w:p>
        </w:tc>
        <w:tc>
          <w:tcPr>
            <w:tcW w:w="850" w:type="dxa"/>
            <w:shd w:val="clear" w:color="auto" w:fill="auto"/>
            <w:vAlign w:val="center"/>
          </w:tcPr>
          <w:p w:rsidR="00BC78C0" w:rsidRPr="00346D94" w:rsidRDefault="00BC78C0" w:rsidP="00BE0E50">
            <w:pPr>
              <w:spacing w:line="240" w:lineRule="auto"/>
              <w:jc w:val="right"/>
              <w:rPr>
                <w:rFonts w:asciiTheme="minorHAnsi" w:eastAsia="Times New Roman" w:hAnsiTheme="minorHAnsi" w:cstheme="minorHAnsi"/>
                <w:bCs/>
                <w:color w:val="000000"/>
                <w:sz w:val="22"/>
              </w:rPr>
            </w:pPr>
            <w:r>
              <w:rPr>
                <w:rFonts w:asciiTheme="minorHAnsi" w:eastAsia="Times New Roman" w:hAnsiTheme="minorHAnsi" w:cstheme="minorHAnsi"/>
                <w:bCs/>
                <w:color w:val="000000"/>
                <w:sz w:val="22"/>
              </w:rPr>
              <w:t>9.90</w:t>
            </w:r>
          </w:p>
        </w:tc>
        <w:tc>
          <w:tcPr>
            <w:tcW w:w="850" w:type="dxa"/>
            <w:shd w:val="clear" w:color="auto" w:fill="auto"/>
            <w:vAlign w:val="center"/>
          </w:tcPr>
          <w:p w:rsidR="00BC78C0" w:rsidRPr="00346D94" w:rsidRDefault="00BC78C0" w:rsidP="00BE0E50">
            <w:pPr>
              <w:jc w:val="right"/>
              <w:rPr>
                <w:rFonts w:asciiTheme="minorHAnsi" w:hAnsiTheme="minorHAnsi" w:cstheme="minorHAnsi"/>
                <w:bCs/>
                <w:color w:val="000000"/>
                <w:sz w:val="22"/>
              </w:rPr>
            </w:pPr>
            <w:r>
              <w:rPr>
                <w:rFonts w:asciiTheme="minorHAnsi" w:hAnsiTheme="minorHAnsi" w:cstheme="minorHAnsi"/>
                <w:bCs/>
                <w:color w:val="000000"/>
                <w:sz w:val="22"/>
              </w:rPr>
              <w:t>8.82</w:t>
            </w:r>
          </w:p>
        </w:tc>
        <w:tc>
          <w:tcPr>
            <w:tcW w:w="850" w:type="dxa"/>
            <w:shd w:val="clear" w:color="auto" w:fill="auto"/>
            <w:vAlign w:val="center"/>
          </w:tcPr>
          <w:p w:rsidR="00BC78C0" w:rsidRPr="00346D94" w:rsidRDefault="00BC78C0" w:rsidP="00BE0E50">
            <w:pPr>
              <w:jc w:val="right"/>
              <w:rPr>
                <w:rFonts w:asciiTheme="minorHAnsi" w:hAnsiTheme="minorHAnsi" w:cstheme="minorHAnsi"/>
                <w:bCs/>
                <w:color w:val="000000"/>
                <w:sz w:val="22"/>
              </w:rPr>
            </w:pPr>
            <w:r>
              <w:rPr>
                <w:rFonts w:asciiTheme="minorHAnsi" w:hAnsiTheme="minorHAnsi" w:cstheme="minorHAnsi"/>
                <w:bCs/>
                <w:color w:val="000000"/>
                <w:sz w:val="22"/>
              </w:rPr>
              <w:t>9.40</w:t>
            </w:r>
          </w:p>
        </w:tc>
        <w:tc>
          <w:tcPr>
            <w:tcW w:w="850" w:type="dxa"/>
            <w:shd w:val="clear" w:color="auto" w:fill="auto"/>
            <w:vAlign w:val="center"/>
          </w:tcPr>
          <w:p w:rsidR="00BC78C0" w:rsidRPr="00346D94" w:rsidRDefault="00BC78C0" w:rsidP="00BE0E50">
            <w:pPr>
              <w:jc w:val="right"/>
              <w:rPr>
                <w:rFonts w:asciiTheme="minorHAnsi" w:hAnsiTheme="minorHAnsi" w:cstheme="minorHAnsi"/>
                <w:bCs/>
                <w:color w:val="000000"/>
                <w:sz w:val="22"/>
              </w:rPr>
            </w:pPr>
            <w:r>
              <w:rPr>
                <w:rFonts w:asciiTheme="minorHAnsi" w:hAnsiTheme="minorHAnsi" w:cstheme="minorHAnsi"/>
                <w:bCs/>
                <w:color w:val="000000"/>
                <w:sz w:val="22"/>
              </w:rPr>
              <w:t>9.87</w:t>
            </w:r>
          </w:p>
        </w:tc>
        <w:tc>
          <w:tcPr>
            <w:tcW w:w="850" w:type="dxa"/>
            <w:shd w:val="clear" w:color="auto" w:fill="auto"/>
            <w:vAlign w:val="center"/>
          </w:tcPr>
          <w:p w:rsidR="00BC78C0" w:rsidRPr="00346D94" w:rsidRDefault="00BC78C0" w:rsidP="00BE0E50">
            <w:pPr>
              <w:jc w:val="right"/>
              <w:rPr>
                <w:rFonts w:asciiTheme="minorHAnsi" w:hAnsiTheme="minorHAnsi" w:cstheme="minorHAnsi"/>
                <w:bCs/>
                <w:color w:val="000000"/>
                <w:sz w:val="22"/>
              </w:rPr>
            </w:pPr>
            <w:r>
              <w:rPr>
                <w:rFonts w:asciiTheme="minorHAnsi" w:hAnsiTheme="minorHAnsi" w:cstheme="minorHAnsi"/>
                <w:bCs/>
                <w:color w:val="000000"/>
                <w:sz w:val="22"/>
              </w:rPr>
              <w:t>8.06</w:t>
            </w:r>
          </w:p>
        </w:tc>
        <w:tc>
          <w:tcPr>
            <w:tcW w:w="850" w:type="dxa"/>
            <w:vAlign w:val="center"/>
          </w:tcPr>
          <w:p w:rsidR="00BC78C0" w:rsidRPr="00BE0E50" w:rsidRDefault="00BC78C0" w:rsidP="00BE0E50">
            <w:pPr>
              <w:jc w:val="right"/>
              <w:rPr>
                <w:rFonts w:asciiTheme="minorHAnsi" w:hAnsiTheme="minorHAnsi" w:cstheme="minorHAnsi"/>
                <w:bCs/>
                <w:i/>
                <w:color w:val="000000"/>
                <w:sz w:val="22"/>
              </w:rPr>
            </w:pPr>
            <w:r w:rsidRPr="00BE0E50">
              <w:rPr>
                <w:rFonts w:asciiTheme="minorHAnsi" w:hAnsiTheme="minorHAnsi" w:cstheme="minorHAnsi"/>
                <w:bCs/>
                <w:i/>
                <w:color w:val="000000"/>
                <w:sz w:val="22"/>
              </w:rPr>
              <w:t>16.89</w:t>
            </w:r>
          </w:p>
        </w:tc>
        <w:tc>
          <w:tcPr>
            <w:tcW w:w="850" w:type="dxa"/>
            <w:vAlign w:val="center"/>
          </w:tcPr>
          <w:p w:rsidR="00BC78C0" w:rsidRPr="00346D94" w:rsidRDefault="00E81FE1" w:rsidP="00BE0E50">
            <w:pPr>
              <w:jc w:val="right"/>
              <w:rPr>
                <w:rFonts w:asciiTheme="minorHAnsi" w:hAnsiTheme="minorHAnsi" w:cstheme="minorHAnsi"/>
                <w:bCs/>
                <w:color w:val="000000"/>
                <w:sz w:val="22"/>
              </w:rPr>
            </w:pPr>
            <w:r>
              <w:rPr>
                <w:rFonts w:asciiTheme="minorHAnsi" w:hAnsiTheme="minorHAnsi" w:cstheme="minorHAnsi"/>
                <w:bCs/>
                <w:color w:val="000000"/>
                <w:sz w:val="22"/>
              </w:rPr>
              <w:t>11.12</w:t>
            </w:r>
          </w:p>
        </w:tc>
      </w:tr>
      <w:tr w:rsidR="00BC78C0" w:rsidRPr="00346D94" w:rsidTr="001E0519">
        <w:trPr>
          <w:tblHeader/>
          <w:jc w:val="center"/>
        </w:trPr>
        <w:tc>
          <w:tcPr>
            <w:tcW w:w="2324" w:type="dxa"/>
            <w:vAlign w:val="center"/>
          </w:tcPr>
          <w:p w:rsidR="00BC78C0" w:rsidRPr="00346D94" w:rsidRDefault="00BC78C0" w:rsidP="007C64A6">
            <w:pPr>
              <w:rPr>
                <w:rFonts w:asciiTheme="minorHAnsi" w:hAnsiTheme="minorHAnsi" w:cstheme="minorHAnsi"/>
                <w:sz w:val="22"/>
              </w:rPr>
            </w:pPr>
            <w:r w:rsidRPr="00346D94">
              <w:rPr>
                <w:rFonts w:asciiTheme="minorHAnsi" w:hAnsiTheme="minorHAnsi" w:cstheme="minorHAnsi"/>
                <w:sz w:val="22"/>
              </w:rPr>
              <w:t>Current Charges</w:t>
            </w:r>
          </w:p>
        </w:tc>
        <w:tc>
          <w:tcPr>
            <w:tcW w:w="850" w:type="dxa"/>
            <w:vAlign w:val="center"/>
          </w:tcPr>
          <w:p w:rsidR="00BC78C0" w:rsidRPr="00346D94" w:rsidRDefault="00E52F5B" w:rsidP="00BE0E50">
            <w:pPr>
              <w:spacing w:line="240" w:lineRule="auto"/>
              <w:jc w:val="right"/>
              <w:rPr>
                <w:rFonts w:asciiTheme="minorHAnsi" w:hAnsiTheme="minorHAnsi" w:cstheme="minorHAnsi"/>
                <w:bCs/>
                <w:iCs/>
                <w:color w:val="000000"/>
                <w:sz w:val="22"/>
              </w:rPr>
            </w:pPr>
            <w:r>
              <w:rPr>
                <w:rFonts w:asciiTheme="minorHAnsi" w:hAnsiTheme="minorHAnsi" w:cstheme="minorHAnsi"/>
                <w:bCs/>
                <w:iCs/>
                <w:color w:val="000000"/>
                <w:sz w:val="22"/>
              </w:rPr>
              <w:t>41.91</w:t>
            </w:r>
          </w:p>
        </w:tc>
        <w:tc>
          <w:tcPr>
            <w:tcW w:w="850" w:type="dxa"/>
            <w:shd w:val="clear" w:color="auto" w:fill="auto"/>
            <w:vAlign w:val="center"/>
          </w:tcPr>
          <w:p w:rsidR="00BC78C0" w:rsidRPr="00346D94" w:rsidRDefault="00E52F5B" w:rsidP="00BE0E50">
            <w:pPr>
              <w:spacing w:line="240" w:lineRule="auto"/>
              <w:jc w:val="right"/>
              <w:rPr>
                <w:rFonts w:asciiTheme="minorHAnsi" w:eastAsia="Times New Roman" w:hAnsiTheme="minorHAnsi" w:cstheme="minorHAnsi"/>
                <w:bCs/>
                <w:iCs/>
                <w:color w:val="000000"/>
                <w:sz w:val="22"/>
              </w:rPr>
            </w:pPr>
            <w:r>
              <w:rPr>
                <w:rFonts w:asciiTheme="minorHAnsi" w:eastAsia="Times New Roman" w:hAnsiTheme="minorHAnsi" w:cstheme="minorHAnsi"/>
                <w:bCs/>
                <w:iCs/>
                <w:color w:val="000000"/>
                <w:sz w:val="22"/>
              </w:rPr>
              <w:t>43.49</w:t>
            </w:r>
          </w:p>
        </w:tc>
        <w:tc>
          <w:tcPr>
            <w:tcW w:w="850" w:type="dxa"/>
            <w:shd w:val="clear" w:color="auto" w:fill="auto"/>
            <w:vAlign w:val="center"/>
          </w:tcPr>
          <w:p w:rsidR="00BC78C0" w:rsidRPr="00346D94" w:rsidRDefault="00E52F5B" w:rsidP="00BE0E50">
            <w:pPr>
              <w:jc w:val="right"/>
              <w:rPr>
                <w:rFonts w:asciiTheme="minorHAnsi" w:hAnsiTheme="minorHAnsi" w:cstheme="minorHAnsi"/>
                <w:bCs/>
                <w:iCs/>
                <w:color w:val="000000"/>
                <w:sz w:val="22"/>
              </w:rPr>
            </w:pPr>
            <w:r>
              <w:rPr>
                <w:rFonts w:asciiTheme="minorHAnsi" w:hAnsiTheme="minorHAnsi" w:cstheme="minorHAnsi"/>
                <w:bCs/>
                <w:iCs/>
                <w:color w:val="000000"/>
                <w:sz w:val="22"/>
              </w:rPr>
              <w:t>43.80</w:t>
            </w:r>
          </w:p>
        </w:tc>
        <w:tc>
          <w:tcPr>
            <w:tcW w:w="850" w:type="dxa"/>
            <w:shd w:val="clear" w:color="auto" w:fill="auto"/>
            <w:vAlign w:val="center"/>
          </w:tcPr>
          <w:p w:rsidR="00BC78C0" w:rsidRPr="00346D94" w:rsidRDefault="00E52F5B" w:rsidP="00BE0E50">
            <w:pPr>
              <w:jc w:val="right"/>
              <w:rPr>
                <w:rFonts w:asciiTheme="minorHAnsi" w:hAnsiTheme="minorHAnsi" w:cstheme="minorHAnsi"/>
                <w:bCs/>
                <w:iCs/>
                <w:color w:val="000000"/>
                <w:sz w:val="22"/>
              </w:rPr>
            </w:pPr>
            <w:r>
              <w:rPr>
                <w:rFonts w:asciiTheme="minorHAnsi" w:hAnsiTheme="minorHAnsi" w:cstheme="minorHAnsi"/>
                <w:bCs/>
                <w:iCs/>
                <w:color w:val="000000"/>
                <w:sz w:val="22"/>
              </w:rPr>
              <w:t>37.22</w:t>
            </w:r>
          </w:p>
        </w:tc>
        <w:tc>
          <w:tcPr>
            <w:tcW w:w="850" w:type="dxa"/>
            <w:shd w:val="clear" w:color="auto" w:fill="auto"/>
            <w:vAlign w:val="center"/>
          </w:tcPr>
          <w:p w:rsidR="00BC78C0" w:rsidRPr="00346D94" w:rsidRDefault="00E52F5B" w:rsidP="00BE0E50">
            <w:pPr>
              <w:jc w:val="right"/>
              <w:rPr>
                <w:rFonts w:asciiTheme="minorHAnsi" w:hAnsiTheme="minorHAnsi" w:cstheme="minorHAnsi"/>
                <w:bCs/>
                <w:iCs/>
                <w:color w:val="000000"/>
                <w:sz w:val="22"/>
              </w:rPr>
            </w:pPr>
            <w:r>
              <w:rPr>
                <w:rFonts w:asciiTheme="minorHAnsi" w:hAnsiTheme="minorHAnsi" w:cstheme="minorHAnsi"/>
                <w:bCs/>
                <w:iCs/>
                <w:color w:val="000000"/>
                <w:sz w:val="22"/>
              </w:rPr>
              <w:t>41.37</w:t>
            </w:r>
          </w:p>
        </w:tc>
        <w:tc>
          <w:tcPr>
            <w:tcW w:w="850" w:type="dxa"/>
            <w:shd w:val="clear" w:color="auto" w:fill="auto"/>
            <w:vAlign w:val="center"/>
          </w:tcPr>
          <w:p w:rsidR="00BC78C0" w:rsidRPr="00346D94" w:rsidRDefault="00E52F5B" w:rsidP="00BE0E50">
            <w:pPr>
              <w:jc w:val="right"/>
              <w:rPr>
                <w:rFonts w:asciiTheme="minorHAnsi" w:hAnsiTheme="minorHAnsi" w:cstheme="minorHAnsi"/>
                <w:bCs/>
                <w:iCs/>
                <w:color w:val="000000"/>
                <w:sz w:val="22"/>
              </w:rPr>
            </w:pPr>
            <w:r>
              <w:rPr>
                <w:rFonts w:asciiTheme="minorHAnsi" w:hAnsiTheme="minorHAnsi" w:cstheme="minorHAnsi"/>
                <w:bCs/>
                <w:iCs/>
                <w:color w:val="000000"/>
                <w:sz w:val="22"/>
              </w:rPr>
              <w:t>35.58</w:t>
            </w:r>
          </w:p>
        </w:tc>
        <w:tc>
          <w:tcPr>
            <w:tcW w:w="850" w:type="dxa"/>
            <w:vAlign w:val="center"/>
          </w:tcPr>
          <w:p w:rsidR="00BC78C0" w:rsidRPr="00346D94" w:rsidRDefault="00E52F5B" w:rsidP="00BE0E50">
            <w:pPr>
              <w:jc w:val="right"/>
              <w:rPr>
                <w:rFonts w:asciiTheme="minorHAnsi" w:hAnsiTheme="minorHAnsi" w:cstheme="minorHAnsi"/>
                <w:bCs/>
                <w:iCs/>
                <w:color w:val="000000"/>
                <w:sz w:val="22"/>
              </w:rPr>
            </w:pPr>
            <w:r>
              <w:rPr>
                <w:rFonts w:asciiTheme="minorHAnsi" w:hAnsiTheme="minorHAnsi" w:cstheme="minorHAnsi"/>
                <w:bCs/>
                <w:iCs/>
                <w:color w:val="000000"/>
                <w:sz w:val="22"/>
              </w:rPr>
              <w:t>48.47</w:t>
            </w:r>
          </w:p>
        </w:tc>
        <w:tc>
          <w:tcPr>
            <w:tcW w:w="850" w:type="dxa"/>
            <w:vAlign w:val="center"/>
          </w:tcPr>
          <w:p w:rsidR="00BC78C0" w:rsidRPr="00346D94" w:rsidRDefault="00E52F5B" w:rsidP="00BE0E50">
            <w:pPr>
              <w:jc w:val="right"/>
              <w:rPr>
                <w:rFonts w:asciiTheme="minorHAnsi" w:hAnsiTheme="minorHAnsi" w:cstheme="minorHAnsi"/>
                <w:bCs/>
                <w:iCs/>
                <w:color w:val="000000"/>
                <w:sz w:val="22"/>
              </w:rPr>
            </w:pPr>
            <w:r>
              <w:rPr>
                <w:rFonts w:asciiTheme="minorHAnsi" w:hAnsiTheme="minorHAnsi" w:cstheme="minorHAnsi"/>
                <w:bCs/>
                <w:iCs/>
                <w:color w:val="000000"/>
                <w:sz w:val="22"/>
              </w:rPr>
              <w:t>41.78</w:t>
            </w:r>
          </w:p>
        </w:tc>
      </w:tr>
      <w:tr w:rsidR="00BC78C0" w:rsidRPr="00346D94" w:rsidTr="001E0519">
        <w:trPr>
          <w:tblHeader/>
          <w:jc w:val="center"/>
        </w:trPr>
        <w:tc>
          <w:tcPr>
            <w:tcW w:w="2324" w:type="dxa"/>
            <w:vAlign w:val="center"/>
          </w:tcPr>
          <w:p w:rsidR="00BC78C0" w:rsidRPr="00346D94" w:rsidRDefault="00BC78C0" w:rsidP="007C64A6">
            <w:pPr>
              <w:rPr>
                <w:rFonts w:asciiTheme="minorHAnsi" w:hAnsiTheme="minorHAnsi" w:cstheme="minorHAnsi"/>
                <w:b/>
                <w:sz w:val="22"/>
              </w:rPr>
            </w:pPr>
            <w:r w:rsidRPr="00346D94">
              <w:rPr>
                <w:rFonts w:asciiTheme="minorHAnsi" w:hAnsiTheme="minorHAnsi" w:cstheme="minorHAnsi"/>
                <w:b/>
                <w:sz w:val="22"/>
              </w:rPr>
              <w:t>Telecommunications Expenditure</w:t>
            </w:r>
          </w:p>
        </w:tc>
        <w:tc>
          <w:tcPr>
            <w:tcW w:w="850" w:type="dxa"/>
            <w:vAlign w:val="center"/>
          </w:tcPr>
          <w:p w:rsidR="00BC78C0" w:rsidRDefault="00E52F5B" w:rsidP="00E52F5B">
            <w:pPr>
              <w:spacing w:line="240" w:lineRule="auto"/>
              <w:jc w:val="right"/>
              <w:rPr>
                <w:rFonts w:asciiTheme="minorHAnsi" w:hAnsiTheme="minorHAnsi" w:cstheme="minorHAnsi"/>
                <w:b/>
                <w:color w:val="000000"/>
                <w:sz w:val="22"/>
              </w:rPr>
            </w:pPr>
            <w:r>
              <w:rPr>
                <w:rFonts w:asciiTheme="minorHAnsi" w:hAnsiTheme="minorHAnsi" w:cstheme="minorHAnsi"/>
                <w:b/>
                <w:color w:val="000000"/>
                <w:sz w:val="22"/>
              </w:rPr>
              <w:t>54.51</w:t>
            </w:r>
          </w:p>
        </w:tc>
        <w:tc>
          <w:tcPr>
            <w:tcW w:w="850" w:type="dxa"/>
            <w:shd w:val="clear" w:color="auto" w:fill="auto"/>
            <w:vAlign w:val="center"/>
          </w:tcPr>
          <w:p w:rsidR="00BC78C0" w:rsidRPr="00346D94" w:rsidRDefault="00E52F5B" w:rsidP="00E52F5B">
            <w:pPr>
              <w:spacing w:line="240" w:lineRule="auto"/>
              <w:jc w:val="right"/>
              <w:rPr>
                <w:rFonts w:asciiTheme="minorHAnsi" w:eastAsia="Times New Roman" w:hAnsiTheme="minorHAnsi" w:cstheme="minorHAnsi"/>
                <w:b/>
                <w:color w:val="000000"/>
                <w:sz w:val="22"/>
              </w:rPr>
            </w:pPr>
            <w:r>
              <w:rPr>
                <w:rFonts w:asciiTheme="minorHAnsi" w:hAnsiTheme="minorHAnsi" w:cstheme="minorHAnsi"/>
                <w:b/>
                <w:color w:val="000000"/>
                <w:sz w:val="22"/>
              </w:rPr>
              <w:t>53.39</w:t>
            </w:r>
          </w:p>
        </w:tc>
        <w:tc>
          <w:tcPr>
            <w:tcW w:w="850" w:type="dxa"/>
            <w:shd w:val="clear" w:color="auto" w:fill="auto"/>
            <w:vAlign w:val="center"/>
          </w:tcPr>
          <w:p w:rsidR="00BC78C0" w:rsidRPr="00346D94" w:rsidRDefault="00E52F5B" w:rsidP="00E52F5B">
            <w:pPr>
              <w:jc w:val="right"/>
              <w:rPr>
                <w:rFonts w:asciiTheme="minorHAnsi" w:hAnsiTheme="minorHAnsi" w:cstheme="minorHAnsi"/>
                <w:b/>
                <w:color w:val="000000"/>
                <w:sz w:val="22"/>
              </w:rPr>
            </w:pPr>
            <w:r>
              <w:rPr>
                <w:rFonts w:asciiTheme="minorHAnsi" w:hAnsiTheme="minorHAnsi" w:cstheme="minorHAnsi"/>
                <w:b/>
                <w:color w:val="000000"/>
                <w:sz w:val="22"/>
              </w:rPr>
              <w:t>52.62</w:t>
            </w:r>
          </w:p>
        </w:tc>
        <w:tc>
          <w:tcPr>
            <w:tcW w:w="850" w:type="dxa"/>
            <w:shd w:val="clear" w:color="auto" w:fill="auto"/>
            <w:vAlign w:val="center"/>
          </w:tcPr>
          <w:p w:rsidR="00BC78C0" w:rsidRPr="00346D94" w:rsidRDefault="00E52F5B" w:rsidP="00E52F5B">
            <w:pPr>
              <w:jc w:val="right"/>
              <w:rPr>
                <w:rFonts w:asciiTheme="minorHAnsi" w:hAnsiTheme="minorHAnsi" w:cstheme="minorHAnsi"/>
                <w:b/>
                <w:color w:val="000000"/>
                <w:sz w:val="22"/>
              </w:rPr>
            </w:pPr>
            <w:r>
              <w:rPr>
                <w:rFonts w:asciiTheme="minorHAnsi" w:hAnsiTheme="minorHAnsi" w:cstheme="minorHAnsi"/>
                <w:b/>
                <w:color w:val="000000"/>
                <w:sz w:val="22"/>
              </w:rPr>
              <w:t>46.62</w:t>
            </w:r>
          </w:p>
        </w:tc>
        <w:tc>
          <w:tcPr>
            <w:tcW w:w="850" w:type="dxa"/>
            <w:shd w:val="clear" w:color="auto" w:fill="auto"/>
            <w:vAlign w:val="center"/>
          </w:tcPr>
          <w:p w:rsidR="00BC78C0" w:rsidRPr="00346D94" w:rsidRDefault="00E52F5B" w:rsidP="00E52F5B">
            <w:pPr>
              <w:jc w:val="right"/>
              <w:rPr>
                <w:rFonts w:asciiTheme="minorHAnsi" w:hAnsiTheme="minorHAnsi" w:cstheme="minorHAnsi"/>
                <w:b/>
                <w:color w:val="000000"/>
                <w:sz w:val="22"/>
              </w:rPr>
            </w:pPr>
            <w:r>
              <w:rPr>
                <w:rFonts w:asciiTheme="minorHAnsi" w:hAnsiTheme="minorHAnsi" w:cstheme="minorHAnsi"/>
                <w:b/>
                <w:color w:val="000000"/>
                <w:sz w:val="22"/>
              </w:rPr>
              <w:t>51.24</w:t>
            </w:r>
          </w:p>
        </w:tc>
        <w:tc>
          <w:tcPr>
            <w:tcW w:w="850" w:type="dxa"/>
            <w:shd w:val="clear" w:color="auto" w:fill="auto"/>
            <w:vAlign w:val="center"/>
          </w:tcPr>
          <w:p w:rsidR="00BC78C0" w:rsidRPr="00346D94" w:rsidRDefault="00E52F5B" w:rsidP="00E52F5B">
            <w:pPr>
              <w:jc w:val="right"/>
              <w:rPr>
                <w:rFonts w:asciiTheme="minorHAnsi" w:hAnsiTheme="minorHAnsi" w:cstheme="minorHAnsi"/>
                <w:b/>
                <w:color w:val="000000"/>
                <w:sz w:val="22"/>
              </w:rPr>
            </w:pPr>
            <w:r>
              <w:rPr>
                <w:rFonts w:asciiTheme="minorHAnsi" w:hAnsiTheme="minorHAnsi" w:cstheme="minorHAnsi"/>
                <w:b/>
                <w:color w:val="000000"/>
                <w:sz w:val="22"/>
              </w:rPr>
              <w:t>43.46</w:t>
            </w:r>
          </w:p>
        </w:tc>
        <w:tc>
          <w:tcPr>
            <w:tcW w:w="850" w:type="dxa"/>
            <w:vAlign w:val="center"/>
          </w:tcPr>
          <w:p w:rsidR="00BC78C0" w:rsidRPr="00BE0E50" w:rsidRDefault="00E52F5B" w:rsidP="00E52F5B">
            <w:pPr>
              <w:jc w:val="right"/>
              <w:rPr>
                <w:rFonts w:asciiTheme="minorHAnsi" w:hAnsiTheme="minorHAnsi" w:cstheme="minorHAnsi"/>
                <w:b/>
                <w:i/>
                <w:color w:val="000000"/>
                <w:sz w:val="22"/>
              </w:rPr>
            </w:pPr>
            <w:r w:rsidRPr="00BE0E50">
              <w:rPr>
                <w:rFonts w:asciiTheme="minorHAnsi" w:hAnsiTheme="minorHAnsi" w:cstheme="minorHAnsi"/>
                <w:b/>
                <w:i/>
                <w:color w:val="000000"/>
                <w:sz w:val="22"/>
              </w:rPr>
              <w:t>65.36</w:t>
            </w:r>
          </w:p>
        </w:tc>
        <w:tc>
          <w:tcPr>
            <w:tcW w:w="850" w:type="dxa"/>
            <w:vAlign w:val="center"/>
          </w:tcPr>
          <w:p w:rsidR="00BC78C0" w:rsidRDefault="00E52F5B" w:rsidP="00E52F5B">
            <w:pPr>
              <w:jc w:val="right"/>
              <w:rPr>
                <w:rFonts w:asciiTheme="minorHAnsi" w:hAnsiTheme="minorHAnsi" w:cstheme="minorHAnsi"/>
                <w:b/>
                <w:color w:val="000000"/>
                <w:sz w:val="22"/>
              </w:rPr>
            </w:pPr>
            <w:r>
              <w:rPr>
                <w:rFonts w:asciiTheme="minorHAnsi" w:hAnsiTheme="minorHAnsi" w:cstheme="minorHAnsi"/>
                <w:b/>
                <w:color w:val="000000"/>
                <w:sz w:val="22"/>
              </w:rPr>
              <w:t>52.90</w:t>
            </w:r>
          </w:p>
        </w:tc>
      </w:tr>
      <w:tr w:rsidR="00BC78C0" w:rsidRPr="00346D94" w:rsidTr="001E0519">
        <w:trPr>
          <w:tblHeader/>
          <w:jc w:val="center"/>
        </w:trPr>
        <w:tc>
          <w:tcPr>
            <w:tcW w:w="2324" w:type="dxa"/>
            <w:vAlign w:val="center"/>
          </w:tcPr>
          <w:p w:rsidR="00BC78C0" w:rsidRPr="00346D94" w:rsidRDefault="007C64A6" w:rsidP="007C64A6">
            <w:pPr>
              <w:rPr>
                <w:rFonts w:asciiTheme="minorHAnsi" w:hAnsiTheme="minorHAnsi" w:cstheme="minorHAnsi"/>
                <w:i/>
                <w:sz w:val="22"/>
              </w:rPr>
            </w:pPr>
            <w:r>
              <w:rPr>
                <w:rFonts w:asciiTheme="minorHAnsi" w:hAnsiTheme="minorHAnsi" w:cstheme="minorHAnsi"/>
                <w:i/>
                <w:sz w:val="22"/>
              </w:rPr>
              <w:t>% of H/</w:t>
            </w:r>
            <w:r w:rsidR="00E52F5B">
              <w:rPr>
                <w:rFonts w:asciiTheme="minorHAnsi" w:hAnsiTheme="minorHAnsi" w:cstheme="minorHAnsi"/>
                <w:i/>
                <w:sz w:val="22"/>
              </w:rPr>
              <w:t>hold Income</w:t>
            </w:r>
          </w:p>
        </w:tc>
        <w:tc>
          <w:tcPr>
            <w:tcW w:w="850" w:type="dxa"/>
            <w:vAlign w:val="center"/>
          </w:tcPr>
          <w:p w:rsidR="00BC78C0" w:rsidRPr="00346D94" w:rsidRDefault="00E52F5B" w:rsidP="005001A6">
            <w:pPr>
              <w:spacing w:line="240" w:lineRule="auto"/>
              <w:jc w:val="right"/>
              <w:rPr>
                <w:rFonts w:asciiTheme="minorHAnsi" w:hAnsiTheme="minorHAnsi" w:cstheme="minorHAnsi"/>
                <w:bCs/>
                <w:i/>
                <w:iCs/>
                <w:color w:val="000000"/>
                <w:sz w:val="22"/>
              </w:rPr>
            </w:pPr>
            <w:r>
              <w:rPr>
                <w:rFonts w:asciiTheme="minorHAnsi" w:hAnsiTheme="minorHAnsi" w:cstheme="minorHAnsi"/>
                <w:bCs/>
                <w:i/>
                <w:iCs/>
                <w:color w:val="000000"/>
                <w:sz w:val="22"/>
              </w:rPr>
              <w:t>3.0%</w:t>
            </w:r>
          </w:p>
        </w:tc>
        <w:tc>
          <w:tcPr>
            <w:tcW w:w="850" w:type="dxa"/>
            <w:shd w:val="clear" w:color="auto" w:fill="auto"/>
            <w:vAlign w:val="center"/>
          </w:tcPr>
          <w:p w:rsidR="00BC78C0" w:rsidRPr="00346D94" w:rsidRDefault="00E52F5B" w:rsidP="005001A6">
            <w:pPr>
              <w:spacing w:line="240" w:lineRule="auto"/>
              <w:jc w:val="right"/>
              <w:rPr>
                <w:rFonts w:asciiTheme="minorHAnsi" w:eastAsia="Times New Roman" w:hAnsiTheme="minorHAnsi" w:cstheme="minorHAnsi"/>
                <w:bCs/>
                <w:i/>
                <w:iCs/>
                <w:color w:val="000000"/>
                <w:sz w:val="22"/>
              </w:rPr>
            </w:pPr>
            <w:r>
              <w:rPr>
                <w:rFonts w:asciiTheme="minorHAnsi" w:hAnsiTheme="minorHAnsi" w:cstheme="minorHAnsi"/>
                <w:bCs/>
                <w:i/>
                <w:iCs/>
                <w:color w:val="000000"/>
                <w:sz w:val="22"/>
              </w:rPr>
              <w:t>3.2%</w:t>
            </w:r>
          </w:p>
        </w:tc>
        <w:tc>
          <w:tcPr>
            <w:tcW w:w="850" w:type="dxa"/>
            <w:shd w:val="clear" w:color="auto" w:fill="auto"/>
            <w:vAlign w:val="center"/>
          </w:tcPr>
          <w:p w:rsidR="00BC78C0" w:rsidRPr="00346D94" w:rsidRDefault="00E52F5B" w:rsidP="002F2638">
            <w:pPr>
              <w:spacing w:line="240" w:lineRule="auto"/>
              <w:jc w:val="right"/>
              <w:rPr>
                <w:rFonts w:asciiTheme="minorHAnsi" w:hAnsiTheme="minorHAnsi" w:cstheme="minorHAnsi"/>
                <w:bCs/>
                <w:i/>
                <w:iCs/>
                <w:color w:val="000000"/>
                <w:sz w:val="22"/>
              </w:rPr>
            </w:pPr>
            <w:r>
              <w:rPr>
                <w:rFonts w:asciiTheme="minorHAnsi" w:hAnsiTheme="minorHAnsi" w:cstheme="minorHAnsi"/>
                <w:bCs/>
                <w:i/>
                <w:iCs/>
                <w:color w:val="000000"/>
                <w:sz w:val="22"/>
              </w:rPr>
              <w:t>3.2%</w:t>
            </w:r>
          </w:p>
        </w:tc>
        <w:tc>
          <w:tcPr>
            <w:tcW w:w="850" w:type="dxa"/>
            <w:shd w:val="clear" w:color="auto" w:fill="auto"/>
            <w:vAlign w:val="center"/>
          </w:tcPr>
          <w:p w:rsidR="00BC78C0" w:rsidRPr="00346D94" w:rsidRDefault="00E52F5B" w:rsidP="002F2638">
            <w:pPr>
              <w:spacing w:line="240" w:lineRule="auto"/>
              <w:jc w:val="right"/>
              <w:rPr>
                <w:rFonts w:asciiTheme="minorHAnsi" w:hAnsiTheme="minorHAnsi" w:cstheme="minorHAnsi"/>
                <w:bCs/>
                <w:i/>
                <w:iCs/>
                <w:color w:val="000000"/>
                <w:sz w:val="22"/>
              </w:rPr>
            </w:pPr>
            <w:r>
              <w:rPr>
                <w:rFonts w:asciiTheme="minorHAnsi" w:hAnsiTheme="minorHAnsi" w:cstheme="minorHAnsi"/>
                <w:bCs/>
                <w:i/>
                <w:iCs/>
                <w:color w:val="000000"/>
                <w:sz w:val="22"/>
              </w:rPr>
              <w:t>3.2%</w:t>
            </w:r>
          </w:p>
        </w:tc>
        <w:tc>
          <w:tcPr>
            <w:tcW w:w="850" w:type="dxa"/>
            <w:shd w:val="clear" w:color="auto" w:fill="auto"/>
            <w:vAlign w:val="center"/>
          </w:tcPr>
          <w:p w:rsidR="00BC78C0" w:rsidRPr="00346D94" w:rsidRDefault="00E52F5B" w:rsidP="002F2638">
            <w:pPr>
              <w:spacing w:line="240" w:lineRule="auto"/>
              <w:jc w:val="right"/>
              <w:rPr>
                <w:rFonts w:asciiTheme="minorHAnsi" w:hAnsiTheme="minorHAnsi" w:cstheme="minorHAnsi"/>
                <w:bCs/>
                <w:i/>
                <w:iCs/>
                <w:color w:val="000000"/>
                <w:sz w:val="22"/>
              </w:rPr>
            </w:pPr>
            <w:r>
              <w:rPr>
                <w:rFonts w:asciiTheme="minorHAnsi" w:hAnsiTheme="minorHAnsi" w:cstheme="minorHAnsi"/>
                <w:bCs/>
                <w:i/>
                <w:iCs/>
                <w:color w:val="000000"/>
                <w:sz w:val="22"/>
              </w:rPr>
              <w:t>2.9%</w:t>
            </w:r>
          </w:p>
        </w:tc>
        <w:tc>
          <w:tcPr>
            <w:tcW w:w="850" w:type="dxa"/>
            <w:shd w:val="clear" w:color="auto" w:fill="auto"/>
            <w:vAlign w:val="center"/>
          </w:tcPr>
          <w:p w:rsidR="00BC78C0" w:rsidRPr="00346D94" w:rsidRDefault="00E52F5B" w:rsidP="002F2638">
            <w:pPr>
              <w:spacing w:line="240" w:lineRule="auto"/>
              <w:jc w:val="right"/>
              <w:rPr>
                <w:rFonts w:asciiTheme="minorHAnsi" w:hAnsiTheme="minorHAnsi" w:cstheme="minorHAnsi"/>
                <w:bCs/>
                <w:i/>
                <w:iCs/>
                <w:color w:val="000000"/>
                <w:sz w:val="22"/>
              </w:rPr>
            </w:pPr>
            <w:r>
              <w:rPr>
                <w:rFonts w:asciiTheme="minorHAnsi" w:hAnsiTheme="minorHAnsi" w:cstheme="minorHAnsi"/>
                <w:bCs/>
                <w:i/>
                <w:iCs/>
                <w:color w:val="000000"/>
                <w:sz w:val="22"/>
              </w:rPr>
              <w:t>3.3%</w:t>
            </w:r>
          </w:p>
        </w:tc>
        <w:tc>
          <w:tcPr>
            <w:tcW w:w="850" w:type="dxa"/>
            <w:vAlign w:val="center"/>
          </w:tcPr>
          <w:p w:rsidR="00BC78C0" w:rsidRPr="00346D94" w:rsidRDefault="00E52F5B" w:rsidP="002F2638">
            <w:pPr>
              <w:spacing w:line="240" w:lineRule="auto"/>
              <w:jc w:val="right"/>
              <w:rPr>
                <w:rFonts w:asciiTheme="minorHAnsi" w:hAnsiTheme="minorHAnsi" w:cstheme="minorHAnsi"/>
                <w:bCs/>
                <w:i/>
                <w:iCs/>
                <w:color w:val="000000"/>
                <w:sz w:val="22"/>
              </w:rPr>
            </w:pPr>
            <w:r>
              <w:rPr>
                <w:rFonts w:asciiTheme="minorHAnsi" w:hAnsiTheme="minorHAnsi" w:cstheme="minorHAnsi"/>
                <w:bCs/>
                <w:i/>
                <w:iCs/>
                <w:color w:val="000000"/>
                <w:sz w:val="22"/>
              </w:rPr>
              <w:t>3.2%</w:t>
            </w:r>
          </w:p>
        </w:tc>
        <w:tc>
          <w:tcPr>
            <w:tcW w:w="850" w:type="dxa"/>
            <w:vAlign w:val="center"/>
          </w:tcPr>
          <w:p w:rsidR="00BC78C0" w:rsidRPr="00346D94" w:rsidRDefault="00E52F5B" w:rsidP="002F2638">
            <w:pPr>
              <w:spacing w:line="240" w:lineRule="auto"/>
              <w:jc w:val="right"/>
              <w:rPr>
                <w:rFonts w:asciiTheme="minorHAnsi" w:hAnsiTheme="minorHAnsi" w:cstheme="minorHAnsi"/>
                <w:bCs/>
                <w:i/>
                <w:iCs/>
                <w:color w:val="000000"/>
                <w:sz w:val="22"/>
              </w:rPr>
            </w:pPr>
            <w:r>
              <w:rPr>
                <w:rFonts w:asciiTheme="minorHAnsi" w:hAnsiTheme="minorHAnsi" w:cstheme="minorHAnsi"/>
                <w:bCs/>
                <w:i/>
                <w:iCs/>
                <w:color w:val="000000"/>
                <w:sz w:val="22"/>
              </w:rPr>
              <w:t>2.7%</w:t>
            </w:r>
          </w:p>
        </w:tc>
      </w:tr>
    </w:tbl>
    <w:p w:rsidR="00853BC0" w:rsidRPr="00E52F5B" w:rsidRDefault="00E52F5B" w:rsidP="000D337E">
      <w:pPr>
        <w:rPr>
          <w:sz w:val="20"/>
        </w:rPr>
      </w:pPr>
      <w:r w:rsidRPr="00E52F5B">
        <w:rPr>
          <w:sz w:val="20"/>
        </w:rPr>
        <w:t xml:space="preserve">Note: Several of the equipment expenditure estimates have some degree of statistical unreliability and should be treated with caution, including the NT computer costs – </w:t>
      </w:r>
      <w:r w:rsidR="00A26F7A">
        <w:rPr>
          <w:sz w:val="20"/>
        </w:rPr>
        <w:t>hence the NT figures above being an</w:t>
      </w:r>
      <w:r w:rsidRPr="00E52F5B">
        <w:rPr>
          <w:sz w:val="20"/>
        </w:rPr>
        <w:t xml:space="preserve"> outlier.</w:t>
      </w:r>
    </w:p>
    <w:p w:rsidR="004419B8" w:rsidRPr="00287592" w:rsidRDefault="00B903DC" w:rsidP="000D337E">
      <w:pPr>
        <w:pStyle w:val="Heading1"/>
      </w:pPr>
      <w:bookmarkStart w:id="31" w:name="_Toc498421755"/>
      <w:r w:rsidRPr="00287592">
        <w:lastRenderedPageBreak/>
        <w:t>Household Composition</w:t>
      </w:r>
      <w:bookmarkEnd w:id="31"/>
    </w:p>
    <w:p w:rsidR="00585E3D" w:rsidRDefault="00585E3D" w:rsidP="00B903DC">
      <w:r>
        <w:t xml:space="preserve">There are marked differences between telecommunications expenditure depending on the composition of the household. Households with more people spend significantly more on telecommunications, but it is not simply a function of household size. </w:t>
      </w:r>
      <w:r w:rsidR="001757D2">
        <w:t xml:space="preserve">Children are a crucial factor. </w:t>
      </w:r>
      <w:r>
        <w:t xml:space="preserve">One </w:t>
      </w:r>
      <w:r w:rsidR="00A725EC">
        <w:t xml:space="preserve">adult households </w:t>
      </w:r>
      <w:r>
        <w:t xml:space="preserve">with children spend more than couple only households (despite less income), </w:t>
      </w:r>
      <w:r w:rsidR="001757D2">
        <w:t>while</w:t>
      </w:r>
      <w:r>
        <w:t xml:space="preserve"> lone person households spend less than </w:t>
      </w:r>
      <w:r w:rsidR="001757D2">
        <w:t xml:space="preserve">all </w:t>
      </w:r>
      <w:r>
        <w:t xml:space="preserve">other households, but </w:t>
      </w:r>
      <w:r w:rsidR="000A4115">
        <w:t>telecommunications expenditure</w:t>
      </w:r>
      <w:r>
        <w:t xml:space="preserve"> constitutes a greater proportion of their income – presumably because they can’t </w:t>
      </w:r>
      <w:r w:rsidR="000A4875">
        <w:t>achieve</w:t>
      </w:r>
      <w:r>
        <w:t xml:space="preserve"> the economies of scale of multi-person households.</w:t>
      </w:r>
    </w:p>
    <w:p w:rsidR="001A41B3" w:rsidRDefault="001A41B3" w:rsidP="001A41B3">
      <w:pPr>
        <w:pStyle w:val="Caption"/>
      </w:pPr>
      <w:bookmarkStart w:id="32" w:name="_Toc498421784"/>
      <w:r>
        <w:t xml:space="preserve">Table </w:t>
      </w:r>
      <w:fldSimple w:instr=" SEQ Table \* ARABIC ">
        <w:r w:rsidR="00AF12ED">
          <w:rPr>
            <w:noProof/>
          </w:rPr>
          <w:t>5</w:t>
        </w:r>
      </w:fldSimple>
      <w:r>
        <w:t xml:space="preserve">: </w:t>
      </w:r>
      <w:r w:rsidR="00B87A70">
        <w:t xml:space="preserve">Weekly </w:t>
      </w:r>
      <w:r>
        <w:t>Telecommunication</w:t>
      </w:r>
      <w:r w:rsidR="00B87A70">
        <w:t>s</w:t>
      </w:r>
      <w:r>
        <w:t xml:space="preserve"> Expenditure by Household Composition</w:t>
      </w:r>
      <w:bookmarkEnd w:id="32"/>
    </w:p>
    <w:tbl>
      <w:tblPr>
        <w:tblStyle w:val="TableGrid"/>
        <w:tblW w:w="0" w:type="auto"/>
        <w:jc w:val="center"/>
        <w:tblLook w:val="04A0" w:firstRow="1" w:lastRow="0" w:firstColumn="1" w:lastColumn="0" w:noHBand="0" w:noVBand="1"/>
        <w:tblDescription w:val="children are a more significant factor in household expenditure than number of members"/>
      </w:tblPr>
      <w:tblGrid>
        <w:gridCol w:w="3328"/>
        <w:gridCol w:w="1134"/>
        <w:gridCol w:w="1134"/>
        <w:gridCol w:w="1169"/>
        <w:gridCol w:w="1169"/>
        <w:gridCol w:w="1169"/>
      </w:tblGrid>
      <w:tr w:rsidR="00585E3D" w:rsidRPr="00346D94" w:rsidTr="00FE2A5D">
        <w:trPr>
          <w:tblHeader/>
          <w:jc w:val="center"/>
        </w:trPr>
        <w:tc>
          <w:tcPr>
            <w:tcW w:w="3328" w:type="dxa"/>
          </w:tcPr>
          <w:p w:rsidR="00585E3D" w:rsidRPr="00346D94" w:rsidRDefault="00585E3D" w:rsidP="001A2EFF">
            <w:pPr>
              <w:spacing w:line="240" w:lineRule="auto"/>
              <w:jc w:val="center"/>
              <w:rPr>
                <w:rFonts w:asciiTheme="minorHAnsi" w:hAnsiTheme="minorHAnsi" w:cstheme="minorHAnsi"/>
                <w:b/>
                <w:sz w:val="22"/>
              </w:rPr>
            </w:pPr>
          </w:p>
        </w:tc>
        <w:tc>
          <w:tcPr>
            <w:tcW w:w="1134" w:type="dxa"/>
          </w:tcPr>
          <w:p w:rsidR="00585E3D" w:rsidRPr="00346D94" w:rsidRDefault="00585E3D" w:rsidP="00461F1D">
            <w:pPr>
              <w:spacing w:line="240" w:lineRule="auto"/>
              <w:jc w:val="center"/>
              <w:rPr>
                <w:rFonts w:asciiTheme="minorHAnsi" w:hAnsiTheme="minorHAnsi" w:cstheme="minorHAnsi"/>
                <w:b/>
                <w:sz w:val="22"/>
              </w:rPr>
            </w:pPr>
            <w:r>
              <w:rPr>
                <w:rFonts w:asciiTheme="minorHAnsi" w:hAnsiTheme="minorHAnsi" w:cstheme="minorHAnsi"/>
                <w:b/>
                <w:sz w:val="22"/>
              </w:rPr>
              <w:t>Couple with Childre</w:t>
            </w:r>
            <w:r w:rsidR="00B87A70">
              <w:rPr>
                <w:rFonts w:asciiTheme="minorHAnsi" w:hAnsiTheme="minorHAnsi" w:cstheme="minorHAnsi"/>
                <w:b/>
                <w:sz w:val="22"/>
              </w:rPr>
              <w:t>n</w:t>
            </w:r>
          </w:p>
        </w:tc>
        <w:tc>
          <w:tcPr>
            <w:tcW w:w="1134" w:type="dxa"/>
          </w:tcPr>
          <w:p w:rsidR="00585E3D" w:rsidRDefault="00585E3D" w:rsidP="00B87A70">
            <w:pPr>
              <w:spacing w:line="240" w:lineRule="auto"/>
              <w:jc w:val="center"/>
              <w:rPr>
                <w:rFonts w:asciiTheme="minorHAnsi" w:hAnsiTheme="minorHAnsi" w:cstheme="minorHAnsi"/>
                <w:b/>
                <w:sz w:val="22"/>
              </w:rPr>
            </w:pPr>
            <w:r>
              <w:rPr>
                <w:rFonts w:asciiTheme="minorHAnsi" w:hAnsiTheme="minorHAnsi" w:cstheme="minorHAnsi"/>
                <w:b/>
                <w:sz w:val="22"/>
              </w:rPr>
              <w:t>One Parent with Children</w:t>
            </w:r>
          </w:p>
        </w:tc>
        <w:tc>
          <w:tcPr>
            <w:tcW w:w="1169" w:type="dxa"/>
          </w:tcPr>
          <w:p w:rsidR="00585E3D" w:rsidRPr="00EB4B17" w:rsidRDefault="00585E3D" w:rsidP="00461F1D">
            <w:pPr>
              <w:spacing w:line="240" w:lineRule="auto"/>
              <w:jc w:val="center"/>
              <w:rPr>
                <w:rFonts w:asciiTheme="minorHAnsi" w:hAnsiTheme="minorHAnsi" w:cstheme="minorHAnsi"/>
                <w:b/>
                <w:sz w:val="22"/>
              </w:rPr>
            </w:pPr>
            <w:r>
              <w:rPr>
                <w:rFonts w:asciiTheme="minorHAnsi" w:hAnsiTheme="minorHAnsi" w:cstheme="minorHAnsi"/>
                <w:b/>
                <w:sz w:val="22"/>
              </w:rPr>
              <w:t>Other One Family H/holds*</w:t>
            </w:r>
          </w:p>
        </w:tc>
        <w:tc>
          <w:tcPr>
            <w:tcW w:w="1169" w:type="dxa"/>
          </w:tcPr>
          <w:p w:rsidR="00585E3D" w:rsidRPr="00346D94" w:rsidRDefault="00585E3D" w:rsidP="00461F1D">
            <w:pPr>
              <w:spacing w:line="240" w:lineRule="auto"/>
              <w:jc w:val="center"/>
              <w:rPr>
                <w:rFonts w:asciiTheme="minorHAnsi" w:hAnsiTheme="minorHAnsi" w:cstheme="minorHAnsi"/>
                <w:b/>
                <w:sz w:val="22"/>
              </w:rPr>
            </w:pPr>
            <w:r>
              <w:rPr>
                <w:rFonts w:asciiTheme="minorHAnsi" w:hAnsiTheme="minorHAnsi" w:cstheme="minorHAnsi"/>
                <w:b/>
                <w:sz w:val="22"/>
              </w:rPr>
              <w:t>Couple Only H/holds</w:t>
            </w:r>
          </w:p>
        </w:tc>
        <w:tc>
          <w:tcPr>
            <w:tcW w:w="1169" w:type="dxa"/>
          </w:tcPr>
          <w:p w:rsidR="00585E3D" w:rsidRPr="00EB4B17" w:rsidRDefault="00585E3D" w:rsidP="00FE2A5D">
            <w:pPr>
              <w:spacing w:line="240" w:lineRule="auto"/>
              <w:jc w:val="center"/>
              <w:rPr>
                <w:rFonts w:asciiTheme="minorHAnsi" w:hAnsiTheme="minorHAnsi" w:cstheme="minorHAnsi"/>
                <w:b/>
                <w:sz w:val="22"/>
              </w:rPr>
            </w:pPr>
            <w:r>
              <w:rPr>
                <w:rFonts w:asciiTheme="minorHAnsi" w:hAnsiTheme="minorHAnsi" w:cstheme="minorHAnsi"/>
                <w:b/>
                <w:sz w:val="22"/>
              </w:rPr>
              <w:t>Lone Person</w:t>
            </w:r>
          </w:p>
        </w:tc>
      </w:tr>
      <w:tr w:rsidR="00585E3D" w:rsidRPr="00346D94" w:rsidTr="00FE2A5D">
        <w:trPr>
          <w:tblHeader/>
          <w:jc w:val="center"/>
        </w:trPr>
        <w:tc>
          <w:tcPr>
            <w:tcW w:w="3328" w:type="dxa"/>
          </w:tcPr>
          <w:p w:rsidR="00585E3D" w:rsidRPr="00346D94" w:rsidRDefault="00585E3D" w:rsidP="00585E3D">
            <w:pPr>
              <w:rPr>
                <w:rFonts w:asciiTheme="minorHAnsi" w:hAnsiTheme="minorHAnsi" w:cstheme="minorHAnsi"/>
                <w:sz w:val="22"/>
              </w:rPr>
            </w:pPr>
            <w:r w:rsidRPr="00346D94">
              <w:rPr>
                <w:rFonts w:asciiTheme="minorHAnsi" w:hAnsiTheme="minorHAnsi" w:cstheme="minorHAnsi"/>
                <w:sz w:val="22"/>
              </w:rPr>
              <w:t>Equipment</w:t>
            </w:r>
          </w:p>
        </w:tc>
        <w:tc>
          <w:tcPr>
            <w:tcW w:w="1134" w:type="dxa"/>
            <w:shd w:val="clear" w:color="auto" w:fill="auto"/>
            <w:vAlign w:val="center"/>
          </w:tcPr>
          <w:p w:rsidR="00585E3D" w:rsidRPr="00346D94" w:rsidRDefault="00585E3D" w:rsidP="00B87A70">
            <w:pPr>
              <w:spacing w:line="240" w:lineRule="auto"/>
              <w:jc w:val="right"/>
              <w:rPr>
                <w:rFonts w:asciiTheme="minorHAnsi" w:eastAsia="Times New Roman" w:hAnsiTheme="minorHAnsi" w:cstheme="minorHAnsi"/>
                <w:bCs/>
                <w:color w:val="000000"/>
                <w:sz w:val="22"/>
              </w:rPr>
            </w:pPr>
            <w:r>
              <w:rPr>
                <w:rFonts w:asciiTheme="minorHAnsi" w:eastAsia="Times New Roman" w:hAnsiTheme="minorHAnsi" w:cstheme="minorHAnsi"/>
                <w:bCs/>
                <w:color w:val="000000"/>
                <w:sz w:val="22"/>
              </w:rPr>
              <w:t>14.20</w:t>
            </w:r>
          </w:p>
        </w:tc>
        <w:tc>
          <w:tcPr>
            <w:tcW w:w="1134" w:type="dxa"/>
            <w:vAlign w:val="center"/>
          </w:tcPr>
          <w:p w:rsidR="00585E3D" w:rsidRPr="00346D94" w:rsidRDefault="00585E3D" w:rsidP="002F2638">
            <w:pPr>
              <w:spacing w:line="240" w:lineRule="auto"/>
              <w:jc w:val="right"/>
              <w:rPr>
                <w:rFonts w:asciiTheme="minorHAnsi" w:hAnsiTheme="minorHAnsi" w:cstheme="minorHAnsi"/>
                <w:bCs/>
                <w:color w:val="000000"/>
                <w:sz w:val="22"/>
              </w:rPr>
            </w:pPr>
            <w:r>
              <w:rPr>
                <w:rFonts w:asciiTheme="minorHAnsi" w:hAnsiTheme="minorHAnsi" w:cstheme="minorHAnsi"/>
                <w:bCs/>
                <w:color w:val="000000"/>
                <w:sz w:val="22"/>
              </w:rPr>
              <w:t>12.88</w:t>
            </w:r>
          </w:p>
        </w:tc>
        <w:tc>
          <w:tcPr>
            <w:tcW w:w="1169" w:type="dxa"/>
            <w:vAlign w:val="center"/>
          </w:tcPr>
          <w:p w:rsidR="00585E3D" w:rsidRPr="00EB4B17" w:rsidRDefault="00585E3D" w:rsidP="002F2638">
            <w:pPr>
              <w:spacing w:line="240" w:lineRule="auto"/>
              <w:jc w:val="right"/>
              <w:rPr>
                <w:rFonts w:asciiTheme="minorHAnsi" w:hAnsiTheme="minorHAnsi" w:cstheme="minorHAnsi"/>
                <w:bCs/>
                <w:color w:val="000000"/>
                <w:sz w:val="22"/>
              </w:rPr>
            </w:pPr>
            <w:r>
              <w:rPr>
                <w:rFonts w:asciiTheme="minorHAnsi" w:hAnsiTheme="minorHAnsi" w:cstheme="minorHAnsi"/>
                <w:bCs/>
                <w:color w:val="000000"/>
                <w:sz w:val="22"/>
              </w:rPr>
              <w:t>11.27</w:t>
            </w:r>
          </w:p>
        </w:tc>
        <w:tc>
          <w:tcPr>
            <w:tcW w:w="1169" w:type="dxa"/>
            <w:vAlign w:val="center"/>
          </w:tcPr>
          <w:p w:rsidR="00585E3D" w:rsidRPr="00346D94" w:rsidRDefault="00585E3D" w:rsidP="002F2638">
            <w:pPr>
              <w:spacing w:line="240" w:lineRule="auto"/>
              <w:jc w:val="right"/>
              <w:rPr>
                <w:rFonts w:asciiTheme="minorHAnsi" w:hAnsiTheme="minorHAnsi" w:cstheme="minorHAnsi"/>
                <w:bCs/>
                <w:color w:val="000000"/>
                <w:sz w:val="22"/>
              </w:rPr>
            </w:pPr>
            <w:r>
              <w:rPr>
                <w:rFonts w:asciiTheme="minorHAnsi" w:hAnsiTheme="minorHAnsi" w:cstheme="minorHAnsi"/>
                <w:bCs/>
                <w:color w:val="000000"/>
                <w:sz w:val="22"/>
              </w:rPr>
              <w:t>8.05</w:t>
            </w:r>
          </w:p>
        </w:tc>
        <w:tc>
          <w:tcPr>
            <w:tcW w:w="1169" w:type="dxa"/>
            <w:shd w:val="clear" w:color="auto" w:fill="auto"/>
            <w:vAlign w:val="center"/>
          </w:tcPr>
          <w:p w:rsidR="00585E3D" w:rsidRPr="00EB4B17" w:rsidRDefault="00585E3D" w:rsidP="002F2638">
            <w:pPr>
              <w:spacing w:line="240" w:lineRule="auto"/>
              <w:jc w:val="right"/>
              <w:rPr>
                <w:rFonts w:asciiTheme="minorHAnsi" w:hAnsiTheme="minorHAnsi" w:cstheme="minorHAnsi"/>
                <w:bCs/>
                <w:color w:val="000000"/>
                <w:sz w:val="22"/>
              </w:rPr>
            </w:pPr>
            <w:r>
              <w:rPr>
                <w:rFonts w:asciiTheme="minorHAnsi" w:hAnsiTheme="minorHAnsi" w:cstheme="minorHAnsi"/>
                <w:bCs/>
                <w:color w:val="000000"/>
                <w:sz w:val="22"/>
              </w:rPr>
              <w:t>6.51</w:t>
            </w:r>
          </w:p>
        </w:tc>
      </w:tr>
      <w:tr w:rsidR="00585E3D" w:rsidRPr="00346D94" w:rsidTr="00FE2A5D">
        <w:trPr>
          <w:tblHeader/>
          <w:jc w:val="center"/>
        </w:trPr>
        <w:tc>
          <w:tcPr>
            <w:tcW w:w="3328" w:type="dxa"/>
          </w:tcPr>
          <w:p w:rsidR="00585E3D" w:rsidRPr="00346D94" w:rsidRDefault="00585E3D" w:rsidP="00585E3D">
            <w:pPr>
              <w:rPr>
                <w:rFonts w:asciiTheme="minorHAnsi" w:hAnsiTheme="minorHAnsi" w:cstheme="minorHAnsi"/>
                <w:sz w:val="22"/>
              </w:rPr>
            </w:pPr>
            <w:r w:rsidRPr="00346D94">
              <w:rPr>
                <w:rFonts w:asciiTheme="minorHAnsi" w:hAnsiTheme="minorHAnsi" w:cstheme="minorHAnsi"/>
                <w:sz w:val="22"/>
              </w:rPr>
              <w:t>Current Charges</w:t>
            </w:r>
          </w:p>
        </w:tc>
        <w:tc>
          <w:tcPr>
            <w:tcW w:w="1134" w:type="dxa"/>
            <w:shd w:val="clear" w:color="auto" w:fill="auto"/>
            <w:vAlign w:val="center"/>
          </w:tcPr>
          <w:p w:rsidR="00585E3D" w:rsidRPr="00346D94" w:rsidRDefault="00585E3D" w:rsidP="00B87A70">
            <w:pPr>
              <w:spacing w:line="240" w:lineRule="auto"/>
              <w:jc w:val="right"/>
              <w:rPr>
                <w:rFonts w:asciiTheme="minorHAnsi" w:eastAsia="Times New Roman" w:hAnsiTheme="minorHAnsi" w:cstheme="minorHAnsi"/>
                <w:bCs/>
                <w:iCs/>
                <w:color w:val="000000"/>
                <w:sz w:val="22"/>
              </w:rPr>
            </w:pPr>
            <w:r>
              <w:rPr>
                <w:rFonts w:asciiTheme="minorHAnsi" w:eastAsia="Times New Roman" w:hAnsiTheme="minorHAnsi" w:cstheme="minorHAnsi"/>
                <w:bCs/>
                <w:iCs/>
                <w:color w:val="000000"/>
                <w:sz w:val="22"/>
              </w:rPr>
              <w:t>53.82</w:t>
            </w:r>
          </w:p>
        </w:tc>
        <w:tc>
          <w:tcPr>
            <w:tcW w:w="1134" w:type="dxa"/>
            <w:vAlign w:val="center"/>
          </w:tcPr>
          <w:p w:rsidR="00585E3D" w:rsidRPr="00346D94" w:rsidRDefault="00585E3D" w:rsidP="002F2638">
            <w:pPr>
              <w:spacing w:line="240" w:lineRule="auto"/>
              <w:jc w:val="right"/>
              <w:rPr>
                <w:rFonts w:asciiTheme="minorHAnsi" w:hAnsiTheme="minorHAnsi" w:cstheme="minorHAnsi"/>
                <w:bCs/>
                <w:iCs/>
                <w:color w:val="000000"/>
                <w:sz w:val="22"/>
              </w:rPr>
            </w:pPr>
            <w:r>
              <w:rPr>
                <w:rFonts w:asciiTheme="minorHAnsi" w:hAnsiTheme="minorHAnsi" w:cstheme="minorHAnsi"/>
                <w:bCs/>
                <w:iCs/>
                <w:color w:val="000000"/>
                <w:sz w:val="22"/>
              </w:rPr>
              <w:t>39.36</w:t>
            </w:r>
          </w:p>
        </w:tc>
        <w:tc>
          <w:tcPr>
            <w:tcW w:w="1169" w:type="dxa"/>
            <w:vAlign w:val="center"/>
          </w:tcPr>
          <w:p w:rsidR="00585E3D" w:rsidRPr="00EB4B17" w:rsidRDefault="00585E3D" w:rsidP="002F2638">
            <w:pPr>
              <w:spacing w:line="240" w:lineRule="auto"/>
              <w:jc w:val="right"/>
              <w:rPr>
                <w:rFonts w:asciiTheme="minorHAnsi" w:hAnsiTheme="minorHAnsi" w:cstheme="minorHAnsi"/>
                <w:bCs/>
                <w:iCs/>
                <w:color w:val="000000"/>
                <w:sz w:val="22"/>
              </w:rPr>
            </w:pPr>
            <w:r>
              <w:rPr>
                <w:rFonts w:asciiTheme="minorHAnsi" w:hAnsiTheme="minorHAnsi" w:cstheme="minorHAnsi"/>
                <w:bCs/>
                <w:iCs/>
                <w:color w:val="000000"/>
                <w:sz w:val="22"/>
              </w:rPr>
              <w:t>53.60</w:t>
            </w:r>
          </w:p>
        </w:tc>
        <w:tc>
          <w:tcPr>
            <w:tcW w:w="1169" w:type="dxa"/>
            <w:vAlign w:val="center"/>
          </w:tcPr>
          <w:p w:rsidR="00585E3D" w:rsidRPr="00346D94" w:rsidRDefault="00585E3D" w:rsidP="002F2638">
            <w:pPr>
              <w:spacing w:line="240" w:lineRule="auto"/>
              <w:jc w:val="right"/>
              <w:rPr>
                <w:rFonts w:asciiTheme="minorHAnsi" w:hAnsiTheme="minorHAnsi" w:cstheme="minorHAnsi"/>
                <w:bCs/>
                <w:iCs/>
                <w:color w:val="000000"/>
                <w:sz w:val="22"/>
              </w:rPr>
            </w:pPr>
            <w:r>
              <w:rPr>
                <w:rFonts w:asciiTheme="minorHAnsi" w:hAnsiTheme="minorHAnsi" w:cstheme="minorHAnsi"/>
                <w:bCs/>
                <w:iCs/>
                <w:color w:val="000000"/>
                <w:sz w:val="22"/>
              </w:rPr>
              <w:t>39.71</w:t>
            </w:r>
          </w:p>
        </w:tc>
        <w:tc>
          <w:tcPr>
            <w:tcW w:w="1169" w:type="dxa"/>
            <w:shd w:val="clear" w:color="auto" w:fill="auto"/>
            <w:vAlign w:val="center"/>
          </w:tcPr>
          <w:p w:rsidR="00585E3D" w:rsidRPr="00EB4B17" w:rsidRDefault="00585E3D" w:rsidP="002F2638">
            <w:pPr>
              <w:spacing w:line="240" w:lineRule="auto"/>
              <w:jc w:val="right"/>
              <w:rPr>
                <w:rFonts w:asciiTheme="minorHAnsi" w:hAnsiTheme="minorHAnsi" w:cstheme="minorHAnsi"/>
                <w:bCs/>
                <w:iCs/>
                <w:color w:val="000000"/>
                <w:sz w:val="22"/>
              </w:rPr>
            </w:pPr>
            <w:r>
              <w:rPr>
                <w:rFonts w:asciiTheme="minorHAnsi" w:hAnsiTheme="minorHAnsi" w:cstheme="minorHAnsi"/>
                <w:bCs/>
                <w:iCs/>
                <w:color w:val="000000"/>
                <w:sz w:val="22"/>
              </w:rPr>
              <w:t>23.48</w:t>
            </w:r>
          </w:p>
        </w:tc>
      </w:tr>
      <w:tr w:rsidR="00585E3D" w:rsidRPr="00346D94" w:rsidTr="00FE2A5D">
        <w:trPr>
          <w:tblHeader/>
          <w:jc w:val="center"/>
        </w:trPr>
        <w:tc>
          <w:tcPr>
            <w:tcW w:w="3328" w:type="dxa"/>
          </w:tcPr>
          <w:p w:rsidR="00585E3D" w:rsidRPr="00346D94" w:rsidRDefault="00585E3D" w:rsidP="00585E3D">
            <w:pPr>
              <w:rPr>
                <w:rFonts w:asciiTheme="minorHAnsi" w:hAnsiTheme="minorHAnsi" w:cstheme="minorHAnsi"/>
                <w:b/>
                <w:sz w:val="22"/>
              </w:rPr>
            </w:pPr>
            <w:r w:rsidRPr="00346D94">
              <w:rPr>
                <w:rFonts w:asciiTheme="minorHAnsi" w:hAnsiTheme="minorHAnsi" w:cstheme="minorHAnsi"/>
                <w:b/>
                <w:sz w:val="22"/>
              </w:rPr>
              <w:t>Telecommunications Expenditure</w:t>
            </w:r>
          </w:p>
        </w:tc>
        <w:tc>
          <w:tcPr>
            <w:tcW w:w="1134" w:type="dxa"/>
            <w:shd w:val="clear" w:color="auto" w:fill="auto"/>
            <w:vAlign w:val="center"/>
          </w:tcPr>
          <w:p w:rsidR="00585E3D" w:rsidRPr="00346D94" w:rsidRDefault="00585E3D" w:rsidP="00B87A70">
            <w:pPr>
              <w:spacing w:line="240" w:lineRule="auto"/>
              <w:jc w:val="right"/>
              <w:rPr>
                <w:rFonts w:asciiTheme="minorHAnsi" w:eastAsia="Times New Roman" w:hAnsiTheme="minorHAnsi" w:cstheme="minorHAnsi"/>
                <w:b/>
                <w:color w:val="000000"/>
                <w:sz w:val="22"/>
              </w:rPr>
            </w:pPr>
            <w:r>
              <w:rPr>
                <w:rFonts w:asciiTheme="minorHAnsi" w:eastAsia="Times New Roman" w:hAnsiTheme="minorHAnsi" w:cstheme="minorHAnsi"/>
                <w:b/>
                <w:color w:val="000000"/>
                <w:sz w:val="22"/>
              </w:rPr>
              <w:t>68.02</w:t>
            </w:r>
          </w:p>
        </w:tc>
        <w:tc>
          <w:tcPr>
            <w:tcW w:w="1134" w:type="dxa"/>
            <w:vAlign w:val="center"/>
          </w:tcPr>
          <w:p w:rsidR="00585E3D" w:rsidRPr="00346D94" w:rsidRDefault="00585E3D" w:rsidP="002F2638">
            <w:pPr>
              <w:spacing w:line="240" w:lineRule="auto"/>
              <w:jc w:val="right"/>
              <w:rPr>
                <w:rFonts w:asciiTheme="minorHAnsi" w:hAnsiTheme="minorHAnsi" w:cstheme="minorHAnsi"/>
                <w:b/>
                <w:color w:val="000000"/>
                <w:sz w:val="22"/>
              </w:rPr>
            </w:pPr>
            <w:r>
              <w:rPr>
                <w:rFonts w:asciiTheme="minorHAnsi" w:hAnsiTheme="minorHAnsi" w:cstheme="minorHAnsi"/>
                <w:b/>
                <w:color w:val="000000"/>
                <w:sz w:val="22"/>
              </w:rPr>
              <w:t>52.24</w:t>
            </w:r>
          </w:p>
        </w:tc>
        <w:tc>
          <w:tcPr>
            <w:tcW w:w="1169" w:type="dxa"/>
            <w:vAlign w:val="center"/>
          </w:tcPr>
          <w:p w:rsidR="00585E3D" w:rsidRPr="00EB4B17" w:rsidRDefault="00585E3D" w:rsidP="002F2638">
            <w:pPr>
              <w:spacing w:line="240" w:lineRule="auto"/>
              <w:jc w:val="right"/>
              <w:rPr>
                <w:rFonts w:asciiTheme="minorHAnsi" w:hAnsiTheme="minorHAnsi" w:cstheme="minorHAnsi"/>
                <w:b/>
                <w:color w:val="000000"/>
                <w:sz w:val="22"/>
              </w:rPr>
            </w:pPr>
            <w:r>
              <w:rPr>
                <w:rFonts w:asciiTheme="minorHAnsi" w:hAnsiTheme="minorHAnsi" w:cstheme="minorHAnsi"/>
                <w:b/>
                <w:color w:val="000000"/>
                <w:sz w:val="22"/>
              </w:rPr>
              <w:t>64.87</w:t>
            </w:r>
          </w:p>
        </w:tc>
        <w:tc>
          <w:tcPr>
            <w:tcW w:w="1169" w:type="dxa"/>
            <w:vAlign w:val="center"/>
          </w:tcPr>
          <w:p w:rsidR="00585E3D" w:rsidRPr="00346D94" w:rsidRDefault="00585E3D" w:rsidP="002F2638">
            <w:pPr>
              <w:spacing w:line="240" w:lineRule="auto"/>
              <w:jc w:val="right"/>
              <w:rPr>
                <w:rFonts w:asciiTheme="minorHAnsi" w:hAnsiTheme="minorHAnsi" w:cstheme="minorHAnsi"/>
                <w:b/>
                <w:color w:val="000000"/>
                <w:sz w:val="22"/>
              </w:rPr>
            </w:pPr>
            <w:r>
              <w:rPr>
                <w:rFonts w:asciiTheme="minorHAnsi" w:hAnsiTheme="minorHAnsi" w:cstheme="minorHAnsi"/>
                <w:b/>
                <w:color w:val="000000"/>
                <w:sz w:val="22"/>
              </w:rPr>
              <w:t>47.76</w:t>
            </w:r>
          </w:p>
        </w:tc>
        <w:tc>
          <w:tcPr>
            <w:tcW w:w="1169" w:type="dxa"/>
            <w:shd w:val="clear" w:color="auto" w:fill="auto"/>
            <w:vAlign w:val="center"/>
          </w:tcPr>
          <w:p w:rsidR="00585E3D" w:rsidRPr="00EB4B17" w:rsidRDefault="00585E3D" w:rsidP="002F2638">
            <w:pPr>
              <w:spacing w:line="240" w:lineRule="auto"/>
              <w:jc w:val="right"/>
              <w:rPr>
                <w:rFonts w:asciiTheme="minorHAnsi" w:hAnsiTheme="minorHAnsi" w:cstheme="minorHAnsi"/>
                <w:b/>
                <w:color w:val="000000"/>
                <w:sz w:val="22"/>
              </w:rPr>
            </w:pPr>
            <w:r>
              <w:rPr>
                <w:rFonts w:asciiTheme="minorHAnsi" w:hAnsiTheme="minorHAnsi" w:cstheme="minorHAnsi"/>
                <w:b/>
                <w:color w:val="000000"/>
                <w:sz w:val="22"/>
              </w:rPr>
              <w:t>29.99</w:t>
            </w:r>
          </w:p>
        </w:tc>
      </w:tr>
      <w:tr w:rsidR="00585E3D" w:rsidRPr="00346D94" w:rsidTr="00FE2A5D">
        <w:trPr>
          <w:tblHeader/>
          <w:jc w:val="center"/>
        </w:trPr>
        <w:tc>
          <w:tcPr>
            <w:tcW w:w="3328" w:type="dxa"/>
          </w:tcPr>
          <w:p w:rsidR="00585E3D" w:rsidRPr="00346D94" w:rsidRDefault="00585E3D" w:rsidP="00585E3D">
            <w:pPr>
              <w:rPr>
                <w:rFonts w:asciiTheme="minorHAnsi" w:hAnsiTheme="minorHAnsi" w:cstheme="minorHAnsi"/>
                <w:i/>
                <w:sz w:val="22"/>
              </w:rPr>
            </w:pPr>
            <w:r>
              <w:rPr>
                <w:rFonts w:asciiTheme="minorHAnsi" w:hAnsiTheme="minorHAnsi" w:cstheme="minorHAnsi"/>
                <w:i/>
                <w:sz w:val="22"/>
              </w:rPr>
              <w:t>% of Household Disposable Income</w:t>
            </w:r>
          </w:p>
        </w:tc>
        <w:tc>
          <w:tcPr>
            <w:tcW w:w="1134" w:type="dxa"/>
            <w:shd w:val="clear" w:color="auto" w:fill="auto"/>
            <w:vAlign w:val="center"/>
          </w:tcPr>
          <w:p w:rsidR="00585E3D" w:rsidRPr="00346D94" w:rsidRDefault="00585E3D" w:rsidP="00B87A70">
            <w:pPr>
              <w:spacing w:line="240" w:lineRule="auto"/>
              <w:jc w:val="right"/>
              <w:rPr>
                <w:rFonts w:asciiTheme="minorHAnsi" w:eastAsia="Times New Roman" w:hAnsiTheme="minorHAnsi" w:cstheme="minorHAnsi"/>
                <w:bCs/>
                <w:i/>
                <w:iCs/>
                <w:color w:val="000000"/>
                <w:sz w:val="22"/>
              </w:rPr>
            </w:pPr>
            <w:r>
              <w:rPr>
                <w:rFonts w:asciiTheme="minorHAnsi" w:eastAsia="Times New Roman" w:hAnsiTheme="minorHAnsi" w:cstheme="minorHAnsi"/>
                <w:bCs/>
                <w:i/>
                <w:iCs/>
                <w:color w:val="000000"/>
                <w:sz w:val="22"/>
              </w:rPr>
              <w:t>2.9%</w:t>
            </w:r>
          </w:p>
        </w:tc>
        <w:tc>
          <w:tcPr>
            <w:tcW w:w="1134" w:type="dxa"/>
            <w:vAlign w:val="center"/>
          </w:tcPr>
          <w:p w:rsidR="00585E3D" w:rsidRPr="00346D94" w:rsidRDefault="00585E3D" w:rsidP="002F2638">
            <w:pPr>
              <w:spacing w:line="240" w:lineRule="auto"/>
              <w:jc w:val="right"/>
              <w:rPr>
                <w:rFonts w:asciiTheme="minorHAnsi" w:hAnsiTheme="minorHAnsi" w:cstheme="minorHAnsi"/>
                <w:bCs/>
                <w:i/>
                <w:iCs/>
                <w:color w:val="000000"/>
                <w:sz w:val="22"/>
              </w:rPr>
            </w:pPr>
            <w:r>
              <w:rPr>
                <w:rFonts w:asciiTheme="minorHAnsi" w:hAnsiTheme="minorHAnsi" w:cstheme="minorHAnsi"/>
                <w:bCs/>
                <w:i/>
                <w:iCs/>
                <w:color w:val="000000"/>
                <w:sz w:val="22"/>
              </w:rPr>
              <w:t>4.2%</w:t>
            </w:r>
          </w:p>
        </w:tc>
        <w:tc>
          <w:tcPr>
            <w:tcW w:w="1169" w:type="dxa"/>
            <w:vAlign w:val="center"/>
          </w:tcPr>
          <w:p w:rsidR="00585E3D" w:rsidRPr="00EB4B17" w:rsidRDefault="00585E3D" w:rsidP="002F2638">
            <w:pPr>
              <w:spacing w:line="240" w:lineRule="auto"/>
              <w:jc w:val="right"/>
              <w:rPr>
                <w:rFonts w:asciiTheme="minorHAnsi" w:hAnsiTheme="minorHAnsi" w:cstheme="minorHAnsi"/>
                <w:bCs/>
                <w:iCs/>
                <w:color w:val="000000"/>
                <w:sz w:val="22"/>
              </w:rPr>
            </w:pPr>
            <w:r>
              <w:rPr>
                <w:rFonts w:asciiTheme="minorHAnsi" w:hAnsiTheme="minorHAnsi" w:cstheme="minorHAnsi"/>
                <w:bCs/>
                <w:iCs/>
                <w:color w:val="000000"/>
                <w:sz w:val="22"/>
              </w:rPr>
              <w:t>3.0%</w:t>
            </w:r>
          </w:p>
        </w:tc>
        <w:tc>
          <w:tcPr>
            <w:tcW w:w="1169" w:type="dxa"/>
            <w:vAlign w:val="center"/>
          </w:tcPr>
          <w:p w:rsidR="00585E3D" w:rsidRPr="00346D94" w:rsidRDefault="00585E3D" w:rsidP="002F2638">
            <w:pPr>
              <w:spacing w:line="240" w:lineRule="auto"/>
              <w:jc w:val="right"/>
              <w:rPr>
                <w:rFonts w:asciiTheme="minorHAnsi" w:hAnsiTheme="minorHAnsi" w:cstheme="minorHAnsi"/>
                <w:bCs/>
                <w:i/>
                <w:iCs/>
                <w:color w:val="000000"/>
                <w:sz w:val="22"/>
              </w:rPr>
            </w:pPr>
            <w:r>
              <w:rPr>
                <w:rFonts w:asciiTheme="minorHAnsi" w:hAnsiTheme="minorHAnsi" w:cstheme="minorHAnsi"/>
                <w:bCs/>
                <w:i/>
                <w:iCs/>
                <w:color w:val="000000"/>
                <w:sz w:val="22"/>
              </w:rPr>
              <w:t>2.9%</w:t>
            </w:r>
          </w:p>
        </w:tc>
        <w:tc>
          <w:tcPr>
            <w:tcW w:w="1169" w:type="dxa"/>
            <w:shd w:val="clear" w:color="auto" w:fill="auto"/>
            <w:vAlign w:val="center"/>
          </w:tcPr>
          <w:p w:rsidR="00585E3D" w:rsidRPr="00EB4B17" w:rsidRDefault="00585E3D" w:rsidP="002F2638">
            <w:pPr>
              <w:spacing w:line="240" w:lineRule="auto"/>
              <w:jc w:val="right"/>
              <w:rPr>
                <w:rFonts w:asciiTheme="minorHAnsi" w:hAnsiTheme="minorHAnsi" w:cstheme="minorHAnsi"/>
                <w:bCs/>
                <w:iCs/>
                <w:color w:val="000000"/>
                <w:sz w:val="22"/>
              </w:rPr>
            </w:pPr>
            <w:r>
              <w:rPr>
                <w:rFonts w:asciiTheme="minorHAnsi" w:hAnsiTheme="minorHAnsi" w:cstheme="minorHAnsi"/>
                <w:bCs/>
                <w:iCs/>
                <w:color w:val="000000"/>
                <w:sz w:val="22"/>
              </w:rPr>
              <w:t>3.7%</w:t>
            </w:r>
          </w:p>
        </w:tc>
      </w:tr>
    </w:tbl>
    <w:p w:rsidR="00EB4B17" w:rsidRPr="00585E3D" w:rsidRDefault="00585E3D" w:rsidP="00681A67">
      <w:pPr>
        <w:spacing w:before="120" w:line="240" w:lineRule="auto"/>
        <w:ind w:left="720" w:hanging="720"/>
        <w:rPr>
          <w:sz w:val="20"/>
        </w:rPr>
      </w:pPr>
      <w:r>
        <w:t>*</w:t>
      </w:r>
      <w:r>
        <w:rPr>
          <w:sz w:val="20"/>
        </w:rPr>
        <w:t xml:space="preserve"> Mostly families with non-dependent children – hence high expenditure and income.</w:t>
      </w:r>
    </w:p>
    <w:p w:rsidR="00B77D25" w:rsidRDefault="001757D2" w:rsidP="001757D2">
      <w:pPr>
        <w:spacing w:line="240" w:lineRule="auto"/>
      </w:pPr>
      <w:r>
        <w:t>The a</w:t>
      </w:r>
      <w:r w:rsidR="00B77D25">
        <w:t>ge of people in the household is a</w:t>
      </w:r>
      <w:r w:rsidR="00BB4FD5">
        <w:t>lso a</w:t>
      </w:r>
      <w:r w:rsidR="00B77D25">
        <w:t xml:space="preserve"> crucial factor. Both couple and lone person households spend less on telecommunications as they get older, while families with children spend more as </w:t>
      </w:r>
      <w:r>
        <w:t xml:space="preserve">the </w:t>
      </w:r>
      <w:r w:rsidR="00B77D25">
        <w:t>children get older.</w:t>
      </w:r>
    </w:p>
    <w:p w:rsidR="00B87A70" w:rsidRDefault="00B87A70" w:rsidP="001757D2">
      <w:pPr>
        <w:spacing w:line="240" w:lineRule="auto"/>
      </w:pPr>
    </w:p>
    <w:p w:rsidR="00B77D25" w:rsidRDefault="00B77D25" w:rsidP="00AE1139">
      <w:pPr>
        <w:pStyle w:val="Caption"/>
        <w:keepNext/>
        <w:keepLines/>
      </w:pPr>
      <w:bookmarkStart w:id="33" w:name="_Toc498421776"/>
      <w:r>
        <w:t xml:space="preserve">Figure </w:t>
      </w:r>
      <w:fldSimple w:instr=" SEQ Figure \* ARABIC ">
        <w:r w:rsidR="00AF12ED">
          <w:rPr>
            <w:noProof/>
          </w:rPr>
          <w:t>6</w:t>
        </w:r>
      </w:fldSimple>
      <w:r>
        <w:t>: Age and Telecommunications Expenditure</w:t>
      </w:r>
      <w:bookmarkEnd w:id="3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wo bar graphs showing costs increase with age of children, but decrease with age for couples and lone persons"/>
      </w:tblPr>
      <w:tblGrid>
        <w:gridCol w:w="4607"/>
        <w:gridCol w:w="4635"/>
      </w:tblGrid>
      <w:tr w:rsidR="001757D2" w:rsidTr="00BE2AD7">
        <w:trPr>
          <w:tblHeader/>
        </w:trPr>
        <w:tc>
          <w:tcPr>
            <w:tcW w:w="5226" w:type="dxa"/>
          </w:tcPr>
          <w:p w:rsidR="00B77D25" w:rsidRDefault="00B77D25" w:rsidP="00B77D25">
            <w:r>
              <w:rPr>
                <w:noProof/>
              </w:rPr>
              <w:drawing>
                <wp:inline distT="0" distB="0" distL="0" distR="0" wp14:anchorId="2224369B" wp14:editId="624FA76E">
                  <wp:extent cx="2880360" cy="2438400"/>
                  <wp:effectExtent l="0" t="0" r="15240" b="19050"/>
                  <wp:docPr id="8" name="Chart 8" descr="for couples and lone persons, amount spent per week on telecommunications decreases with ag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D80E8C0-1944-42E3-BD08-F363E6F825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016" w:type="dxa"/>
          </w:tcPr>
          <w:p w:rsidR="00B77D25" w:rsidRDefault="00B77D25" w:rsidP="00B77D25">
            <w:r>
              <w:rPr>
                <w:noProof/>
              </w:rPr>
              <w:drawing>
                <wp:inline distT="0" distB="0" distL="0" distR="0" wp14:anchorId="24D71FF9" wp14:editId="6BF25458">
                  <wp:extent cx="2895600" cy="2461260"/>
                  <wp:effectExtent l="0" t="0" r="19050" b="15240"/>
                  <wp:docPr id="10" name="Chart 10" descr="for couples with children, amount spent per week on telecommunications increases with age of the children">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9AF7879-743E-426D-AE8B-3251F97B02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B903DC" w:rsidRDefault="00B903DC" w:rsidP="00287592">
      <w:pPr>
        <w:pStyle w:val="Heading1"/>
      </w:pPr>
      <w:bookmarkStart w:id="34" w:name="_Toc498421756"/>
      <w:r>
        <w:lastRenderedPageBreak/>
        <w:t>Housing Tenure</w:t>
      </w:r>
      <w:bookmarkEnd w:id="34"/>
    </w:p>
    <w:p w:rsidR="00B903DC" w:rsidRDefault="000F34A1" w:rsidP="00B903DC">
      <w:r>
        <w:t xml:space="preserve">Differences in telecommunications expenditure by housing tenure follow </w:t>
      </w:r>
      <w:r w:rsidR="007B38D2">
        <w:t xml:space="preserve">many of </w:t>
      </w:r>
      <w:r>
        <w:t xml:space="preserve">the </w:t>
      </w:r>
      <w:r w:rsidR="00DA07FD">
        <w:t xml:space="preserve">age, income and household composition </w:t>
      </w:r>
      <w:r>
        <w:t xml:space="preserve">differences </w:t>
      </w:r>
      <w:r w:rsidR="00DA07FD">
        <w:t>noted above. R</w:t>
      </w:r>
      <w:r>
        <w:t>enters on average have lower incomes so spend less (absolutely) on telecommunications than home-owners (but slightly more as a prop</w:t>
      </w:r>
      <w:r w:rsidR="00944B12">
        <w:t xml:space="preserve">ortion of their income). Renters </w:t>
      </w:r>
      <w:r>
        <w:t>in state housing have the lowest telecommunications expenditure but the highest proportion of income going on telecommunications.</w:t>
      </w:r>
      <w:r w:rsidR="00DA07FD">
        <w:t xml:space="preserve"> Owners without a mortgage tend to be older and </w:t>
      </w:r>
      <w:r w:rsidR="00E22F3F">
        <w:t xml:space="preserve">in </w:t>
      </w:r>
      <w:r w:rsidR="00DA07FD">
        <w:t>smaller households, hence having less telecommunications expenditure.</w:t>
      </w:r>
    </w:p>
    <w:p w:rsidR="000F34A1" w:rsidRDefault="000F34A1" w:rsidP="000F34A1">
      <w:pPr>
        <w:pStyle w:val="Caption"/>
      </w:pPr>
      <w:bookmarkStart w:id="35" w:name="_Toc498421785"/>
      <w:r>
        <w:t xml:space="preserve">Table </w:t>
      </w:r>
      <w:fldSimple w:instr=" SEQ Table \* ARABIC ">
        <w:r w:rsidR="00AF12ED">
          <w:rPr>
            <w:noProof/>
          </w:rPr>
          <w:t>6</w:t>
        </w:r>
      </w:fldSimple>
      <w:r>
        <w:t xml:space="preserve">: </w:t>
      </w:r>
      <w:r w:rsidR="00807FB0">
        <w:t xml:space="preserve">Weekly </w:t>
      </w:r>
      <w:r>
        <w:t>Telecommunications Expenditure by Housing Tenure</w:t>
      </w:r>
      <w:bookmarkEnd w:id="35"/>
    </w:p>
    <w:tbl>
      <w:tblPr>
        <w:tblStyle w:val="TableGrid"/>
        <w:tblW w:w="0" w:type="auto"/>
        <w:jc w:val="center"/>
        <w:tblLook w:val="04A0" w:firstRow="1" w:lastRow="0" w:firstColumn="1" w:lastColumn="0" w:noHBand="0" w:noVBand="1"/>
        <w:tblDescription w:val="those renting from housing authorities spend significantly less, but the highest proportion of their disposable income, on telecomms"/>
      </w:tblPr>
      <w:tblGrid>
        <w:gridCol w:w="3467"/>
        <w:gridCol w:w="1399"/>
        <w:gridCol w:w="1134"/>
        <w:gridCol w:w="1169"/>
        <w:gridCol w:w="1418"/>
      </w:tblGrid>
      <w:tr w:rsidR="000F34A1" w:rsidRPr="00346D94" w:rsidTr="00BE2AD7">
        <w:trPr>
          <w:tblHeader/>
          <w:jc w:val="center"/>
        </w:trPr>
        <w:tc>
          <w:tcPr>
            <w:tcW w:w="3467" w:type="dxa"/>
          </w:tcPr>
          <w:p w:rsidR="000F34A1" w:rsidRPr="00346D94" w:rsidRDefault="000F34A1" w:rsidP="00461F1D">
            <w:pPr>
              <w:spacing w:line="240" w:lineRule="auto"/>
              <w:jc w:val="center"/>
              <w:rPr>
                <w:rFonts w:asciiTheme="minorHAnsi" w:hAnsiTheme="minorHAnsi" w:cstheme="minorHAnsi"/>
                <w:b/>
                <w:sz w:val="22"/>
              </w:rPr>
            </w:pPr>
          </w:p>
        </w:tc>
        <w:tc>
          <w:tcPr>
            <w:tcW w:w="1399" w:type="dxa"/>
          </w:tcPr>
          <w:p w:rsidR="000F34A1" w:rsidRPr="00346D94" w:rsidRDefault="001A2EFF" w:rsidP="00807FB0">
            <w:pPr>
              <w:spacing w:line="240" w:lineRule="auto"/>
              <w:jc w:val="center"/>
              <w:rPr>
                <w:rFonts w:asciiTheme="minorHAnsi" w:hAnsiTheme="minorHAnsi" w:cstheme="minorHAnsi"/>
                <w:b/>
                <w:sz w:val="22"/>
              </w:rPr>
            </w:pPr>
            <w:r>
              <w:rPr>
                <w:rFonts w:asciiTheme="minorHAnsi" w:hAnsiTheme="minorHAnsi" w:cstheme="minorHAnsi"/>
                <w:b/>
                <w:sz w:val="22"/>
              </w:rPr>
              <w:t>Owner without m</w:t>
            </w:r>
            <w:r w:rsidR="000F34A1">
              <w:rPr>
                <w:rFonts w:asciiTheme="minorHAnsi" w:hAnsiTheme="minorHAnsi" w:cstheme="minorHAnsi"/>
                <w:b/>
                <w:sz w:val="22"/>
              </w:rPr>
              <w:t>ortgage</w:t>
            </w:r>
          </w:p>
        </w:tc>
        <w:tc>
          <w:tcPr>
            <w:tcW w:w="1134" w:type="dxa"/>
          </w:tcPr>
          <w:p w:rsidR="000F34A1" w:rsidRDefault="000F34A1" w:rsidP="00807FB0">
            <w:pPr>
              <w:spacing w:line="240" w:lineRule="auto"/>
              <w:jc w:val="center"/>
              <w:rPr>
                <w:rFonts w:asciiTheme="minorHAnsi" w:hAnsiTheme="minorHAnsi" w:cstheme="minorHAnsi"/>
                <w:b/>
                <w:sz w:val="22"/>
              </w:rPr>
            </w:pPr>
            <w:r>
              <w:rPr>
                <w:rFonts w:asciiTheme="minorHAnsi" w:hAnsiTheme="minorHAnsi" w:cstheme="minorHAnsi"/>
                <w:b/>
                <w:sz w:val="22"/>
              </w:rPr>
              <w:t xml:space="preserve">Owner with </w:t>
            </w:r>
            <w:r w:rsidR="001A2EFF">
              <w:rPr>
                <w:rFonts w:asciiTheme="minorHAnsi" w:hAnsiTheme="minorHAnsi" w:cstheme="minorHAnsi"/>
                <w:b/>
                <w:sz w:val="22"/>
              </w:rPr>
              <w:t>m</w:t>
            </w:r>
            <w:r>
              <w:rPr>
                <w:rFonts w:asciiTheme="minorHAnsi" w:hAnsiTheme="minorHAnsi" w:cstheme="minorHAnsi"/>
                <w:b/>
                <w:sz w:val="22"/>
              </w:rPr>
              <w:t>ortgage</w:t>
            </w:r>
          </w:p>
        </w:tc>
        <w:tc>
          <w:tcPr>
            <w:tcW w:w="1169" w:type="dxa"/>
          </w:tcPr>
          <w:p w:rsidR="000F34A1" w:rsidRPr="00EB4B17" w:rsidRDefault="000F34A1" w:rsidP="00807FB0">
            <w:pPr>
              <w:spacing w:line="240" w:lineRule="auto"/>
              <w:jc w:val="center"/>
              <w:rPr>
                <w:rFonts w:asciiTheme="minorHAnsi" w:hAnsiTheme="minorHAnsi" w:cstheme="minorHAnsi"/>
                <w:b/>
                <w:sz w:val="22"/>
              </w:rPr>
            </w:pPr>
            <w:r>
              <w:rPr>
                <w:rFonts w:asciiTheme="minorHAnsi" w:hAnsiTheme="minorHAnsi" w:cstheme="minorHAnsi"/>
                <w:b/>
                <w:sz w:val="22"/>
              </w:rPr>
              <w:t>State Housing Authority Renter</w:t>
            </w:r>
          </w:p>
        </w:tc>
        <w:tc>
          <w:tcPr>
            <w:tcW w:w="1418" w:type="dxa"/>
          </w:tcPr>
          <w:p w:rsidR="000F34A1" w:rsidRPr="00346D94" w:rsidRDefault="000F34A1" w:rsidP="00807FB0">
            <w:pPr>
              <w:spacing w:line="240" w:lineRule="auto"/>
              <w:jc w:val="center"/>
              <w:rPr>
                <w:rFonts w:asciiTheme="minorHAnsi" w:hAnsiTheme="minorHAnsi" w:cstheme="minorHAnsi"/>
                <w:b/>
                <w:sz w:val="22"/>
              </w:rPr>
            </w:pPr>
            <w:r>
              <w:rPr>
                <w:rFonts w:asciiTheme="minorHAnsi" w:hAnsiTheme="minorHAnsi" w:cstheme="minorHAnsi"/>
                <w:b/>
                <w:sz w:val="22"/>
              </w:rPr>
              <w:t>Private Renter</w:t>
            </w:r>
          </w:p>
        </w:tc>
      </w:tr>
      <w:tr w:rsidR="000F34A1" w:rsidRPr="00346D94" w:rsidTr="00BE2AD7">
        <w:trPr>
          <w:tblHeader/>
          <w:jc w:val="center"/>
        </w:trPr>
        <w:tc>
          <w:tcPr>
            <w:tcW w:w="3467" w:type="dxa"/>
          </w:tcPr>
          <w:p w:rsidR="000F34A1" w:rsidRPr="00346D94" w:rsidRDefault="000F34A1" w:rsidP="007030EF">
            <w:pPr>
              <w:rPr>
                <w:rFonts w:asciiTheme="minorHAnsi" w:hAnsiTheme="minorHAnsi" w:cstheme="minorHAnsi"/>
                <w:sz w:val="22"/>
              </w:rPr>
            </w:pPr>
            <w:r w:rsidRPr="00346D94">
              <w:rPr>
                <w:rFonts w:asciiTheme="minorHAnsi" w:hAnsiTheme="minorHAnsi" w:cstheme="minorHAnsi"/>
                <w:sz w:val="22"/>
              </w:rPr>
              <w:t>Equipment</w:t>
            </w:r>
          </w:p>
        </w:tc>
        <w:tc>
          <w:tcPr>
            <w:tcW w:w="1399" w:type="dxa"/>
            <w:shd w:val="clear" w:color="auto" w:fill="auto"/>
            <w:vAlign w:val="center"/>
          </w:tcPr>
          <w:p w:rsidR="000F34A1" w:rsidRPr="00346D94" w:rsidRDefault="00DA07FD" w:rsidP="00807FB0">
            <w:pPr>
              <w:spacing w:line="240" w:lineRule="auto"/>
              <w:jc w:val="right"/>
              <w:rPr>
                <w:rFonts w:asciiTheme="minorHAnsi" w:eastAsia="Times New Roman" w:hAnsiTheme="minorHAnsi" w:cstheme="minorHAnsi"/>
                <w:bCs/>
                <w:color w:val="000000"/>
                <w:sz w:val="22"/>
              </w:rPr>
            </w:pPr>
            <w:r>
              <w:rPr>
                <w:rFonts w:asciiTheme="minorHAnsi" w:eastAsia="Times New Roman" w:hAnsiTheme="minorHAnsi" w:cstheme="minorHAnsi"/>
                <w:bCs/>
                <w:color w:val="000000"/>
                <w:sz w:val="22"/>
              </w:rPr>
              <w:t>7.40</w:t>
            </w:r>
          </w:p>
        </w:tc>
        <w:tc>
          <w:tcPr>
            <w:tcW w:w="1134" w:type="dxa"/>
            <w:vAlign w:val="center"/>
          </w:tcPr>
          <w:p w:rsidR="000F34A1" w:rsidRPr="00346D94" w:rsidRDefault="00DA07FD" w:rsidP="002F2638">
            <w:pPr>
              <w:spacing w:line="240" w:lineRule="auto"/>
              <w:jc w:val="right"/>
              <w:rPr>
                <w:rFonts w:asciiTheme="minorHAnsi" w:hAnsiTheme="minorHAnsi" w:cstheme="minorHAnsi"/>
                <w:bCs/>
                <w:color w:val="000000"/>
                <w:sz w:val="22"/>
              </w:rPr>
            </w:pPr>
            <w:r>
              <w:rPr>
                <w:rFonts w:asciiTheme="minorHAnsi" w:hAnsiTheme="minorHAnsi" w:cstheme="minorHAnsi"/>
                <w:bCs/>
                <w:color w:val="000000"/>
                <w:sz w:val="22"/>
              </w:rPr>
              <w:t>11.99</w:t>
            </w:r>
          </w:p>
        </w:tc>
        <w:tc>
          <w:tcPr>
            <w:tcW w:w="1169" w:type="dxa"/>
            <w:vAlign w:val="center"/>
          </w:tcPr>
          <w:p w:rsidR="000F34A1" w:rsidRPr="00EB4B17" w:rsidRDefault="00DA07FD" w:rsidP="002F2638">
            <w:pPr>
              <w:spacing w:line="240" w:lineRule="auto"/>
              <w:jc w:val="right"/>
              <w:rPr>
                <w:rFonts w:asciiTheme="minorHAnsi" w:hAnsiTheme="minorHAnsi" w:cstheme="minorHAnsi"/>
                <w:bCs/>
                <w:color w:val="000000"/>
                <w:sz w:val="22"/>
              </w:rPr>
            </w:pPr>
            <w:r>
              <w:rPr>
                <w:rFonts w:asciiTheme="minorHAnsi" w:hAnsiTheme="minorHAnsi" w:cstheme="minorHAnsi"/>
                <w:bCs/>
                <w:color w:val="000000"/>
                <w:sz w:val="22"/>
              </w:rPr>
              <w:t>4.52</w:t>
            </w:r>
          </w:p>
        </w:tc>
        <w:tc>
          <w:tcPr>
            <w:tcW w:w="1418" w:type="dxa"/>
            <w:vAlign w:val="center"/>
          </w:tcPr>
          <w:p w:rsidR="000F34A1" w:rsidRPr="00346D94" w:rsidRDefault="00DA07FD" w:rsidP="002F2638">
            <w:pPr>
              <w:spacing w:line="240" w:lineRule="auto"/>
              <w:jc w:val="right"/>
              <w:rPr>
                <w:rFonts w:asciiTheme="minorHAnsi" w:hAnsiTheme="minorHAnsi" w:cstheme="minorHAnsi"/>
                <w:bCs/>
                <w:color w:val="000000"/>
                <w:sz w:val="22"/>
              </w:rPr>
            </w:pPr>
            <w:r>
              <w:rPr>
                <w:rFonts w:asciiTheme="minorHAnsi" w:hAnsiTheme="minorHAnsi" w:cstheme="minorHAnsi"/>
                <w:bCs/>
                <w:color w:val="000000"/>
                <w:sz w:val="22"/>
              </w:rPr>
              <w:t>12.48</w:t>
            </w:r>
          </w:p>
        </w:tc>
      </w:tr>
      <w:tr w:rsidR="000F34A1" w:rsidRPr="00346D94" w:rsidTr="00BE2AD7">
        <w:trPr>
          <w:tblHeader/>
          <w:jc w:val="center"/>
        </w:trPr>
        <w:tc>
          <w:tcPr>
            <w:tcW w:w="3467" w:type="dxa"/>
          </w:tcPr>
          <w:p w:rsidR="000F34A1" w:rsidRPr="00346D94" w:rsidRDefault="000F34A1" w:rsidP="007030EF">
            <w:pPr>
              <w:rPr>
                <w:rFonts w:asciiTheme="minorHAnsi" w:hAnsiTheme="minorHAnsi" w:cstheme="minorHAnsi"/>
                <w:sz w:val="22"/>
              </w:rPr>
            </w:pPr>
            <w:r w:rsidRPr="00346D94">
              <w:rPr>
                <w:rFonts w:asciiTheme="minorHAnsi" w:hAnsiTheme="minorHAnsi" w:cstheme="minorHAnsi"/>
                <w:sz w:val="22"/>
              </w:rPr>
              <w:t>Current Charges</w:t>
            </w:r>
          </w:p>
        </w:tc>
        <w:tc>
          <w:tcPr>
            <w:tcW w:w="1399" w:type="dxa"/>
            <w:shd w:val="clear" w:color="auto" w:fill="auto"/>
            <w:vAlign w:val="center"/>
          </w:tcPr>
          <w:p w:rsidR="000F34A1" w:rsidRPr="00346D94" w:rsidRDefault="00DA07FD" w:rsidP="00807FB0">
            <w:pPr>
              <w:spacing w:line="240" w:lineRule="auto"/>
              <w:jc w:val="right"/>
              <w:rPr>
                <w:rFonts w:asciiTheme="minorHAnsi" w:eastAsia="Times New Roman" w:hAnsiTheme="minorHAnsi" w:cstheme="minorHAnsi"/>
                <w:bCs/>
                <w:iCs/>
                <w:color w:val="000000"/>
                <w:sz w:val="22"/>
              </w:rPr>
            </w:pPr>
            <w:r>
              <w:rPr>
                <w:rFonts w:asciiTheme="minorHAnsi" w:eastAsia="Times New Roman" w:hAnsiTheme="minorHAnsi" w:cstheme="minorHAnsi"/>
                <w:bCs/>
                <w:iCs/>
                <w:color w:val="000000"/>
                <w:sz w:val="22"/>
              </w:rPr>
              <w:t>35.34</w:t>
            </w:r>
          </w:p>
        </w:tc>
        <w:tc>
          <w:tcPr>
            <w:tcW w:w="1134" w:type="dxa"/>
            <w:vAlign w:val="center"/>
          </w:tcPr>
          <w:p w:rsidR="000F34A1" w:rsidRPr="00346D94" w:rsidRDefault="00DA07FD" w:rsidP="002F2638">
            <w:pPr>
              <w:spacing w:line="240" w:lineRule="auto"/>
              <w:jc w:val="right"/>
              <w:rPr>
                <w:rFonts w:asciiTheme="minorHAnsi" w:hAnsiTheme="minorHAnsi" w:cstheme="minorHAnsi"/>
                <w:bCs/>
                <w:iCs/>
                <w:color w:val="000000"/>
                <w:sz w:val="22"/>
              </w:rPr>
            </w:pPr>
            <w:r>
              <w:rPr>
                <w:rFonts w:asciiTheme="minorHAnsi" w:hAnsiTheme="minorHAnsi" w:cstheme="minorHAnsi"/>
                <w:bCs/>
                <w:iCs/>
                <w:color w:val="000000"/>
                <w:sz w:val="22"/>
              </w:rPr>
              <w:t>50.85</w:t>
            </w:r>
          </w:p>
        </w:tc>
        <w:tc>
          <w:tcPr>
            <w:tcW w:w="1169" w:type="dxa"/>
            <w:vAlign w:val="center"/>
          </w:tcPr>
          <w:p w:rsidR="000F34A1" w:rsidRPr="00EB4B17" w:rsidRDefault="00DA07FD" w:rsidP="002F2638">
            <w:pPr>
              <w:spacing w:line="240" w:lineRule="auto"/>
              <w:jc w:val="right"/>
              <w:rPr>
                <w:rFonts w:asciiTheme="minorHAnsi" w:hAnsiTheme="minorHAnsi" w:cstheme="minorHAnsi"/>
                <w:bCs/>
                <w:iCs/>
                <w:color w:val="000000"/>
                <w:sz w:val="22"/>
              </w:rPr>
            </w:pPr>
            <w:r>
              <w:rPr>
                <w:rFonts w:asciiTheme="minorHAnsi" w:hAnsiTheme="minorHAnsi" w:cstheme="minorHAnsi"/>
                <w:bCs/>
                <w:iCs/>
                <w:color w:val="000000"/>
                <w:sz w:val="22"/>
              </w:rPr>
              <w:t>23.66</w:t>
            </w:r>
          </w:p>
        </w:tc>
        <w:tc>
          <w:tcPr>
            <w:tcW w:w="1418" w:type="dxa"/>
            <w:vAlign w:val="center"/>
          </w:tcPr>
          <w:p w:rsidR="000F34A1" w:rsidRPr="00346D94" w:rsidRDefault="00DA07FD" w:rsidP="002F2638">
            <w:pPr>
              <w:spacing w:line="240" w:lineRule="auto"/>
              <w:jc w:val="right"/>
              <w:rPr>
                <w:rFonts w:asciiTheme="minorHAnsi" w:hAnsiTheme="minorHAnsi" w:cstheme="minorHAnsi"/>
                <w:bCs/>
                <w:iCs/>
                <w:color w:val="000000"/>
                <w:sz w:val="22"/>
              </w:rPr>
            </w:pPr>
            <w:r>
              <w:rPr>
                <w:rFonts w:asciiTheme="minorHAnsi" w:hAnsiTheme="minorHAnsi" w:cstheme="minorHAnsi"/>
                <w:bCs/>
                <w:iCs/>
                <w:color w:val="000000"/>
                <w:sz w:val="22"/>
              </w:rPr>
              <w:t>40.89</w:t>
            </w:r>
          </w:p>
        </w:tc>
      </w:tr>
      <w:tr w:rsidR="000F34A1" w:rsidRPr="00346D94" w:rsidTr="00BE2AD7">
        <w:trPr>
          <w:tblHeader/>
          <w:jc w:val="center"/>
        </w:trPr>
        <w:tc>
          <w:tcPr>
            <w:tcW w:w="3467" w:type="dxa"/>
          </w:tcPr>
          <w:p w:rsidR="000F34A1" w:rsidRPr="00346D94" w:rsidRDefault="000F34A1" w:rsidP="007030EF">
            <w:pPr>
              <w:rPr>
                <w:rFonts w:asciiTheme="minorHAnsi" w:hAnsiTheme="minorHAnsi" w:cstheme="minorHAnsi"/>
                <w:b/>
                <w:sz w:val="22"/>
              </w:rPr>
            </w:pPr>
            <w:r w:rsidRPr="00346D94">
              <w:rPr>
                <w:rFonts w:asciiTheme="minorHAnsi" w:hAnsiTheme="minorHAnsi" w:cstheme="minorHAnsi"/>
                <w:b/>
                <w:sz w:val="22"/>
              </w:rPr>
              <w:t>Telecommunications Expenditure</w:t>
            </w:r>
          </w:p>
        </w:tc>
        <w:tc>
          <w:tcPr>
            <w:tcW w:w="1399" w:type="dxa"/>
            <w:shd w:val="clear" w:color="auto" w:fill="auto"/>
            <w:vAlign w:val="center"/>
          </w:tcPr>
          <w:p w:rsidR="000F34A1" w:rsidRPr="00346D94" w:rsidRDefault="000F34A1" w:rsidP="00807FB0">
            <w:pPr>
              <w:spacing w:line="240" w:lineRule="auto"/>
              <w:jc w:val="right"/>
              <w:rPr>
                <w:rFonts w:asciiTheme="minorHAnsi" w:eastAsia="Times New Roman" w:hAnsiTheme="minorHAnsi" w:cstheme="minorHAnsi"/>
                <w:b/>
                <w:color w:val="000000"/>
                <w:sz w:val="22"/>
              </w:rPr>
            </w:pPr>
            <w:r>
              <w:rPr>
                <w:rFonts w:asciiTheme="minorHAnsi" w:eastAsia="Times New Roman" w:hAnsiTheme="minorHAnsi" w:cstheme="minorHAnsi"/>
                <w:b/>
                <w:color w:val="000000"/>
                <w:sz w:val="22"/>
              </w:rPr>
              <w:t>$42.71</w:t>
            </w:r>
          </w:p>
        </w:tc>
        <w:tc>
          <w:tcPr>
            <w:tcW w:w="1134" w:type="dxa"/>
            <w:vAlign w:val="center"/>
          </w:tcPr>
          <w:p w:rsidR="000F34A1" w:rsidRPr="00346D94" w:rsidRDefault="00DA07FD" w:rsidP="002F2638">
            <w:pPr>
              <w:spacing w:line="240" w:lineRule="auto"/>
              <w:jc w:val="right"/>
              <w:rPr>
                <w:rFonts w:asciiTheme="minorHAnsi" w:hAnsiTheme="minorHAnsi" w:cstheme="minorHAnsi"/>
                <w:b/>
                <w:color w:val="000000"/>
                <w:sz w:val="22"/>
              </w:rPr>
            </w:pPr>
            <w:r>
              <w:rPr>
                <w:rFonts w:asciiTheme="minorHAnsi" w:hAnsiTheme="minorHAnsi" w:cstheme="minorHAnsi"/>
                <w:b/>
                <w:color w:val="000000"/>
                <w:sz w:val="22"/>
              </w:rPr>
              <w:t>$62.84</w:t>
            </w:r>
          </w:p>
        </w:tc>
        <w:tc>
          <w:tcPr>
            <w:tcW w:w="1169" w:type="dxa"/>
            <w:vAlign w:val="center"/>
          </w:tcPr>
          <w:p w:rsidR="000F34A1" w:rsidRPr="00EB4B17" w:rsidRDefault="00DA07FD" w:rsidP="002F2638">
            <w:pPr>
              <w:spacing w:line="240" w:lineRule="auto"/>
              <w:jc w:val="right"/>
              <w:rPr>
                <w:rFonts w:asciiTheme="minorHAnsi" w:hAnsiTheme="minorHAnsi" w:cstheme="minorHAnsi"/>
                <w:b/>
                <w:color w:val="000000"/>
                <w:sz w:val="22"/>
              </w:rPr>
            </w:pPr>
            <w:r>
              <w:rPr>
                <w:rFonts w:asciiTheme="minorHAnsi" w:hAnsiTheme="minorHAnsi" w:cstheme="minorHAnsi"/>
                <w:b/>
                <w:color w:val="000000"/>
                <w:sz w:val="22"/>
              </w:rPr>
              <w:t>$28.18</w:t>
            </w:r>
          </w:p>
        </w:tc>
        <w:tc>
          <w:tcPr>
            <w:tcW w:w="1418" w:type="dxa"/>
            <w:vAlign w:val="center"/>
          </w:tcPr>
          <w:p w:rsidR="000F34A1" w:rsidRPr="00346D94" w:rsidRDefault="00DA07FD" w:rsidP="002F2638">
            <w:pPr>
              <w:spacing w:line="240" w:lineRule="auto"/>
              <w:jc w:val="right"/>
              <w:rPr>
                <w:rFonts w:asciiTheme="minorHAnsi" w:hAnsiTheme="minorHAnsi" w:cstheme="minorHAnsi"/>
                <w:b/>
                <w:color w:val="000000"/>
                <w:sz w:val="22"/>
              </w:rPr>
            </w:pPr>
            <w:r>
              <w:rPr>
                <w:rFonts w:asciiTheme="minorHAnsi" w:hAnsiTheme="minorHAnsi" w:cstheme="minorHAnsi"/>
                <w:b/>
                <w:color w:val="000000"/>
                <w:sz w:val="22"/>
              </w:rPr>
              <w:t>$53.57</w:t>
            </w:r>
          </w:p>
        </w:tc>
      </w:tr>
      <w:tr w:rsidR="000F34A1" w:rsidRPr="00346D94" w:rsidTr="00BE2AD7">
        <w:trPr>
          <w:tblHeader/>
          <w:jc w:val="center"/>
        </w:trPr>
        <w:tc>
          <w:tcPr>
            <w:tcW w:w="3467" w:type="dxa"/>
          </w:tcPr>
          <w:p w:rsidR="000F34A1" w:rsidRPr="00346D94" w:rsidRDefault="000F34A1" w:rsidP="007030EF">
            <w:pPr>
              <w:rPr>
                <w:rFonts w:asciiTheme="minorHAnsi" w:hAnsiTheme="minorHAnsi" w:cstheme="minorHAnsi"/>
                <w:i/>
                <w:sz w:val="22"/>
              </w:rPr>
            </w:pPr>
            <w:r>
              <w:rPr>
                <w:rFonts w:asciiTheme="minorHAnsi" w:hAnsiTheme="minorHAnsi" w:cstheme="minorHAnsi"/>
                <w:i/>
                <w:sz w:val="22"/>
              </w:rPr>
              <w:t>% of Household Disposable Income</w:t>
            </w:r>
          </w:p>
        </w:tc>
        <w:tc>
          <w:tcPr>
            <w:tcW w:w="1399" w:type="dxa"/>
            <w:shd w:val="clear" w:color="auto" w:fill="auto"/>
            <w:vAlign w:val="center"/>
          </w:tcPr>
          <w:p w:rsidR="000F34A1" w:rsidRPr="00346D94" w:rsidRDefault="00DA07FD" w:rsidP="00807FB0">
            <w:pPr>
              <w:spacing w:line="240" w:lineRule="auto"/>
              <w:jc w:val="right"/>
              <w:rPr>
                <w:rFonts w:asciiTheme="minorHAnsi" w:eastAsia="Times New Roman" w:hAnsiTheme="minorHAnsi" w:cstheme="minorHAnsi"/>
                <w:bCs/>
                <w:i/>
                <w:iCs/>
                <w:color w:val="000000"/>
                <w:sz w:val="22"/>
              </w:rPr>
            </w:pPr>
            <w:r>
              <w:rPr>
                <w:rFonts w:asciiTheme="minorHAnsi" w:eastAsia="Times New Roman" w:hAnsiTheme="minorHAnsi" w:cstheme="minorHAnsi"/>
                <w:bCs/>
                <w:i/>
                <w:iCs/>
                <w:color w:val="000000"/>
                <w:sz w:val="22"/>
              </w:rPr>
              <w:t>3.0%</w:t>
            </w:r>
          </w:p>
        </w:tc>
        <w:tc>
          <w:tcPr>
            <w:tcW w:w="1134" w:type="dxa"/>
            <w:vAlign w:val="center"/>
          </w:tcPr>
          <w:p w:rsidR="000F34A1" w:rsidRPr="00346D94" w:rsidRDefault="00DA07FD" w:rsidP="002F2638">
            <w:pPr>
              <w:spacing w:line="240" w:lineRule="auto"/>
              <w:jc w:val="right"/>
              <w:rPr>
                <w:rFonts w:asciiTheme="minorHAnsi" w:hAnsiTheme="minorHAnsi" w:cstheme="minorHAnsi"/>
                <w:bCs/>
                <w:i/>
                <w:iCs/>
                <w:color w:val="000000"/>
                <w:sz w:val="22"/>
              </w:rPr>
            </w:pPr>
            <w:r>
              <w:rPr>
                <w:rFonts w:asciiTheme="minorHAnsi" w:hAnsiTheme="minorHAnsi" w:cstheme="minorHAnsi"/>
                <w:bCs/>
                <w:i/>
                <w:iCs/>
                <w:color w:val="000000"/>
                <w:sz w:val="22"/>
              </w:rPr>
              <w:t>2.9%</w:t>
            </w:r>
          </w:p>
        </w:tc>
        <w:tc>
          <w:tcPr>
            <w:tcW w:w="1169" w:type="dxa"/>
            <w:vAlign w:val="center"/>
          </w:tcPr>
          <w:p w:rsidR="000F34A1" w:rsidRPr="00EB4B17" w:rsidRDefault="00DA07FD" w:rsidP="002F2638">
            <w:pPr>
              <w:spacing w:line="240" w:lineRule="auto"/>
              <w:jc w:val="right"/>
              <w:rPr>
                <w:rFonts w:asciiTheme="minorHAnsi" w:hAnsiTheme="minorHAnsi" w:cstheme="minorHAnsi"/>
                <w:bCs/>
                <w:iCs/>
                <w:color w:val="000000"/>
                <w:sz w:val="22"/>
              </w:rPr>
            </w:pPr>
            <w:r>
              <w:rPr>
                <w:rFonts w:asciiTheme="minorHAnsi" w:hAnsiTheme="minorHAnsi" w:cstheme="minorHAnsi"/>
                <w:bCs/>
                <w:iCs/>
                <w:color w:val="000000"/>
                <w:sz w:val="22"/>
              </w:rPr>
              <w:t>3.8%</w:t>
            </w:r>
          </w:p>
        </w:tc>
        <w:tc>
          <w:tcPr>
            <w:tcW w:w="1418" w:type="dxa"/>
            <w:vAlign w:val="center"/>
          </w:tcPr>
          <w:p w:rsidR="000F34A1" w:rsidRPr="00346D94" w:rsidRDefault="00DA07FD" w:rsidP="002F2638">
            <w:pPr>
              <w:spacing w:line="240" w:lineRule="auto"/>
              <w:jc w:val="right"/>
              <w:rPr>
                <w:rFonts w:asciiTheme="minorHAnsi" w:hAnsiTheme="minorHAnsi" w:cstheme="minorHAnsi"/>
                <w:bCs/>
                <w:i/>
                <w:iCs/>
                <w:color w:val="000000"/>
                <w:sz w:val="22"/>
              </w:rPr>
            </w:pPr>
            <w:r>
              <w:rPr>
                <w:rFonts w:asciiTheme="minorHAnsi" w:hAnsiTheme="minorHAnsi" w:cstheme="minorHAnsi"/>
                <w:bCs/>
                <w:i/>
                <w:iCs/>
                <w:color w:val="000000"/>
                <w:sz w:val="22"/>
              </w:rPr>
              <w:t>3.5%</w:t>
            </w:r>
          </w:p>
        </w:tc>
      </w:tr>
    </w:tbl>
    <w:p w:rsidR="00E23453" w:rsidRDefault="00E23453" w:rsidP="002F2638">
      <w:pPr>
        <w:spacing w:before="120"/>
      </w:pPr>
      <w:r>
        <w:t xml:space="preserve">Again, state housing authority renters spend less absolutely, but proportionately more of that </w:t>
      </w:r>
      <w:r w:rsidR="00F511FD">
        <w:t xml:space="preserve">spend </w:t>
      </w:r>
      <w:r>
        <w:t xml:space="preserve">goes to current charges – meaning </w:t>
      </w:r>
      <w:r w:rsidR="009671D3">
        <w:t xml:space="preserve">that </w:t>
      </w:r>
      <w:r>
        <w:t xml:space="preserve">they are likely to have fewer and/or cheaper devices. </w:t>
      </w:r>
      <w:r w:rsidR="009671D3">
        <w:t>They also have the highest average level of expenditure on non-account (pre-paid) mobile phones reflecting far greater use of pre</w:t>
      </w:r>
      <w:r w:rsidR="00622BDE">
        <w:t>-</w:t>
      </w:r>
      <w:r w:rsidR="009671D3">
        <w:t xml:space="preserve">paid phones. </w:t>
      </w:r>
      <w:r>
        <w:t xml:space="preserve">By contrast, private renters have the most capital </w:t>
      </w:r>
      <w:r w:rsidR="006F6AE0">
        <w:t>in</w:t>
      </w:r>
      <w:r>
        <w:t xml:space="preserve">tensive spend </w:t>
      </w:r>
      <w:r w:rsidR="009671D3">
        <w:t xml:space="preserve">of any category </w:t>
      </w:r>
      <w:r>
        <w:t xml:space="preserve">– spending more </w:t>
      </w:r>
      <w:r w:rsidR="009671D3">
        <w:t>on average</w:t>
      </w:r>
      <w:r>
        <w:t xml:space="preserve"> on mobile phones, and the second highest spend on home computer equipment. </w:t>
      </w:r>
      <w:r w:rsidR="006F6AE0">
        <w:t>Private renters also have a much lower average spend on fixed landlines – because fewer renters have them</w:t>
      </w:r>
      <w:r w:rsidR="00EA1F4E">
        <w:t>,</w:t>
      </w:r>
      <w:r>
        <w:t xml:space="preserve"> </w:t>
      </w:r>
      <w:r w:rsidR="006D4206">
        <w:t xml:space="preserve">presumably in part </w:t>
      </w:r>
      <w:r>
        <w:t>because of limited housing tenure</w:t>
      </w:r>
      <w:r w:rsidR="009671D3">
        <w:t>.</w:t>
      </w:r>
    </w:p>
    <w:p w:rsidR="00B903DC" w:rsidRDefault="00E23453" w:rsidP="001A2EFF">
      <w:pPr>
        <w:pStyle w:val="Caption"/>
        <w:keepNext/>
        <w:keepLines/>
      </w:pPr>
      <w:bookmarkStart w:id="36" w:name="_Toc498421777"/>
      <w:r>
        <w:t xml:space="preserve">Figure </w:t>
      </w:r>
      <w:fldSimple w:instr=" SEQ Figure \* ARABIC ">
        <w:r w:rsidR="00AF12ED">
          <w:rPr>
            <w:noProof/>
          </w:rPr>
          <w:t>7</w:t>
        </w:r>
      </w:fldSimple>
      <w:r>
        <w:t>: Share of Telecommunications Expenditure on Equipment and Charges</w:t>
      </w:r>
      <w:bookmarkEnd w:id="36"/>
    </w:p>
    <w:p w:rsidR="00B903DC" w:rsidRDefault="00E23453" w:rsidP="009671D3">
      <w:pPr>
        <w:jc w:val="center"/>
      </w:pPr>
      <w:r>
        <w:rPr>
          <w:noProof/>
        </w:rPr>
        <w:drawing>
          <wp:inline distT="0" distB="0" distL="0" distR="0" wp14:anchorId="4A9A9959" wp14:editId="27F9BC08">
            <wp:extent cx="4572000" cy="2468880"/>
            <wp:effectExtent l="0" t="0" r="19050" b="26670"/>
            <wp:docPr id="7" name="Chart 7" descr="housing authority renters spend less absolutely, but proportionately more of that spend goes to current charges – meaning that they are likely to have fewer and/or cheaper devices">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6230455-F481-4A68-9CC6-35B03C509D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903DC" w:rsidRPr="00B903DC" w:rsidRDefault="00B903DC" w:rsidP="00287592">
      <w:pPr>
        <w:pStyle w:val="Heading1"/>
      </w:pPr>
      <w:bookmarkStart w:id="37" w:name="_Toc498421757"/>
      <w:r>
        <w:lastRenderedPageBreak/>
        <w:t xml:space="preserve">Changes </w:t>
      </w:r>
      <w:proofErr w:type="gramStart"/>
      <w:r>
        <w:t>Over</w:t>
      </w:r>
      <w:proofErr w:type="gramEnd"/>
      <w:r>
        <w:t xml:space="preserve"> Time</w:t>
      </w:r>
      <w:bookmarkEnd w:id="37"/>
    </w:p>
    <w:p w:rsidR="00107B46" w:rsidRDefault="00E22F3F" w:rsidP="00FD147E">
      <w:r>
        <w:t xml:space="preserve">The last decade has seen huge increases in internet and telecommunications usage as more services go online and more platforms are integrated into lifestyles, but it has also seen significant decreases in prices for telecommunications products – including data. </w:t>
      </w:r>
      <w:r w:rsidR="00107B46">
        <w:t>The net result has been a slight increase in expenditure, but a gradual decrease in its share of household expenditure over the last 12 years (</w:t>
      </w:r>
      <w:r w:rsidR="00F0195D">
        <w:t xml:space="preserve">due to category changes, </w:t>
      </w:r>
      <w:r w:rsidR="00107B46">
        <w:t xml:space="preserve">the HES data categories prior to </w:t>
      </w:r>
      <w:r w:rsidR="00F0195D">
        <w:t>2003-04</w:t>
      </w:r>
      <w:r w:rsidR="00E81FE1">
        <w:t xml:space="preserve"> are</w:t>
      </w:r>
      <w:r w:rsidR="00107B46">
        <w:t xml:space="preserve"> </w:t>
      </w:r>
      <w:r w:rsidR="00F0195D">
        <w:t>not comparable</w:t>
      </w:r>
      <w:r w:rsidR="00107B46">
        <w:t>).</w:t>
      </w:r>
    </w:p>
    <w:p w:rsidR="00107B46" w:rsidRDefault="00107B46" w:rsidP="00FD147E"/>
    <w:p w:rsidR="00107B46" w:rsidRDefault="00107B46" w:rsidP="00107B46">
      <w:pPr>
        <w:pStyle w:val="Caption"/>
      </w:pPr>
      <w:bookmarkStart w:id="38" w:name="_Ref497910524"/>
      <w:bookmarkStart w:id="39" w:name="_Toc498421786"/>
      <w:r>
        <w:t xml:space="preserve">Table </w:t>
      </w:r>
      <w:fldSimple w:instr=" SEQ Table \* ARABIC ">
        <w:r w:rsidR="00AF12ED">
          <w:rPr>
            <w:noProof/>
          </w:rPr>
          <w:t>7</w:t>
        </w:r>
      </w:fldSimple>
      <w:bookmarkEnd w:id="38"/>
      <w:r>
        <w:t xml:space="preserve">: </w:t>
      </w:r>
      <w:r w:rsidR="00C45188">
        <w:t xml:space="preserve">Weekly </w:t>
      </w:r>
      <w:r>
        <w:t>Telecommunications Expenditure 2003 - 2016</w:t>
      </w:r>
      <w:bookmarkEnd w:id="39"/>
    </w:p>
    <w:tbl>
      <w:tblPr>
        <w:tblStyle w:val="TableGrid"/>
        <w:tblW w:w="0" w:type="auto"/>
        <w:jc w:val="center"/>
        <w:tblInd w:w="-631" w:type="dxa"/>
        <w:tblLook w:val="04A0" w:firstRow="1" w:lastRow="0" w:firstColumn="1" w:lastColumn="0" w:noHBand="0" w:noVBand="1"/>
        <w:tblDescription w:val=". When the real value of expenditure is calculated, the average telecommunications expenditure per household increases from 2003-04 to 2009-10, but declines slightly over the last 6 years. "/>
      </w:tblPr>
      <w:tblGrid>
        <w:gridCol w:w="3959"/>
        <w:gridCol w:w="1134"/>
        <w:gridCol w:w="1134"/>
        <w:gridCol w:w="1169"/>
      </w:tblGrid>
      <w:tr w:rsidR="00107B46" w:rsidRPr="00346D94" w:rsidTr="009B0463">
        <w:trPr>
          <w:tblHeader/>
          <w:jc w:val="center"/>
        </w:trPr>
        <w:tc>
          <w:tcPr>
            <w:tcW w:w="3959" w:type="dxa"/>
          </w:tcPr>
          <w:p w:rsidR="00107B46" w:rsidRPr="00346D94" w:rsidRDefault="00107B46" w:rsidP="007030EF">
            <w:pPr>
              <w:rPr>
                <w:rFonts w:asciiTheme="minorHAnsi" w:hAnsiTheme="minorHAnsi" w:cstheme="minorHAnsi"/>
                <w:b/>
                <w:sz w:val="22"/>
              </w:rPr>
            </w:pPr>
          </w:p>
        </w:tc>
        <w:tc>
          <w:tcPr>
            <w:tcW w:w="1134" w:type="dxa"/>
            <w:vAlign w:val="center"/>
          </w:tcPr>
          <w:p w:rsidR="00107B46" w:rsidRPr="00346D94" w:rsidRDefault="00107B46" w:rsidP="002F2638">
            <w:pPr>
              <w:spacing w:line="240" w:lineRule="auto"/>
              <w:jc w:val="right"/>
              <w:rPr>
                <w:rFonts w:asciiTheme="minorHAnsi" w:hAnsiTheme="minorHAnsi" w:cstheme="minorHAnsi"/>
                <w:b/>
                <w:sz w:val="22"/>
              </w:rPr>
            </w:pPr>
            <w:r>
              <w:rPr>
                <w:rFonts w:asciiTheme="minorHAnsi" w:hAnsiTheme="minorHAnsi" w:cstheme="minorHAnsi"/>
                <w:b/>
                <w:sz w:val="22"/>
              </w:rPr>
              <w:t>2003-04</w:t>
            </w:r>
          </w:p>
        </w:tc>
        <w:tc>
          <w:tcPr>
            <w:tcW w:w="1134" w:type="dxa"/>
            <w:vAlign w:val="center"/>
          </w:tcPr>
          <w:p w:rsidR="00107B46" w:rsidRDefault="00107B46" w:rsidP="002F2638">
            <w:pPr>
              <w:spacing w:line="240" w:lineRule="auto"/>
              <w:jc w:val="right"/>
              <w:rPr>
                <w:rFonts w:asciiTheme="minorHAnsi" w:hAnsiTheme="minorHAnsi" w:cstheme="minorHAnsi"/>
                <w:b/>
                <w:sz w:val="22"/>
              </w:rPr>
            </w:pPr>
            <w:r>
              <w:rPr>
                <w:rFonts w:asciiTheme="minorHAnsi" w:hAnsiTheme="minorHAnsi" w:cstheme="minorHAnsi"/>
                <w:b/>
                <w:sz w:val="22"/>
              </w:rPr>
              <w:t>2009-10</w:t>
            </w:r>
          </w:p>
        </w:tc>
        <w:tc>
          <w:tcPr>
            <w:tcW w:w="1169" w:type="dxa"/>
            <w:vAlign w:val="center"/>
          </w:tcPr>
          <w:p w:rsidR="00107B46" w:rsidRPr="00EB4B17" w:rsidRDefault="00107B46" w:rsidP="002F2638">
            <w:pPr>
              <w:spacing w:line="240" w:lineRule="auto"/>
              <w:jc w:val="right"/>
              <w:rPr>
                <w:rFonts w:asciiTheme="minorHAnsi" w:hAnsiTheme="minorHAnsi" w:cstheme="minorHAnsi"/>
                <w:b/>
                <w:sz w:val="22"/>
              </w:rPr>
            </w:pPr>
            <w:r>
              <w:rPr>
                <w:rFonts w:asciiTheme="minorHAnsi" w:hAnsiTheme="minorHAnsi" w:cstheme="minorHAnsi"/>
                <w:b/>
                <w:sz w:val="22"/>
              </w:rPr>
              <w:t>2015-16</w:t>
            </w:r>
          </w:p>
        </w:tc>
      </w:tr>
      <w:tr w:rsidR="00107B46" w:rsidRPr="00346D94" w:rsidTr="009B0463">
        <w:trPr>
          <w:jc w:val="center"/>
        </w:trPr>
        <w:tc>
          <w:tcPr>
            <w:tcW w:w="3959" w:type="dxa"/>
          </w:tcPr>
          <w:p w:rsidR="00107B46" w:rsidRPr="00346D94" w:rsidRDefault="00107B46" w:rsidP="007030EF">
            <w:pPr>
              <w:rPr>
                <w:rFonts w:asciiTheme="minorHAnsi" w:hAnsiTheme="minorHAnsi" w:cstheme="minorHAnsi"/>
                <w:sz w:val="22"/>
              </w:rPr>
            </w:pPr>
            <w:r w:rsidRPr="00346D94">
              <w:rPr>
                <w:rFonts w:asciiTheme="minorHAnsi" w:hAnsiTheme="minorHAnsi" w:cstheme="minorHAnsi"/>
                <w:sz w:val="22"/>
              </w:rPr>
              <w:t>Equipment</w:t>
            </w:r>
          </w:p>
        </w:tc>
        <w:tc>
          <w:tcPr>
            <w:tcW w:w="1134" w:type="dxa"/>
            <w:shd w:val="clear" w:color="auto" w:fill="auto"/>
            <w:vAlign w:val="center"/>
          </w:tcPr>
          <w:p w:rsidR="00107B46" w:rsidRPr="00346D94" w:rsidRDefault="00107B46" w:rsidP="00C45188">
            <w:pPr>
              <w:spacing w:line="240" w:lineRule="auto"/>
              <w:jc w:val="right"/>
              <w:rPr>
                <w:rFonts w:asciiTheme="minorHAnsi" w:eastAsia="Times New Roman" w:hAnsiTheme="minorHAnsi" w:cstheme="minorHAnsi"/>
                <w:bCs/>
                <w:color w:val="000000"/>
                <w:sz w:val="22"/>
              </w:rPr>
            </w:pPr>
            <w:r>
              <w:rPr>
                <w:rFonts w:asciiTheme="minorHAnsi" w:eastAsia="Times New Roman" w:hAnsiTheme="minorHAnsi" w:cstheme="minorHAnsi"/>
                <w:bCs/>
                <w:color w:val="000000"/>
                <w:sz w:val="22"/>
              </w:rPr>
              <w:t>8.46</w:t>
            </w:r>
          </w:p>
        </w:tc>
        <w:tc>
          <w:tcPr>
            <w:tcW w:w="1134" w:type="dxa"/>
            <w:vAlign w:val="center"/>
          </w:tcPr>
          <w:p w:rsidR="00107B46" w:rsidRPr="00346D94" w:rsidRDefault="00107B46" w:rsidP="002F2638">
            <w:pPr>
              <w:spacing w:line="240" w:lineRule="auto"/>
              <w:jc w:val="right"/>
              <w:rPr>
                <w:rFonts w:asciiTheme="minorHAnsi" w:hAnsiTheme="minorHAnsi" w:cstheme="minorHAnsi"/>
                <w:bCs/>
                <w:color w:val="000000"/>
                <w:sz w:val="22"/>
              </w:rPr>
            </w:pPr>
            <w:r>
              <w:rPr>
                <w:rFonts w:asciiTheme="minorHAnsi" w:hAnsiTheme="minorHAnsi" w:cstheme="minorHAnsi"/>
                <w:bCs/>
                <w:color w:val="000000"/>
                <w:sz w:val="22"/>
              </w:rPr>
              <w:t>9.90</w:t>
            </w:r>
          </w:p>
        </w:tc>
        <w:tc>
          <w:tcPr>
            <w:tcW w:w="1169" w:type="dxa"/>
            <w:vAlign w:val="center"/>
          </w:tcPr>
          <w:p w:rsidR="00107B46" w:rsidRPr="00EB4B17" w:rsidRDefault="00107B46" w:rsidP="002F2638">
            <w:pPr>
              <w:spacing w:line="240" w:lineRule="auto"/>
              <w:jc w:val="right"/>
              <w:rPr>
                <w:rFonts w:asciiTheme="minorHAnsi" w:hAnsiTheme="minorHAnsi" w:cstheme="minorHAnsi"/>
                <w:bCs/>
                <w:color w:val="000000"/>
                <w:sz w:val="22"/>
              </w:rPr>
            </w:pPr>
            <w:r>
              <w:rPr>
                <w:rFonts w:asciiTheme="minorHAnsi" w:hAnsiTheme="minorHAnsi" w:cstheme="minorHAnsi"/>
                <w:bCs/>
                <w:color w:val="000000"/>
                <w:sz w:val="22"/>
              </w:rPr>
              <w:t>10.60</w:t>
            </w:r>
          </w:p>
        </w:tc>
      </w:tr>
      <w:tr w:rsidR="00107B46" w:rsidRPr="00346D94" w:rsidTr="009B0463">
        <w:trPr>
          <w:jc w:val="center"/>
        </w:trPr>
        <w:tc>
          <w:tcPr>
            <w:tcW w:w="3959" w:type="dxa"/>
          </w:tcPr>
          <w:p w:rsidR="00107B46" w:rsidRPr="00346D94" w:rsidRDefault="00107B46" w:rsidP="007030EF">
            <w:pPr>
              <w:rPr>
                <w:rFonts w:asciiTheme="minorHAnsi" w:hAnsiTheme="minorHAnsi" w:cstheme="minorHAnsi"/>
                <w:sz w:val="22"/>
              </w:rPr>
            </w:pPr>
            <w:r w:rsidRPr="00346D94">
              <w:rPr>
                <w:rFonts w:asciiTheme="minorHAnsi" w:hAnsiTheme="minorHAnsi" w:cstheme="minorHAnsi"/>
                <w:sz w:val="22"/>
              </w:rPr>
              <w:t>Current Charges</w:t>
            </w:r>
          </w:p>
        </w:tc>
        <w:tc>
          <w:tcPr>
            <w:tcW w:w="1134" w:type="dxa"/>
            <w:shd w:val="clear" w:color="auto" w:fill="auto"/>
            <w:vAlign w:val="center"/>
          </w:tcPr>
          <w:p w:rsidR="00107B46" w:rsidRPr="00346D94" w:rsidRDefault="00107B46" w:rsidP="00C45188">
            <w:pPr>
              <w:spacing w:line="240" w:lineRule="auto"/>
              <w:jc w:val="right"/>
              <w:rPr>
                <w:rFonts w:asciiTheme="minorHAnsi" w:eastAsia="Times New Roman" w:hAnsiTheme="minorHAnsi" w:cstheme="minorHAnsi"/>
                <w:bCs/>
                <w:iCs/>
                <w:color w:val="000000"/>
                <w:sz w:val="22"/>
              </w:rPr>
            </w:pPr>
            <w:r>
              <w:rPr>
                <w:rFonts w:asciiTheme="minorHAnsi" w:eastAsia="Times New Roman" w:hAnsiTheme="minorHAnsi" w:cstheme="minorHAnsi"/>
                <w:bCs/>
                <w:iCs/>
                <w:color w:val="000000"/>
                <w:sz w:val="22"/>
              </w:rPr>
              <w:t>29.91</w:t>
            </w:r>
          </w:p>
        </w:tc>
        <w:tc>
          <w:tcPr>
            <w:tcW w:w="1134" w:type="dxa"/>
            <w:vAlign w:val="center"/>
          </w:tcPr>
          <w:p w:rsidR="00107B46" w:rsidRPr="00346D94" w:rsidRDefault="00107B46" w:rsidP="002F2638">
            <w:pPr>
              <w:spacing w:line="240" w:lineRule="auto"/>
              <w:jc w:val="right"/>
              <w:rPr>
                <w:rFonts w:asciiTheme="minorHAnsi" w:hAnsiTheme="minorHAnsi" w:cstheme="minorHAnsi"/>
                <w:bCs/>
                <w:iCs/>
                <w:color w:val="000000"/>
                <w:sz w:val="22"/>
              </w:rPr>
            </w:pPr>
            <w:r>
              <w:rPr>
                <w:rFonts w:asciiTheme="minorHAnsi" w:hAnsiTheme="minorHAnsi" w:cstheme="minorHAnsi"/>
                <w:bCs/>
                <w:iCs/>
                <w:color w:val="000000"/>
                <w:sz w:val="22"/>
              </w:rPr>
              <w:t>39.73</w:t>
            </w:r>
          </w:p>
        </w:tc>
        <w:tc>
          <w:tcPr>
            <w:tcW w:w="1169" w:type="dxa"/>
            <w:vAlign w:val="center"/>
          </w:tcPr>
          <w:p w:rsidR="00107B46" w:rsidRPr="00EB4B17" w:rsidRDefault="00107B46" w:rsidP="002F2638">
            <w:pPr>
              <w:spacing w:line="240" w:lineRule="auto"/>
              <w:jc w:val="right"/>
              <w:rPr>
                <w:rFonts w:asciiTheme="minorHAnsi" w:hAnsiTheme="minorHAnsi" w:cstheme="minorHAnsi"/>
                <w:bCs/>
                <w:iCs/>
                <w:color w:val="000000"/>
                <w:sz w:val="22"/>
              </w:rPr>
            </w:pPr>
            <w:r>
              <w:rPr>
                <w:rFonts w:asciiTheme="minorHAnsi" w:hAnsiTheme="minorHAnsi" w:cstheme="minorHAnsi"/>
                <w:bCs/>
                <w:iCs/>
                <w:color w:val="000000"/>
                <w:sz w:val="22"/>
              </w:rPr>
              <w:t>42.16</w:t>
            </w:r>
          </w:p>
        </w:tc>
      </w:tr>
      <w:tr w:rsidR="00107B46" w:rsidRPr="00346D94" w:rsidTr="009B0463">
        <w:trPr>
          <w:jc w:val="center"/>
        </w:trPr>
        <w:tc>
          <w:tcPr>
            <w:tcW w:w="3959" w:type="dxa"/>
          </w:tcPr>
          <w:p w:rsidR="00107B46" w:rsidRPr="00346D94" w:rsidRDefault="00107B46" w:rsidP="007030EF">
            <w:pPr>
              <w:rPr>
                <w:rFonts w:asciiTheme="minorHAnsi" w:hAnsiTheme="minorHAnsi" w:cstheme="minorHAnsi"/>
                <w:b/>
                <w:sz w:val="22"/>
              </w:rPr>
            </w:pPr>
            <w:r w:rsidRPr="00346D94">
              <w:rPr>
                <w:rFonts w:asciiTheme="minorHAnsi" w:hAnsiTheme="minorHAnsi" w:cstheme="minorHAnsi"/>
                <w:b/>
                <w:sz w:val="22"/>
              </w:rPr>
              <w:t>Telecommunications Expenditure</w:t>
            </w:r>
          </w:p>
        </w:tc>
        <w:tc>
          <w:tcPr>
            <w:tcW w:w="1134" w:type="dxa"/>
            <w:shd w:val="clear" w:color="auto" w:fill="auto"/>
            <w:vAlign w:val="center"/>
          </w:tcPr>
          <w:p w:rsidR="00107B46" w:rsidRPr="00346D94" w:rsidRDefault="00107B46" w:rsidP="00C45188">
            <w:pPr>
              <w:spacing w:line="240" w:lineRule="auto"/>
              <w:jc w:val="right"/>
              <w:rPr>
                <w:rFonts w:asciiTheme="minorHAnsi" w:eastAsia="Times New Roman" w:hAnsiTheme="minorHAnsi" w:cstheme="minorHAnsi"/>
                <w:b/>
                <w:color w:val="000000"/>
                <w:sz w:val="22"/>
              </w:rPr>
            </w:pPr>
            <w:r>
              <w:rPr>
                <w:rFonts w:asciiTheme="minorHAnsi" w:eastAsia="Times New Roman" w:hAnsiTheme="minorHAnsi" w:cstheme="minorHAnsi"/>
                <w:b/>
                <w:color w:val="000000"/>
                <w:sz w:val="22"/>
              </w:rPr>
              <w:t>38.37</w:t>
            </w:r>
          </w:p>
        </w:tc>
        <w:tc>
          <w:tcPr>
            <w:tcW w:w="1134" w:type="dxa"/>
            <w:vAlign w:val="center"/>
          </w:tcPr>
          <w:p w:rsidR="00107B46" w:rsidRPr="00346D94" w:rsidRDefault="00107B46" w:rsidP="002F2638">
            <w:pPr>
              <w:spacing w:line="240" w:lineRule="auto"/>
              <w:jc w:val="right"/>
              <w:rPr>
                <w:rFonts w:asciiTheme="minorHAnsi" w:hAnsiTheme="minorHAnsi" w:cstheme="minorHAnsi"/>
                <w:b/>
                <w:color w:val="000000"/>
                <w:sz w:val="22"/>
              </w:rPr>
            </w:pPr>
            <w:r>
              <w:rPr>
                <w:rFonts w:asciiTheme="minorHAnsi" w:hAnsiTheme="minorHAnsi" w:cstheme="minorHAnsi"/>
                <w:b/>
                <w:color w:val="000000"/>
                <w:sz w:val="22"/>
              </w:rPr>
              <w:t>49.63</w:t>
            </w:r>
          </w:p>
        </w:tc>
        <w:tc>
          <w:tcPr>
            <w:tcW w:w="1169" w:type="dxa"/>
            <w:vAlign w:val="center"/>
          </w:tcPr>
          <w:p w:rsidR="00107B46" w:rsidRPr="00EB4B17" w:rsidRDefault="00107B46" w:rsidP="002F2638">
            <w:pPr>
              <w:spacing w:line="240" w:lineRule="auto"/>
              <w:jc w:val="right"/>
              <w:rPr>
                <w:rFonts w:asciiTheme="minorHAnsi" w:hAnsiTheme="minorHAnsi" w:cstheme="minorHAnsi"/>
                <w:b/>
                <w:color w:val="000000"/>
                <w:sz w:val="22"/>
              </w:rPr>
            </w:pPr>
            <w:r>
              <w:rPr>
                <w:rFonts w:asciiTheme="minorHAnsi" w:hAnsiTheme="minorHAnsi" w:cstheme="minorHAnsi"/>
                <w:b/>
                <w:color w:val="000000"/>
                <w:sz w:val="22"/>
              </w:rPr>
              <w:t>52.74</w:t>
            </w:r>
          </w:p>
        </w:tc>
      </w:tr>
      <w:tr w:rsidR="00107B46" w:rsidRPr="00346D94" w:rsidTr="009B0463">
        <w:trPr>
          <w:jc w:val="center"/>
        </w:trPr>
        <w:tc>
          <w:tcPr>
            <w:tcW w:w="3959" w:type="dxa"/>
          </w:tcPr>
          <w:p w:rsidR="00107B46" w:rsidRPr="00346D94" w:rsidRDefault="00107B46" w:rsidP="009B0463">
            <w:pPr>
              <w:rPr>
                <w:rFonts w:asciiTheme="minorHAnsi" w:hAnsiTheme="minorHAnsi" w:cstheme="minorHAnsi"/>
                <w:i/>
                <w:sz w:val="22"/>
              </w:rPr>
            </w:pPr>
            <w:r>
              <w:rPr>
                <w:rFonts w:asciiTheme="minorHAnsi" w:hAnsiTheme="minorHAnsi" w:cstheme="minorHAnsi"/>
                <w:i/>
                <w:sz w:val="22"/>
              </w:rPr>
              <w:t xml:space="preserve">% of </w:t>
            </w:r>
            <w:r w:rsidR="009B0463">
              <w:rPr>
                <w:rFonts w:asciiTheme="minorHAnsi" w:hAnsiTheme="minorHAnsi" w:cstheme="minorHAnsi"/>
                <w:i/>
                <w:sz w:val="22"/>
              </w:rPr>
              <w:t xml:space="preserve">Total </w:t>
            </w:r>
            <w:r>
              <w:rPr>
                <w:rFonts w:asciiTheme="minorHAnsi" w:hAnsiTheme="minorHAnsi" w:cstheme="minorHAnsi"/>
                <w:i/>
                <w:sz w:val="22"/>
              </w:rPr>
              <w:t>G</w:t>
            </w:r>
            <w:r w:rsidR="009B0463">
              <w:rPr>
                <w:rFonts w:asciiTheme="minorHAnsi" w:hAnsiTheme="minorHAnsi" w:cstheme="minorHAnsi"/>
                <w:i/>
                <w:sz w:val="22"/>
              </w:rPr>
              <w:t>oods</w:t>
            </w:r>
            <w:r>
              <w:rPr>
                <w:rFonts w:asciiTheme="minorHAnsi" w:hAnsiTheme="minorHAnsi" w:cstheme="minorHAnsi"/>
                <w:i/>
                <w:sz w:val="22"/>
              </w:rPr>
              <w:t xml:space="preserve"> &amp; S</w:t>
            </w:r>
            <w:r w:rsidR="00E10F3B">
              <w:rPr>
                <w:rFonts w:asciiTheme="minorHAnsi" w:hAnsiTheme="minorHAnsi" w:cstheme="minorHAnsi"/>
                <w:i/>
                <w:sz w:val="22"/>
              </w:rPr>
              <w:t>ervices</w:t>
            </w:r>
            <w:r>
              <w:rPr>
                <w:rFonts w:asciiTheme="minorHAnsi" w:hAnsiTheme="minorHAnsi" w:cstheme="minorHAnsi"/>
                <w:i/>
                <w:sz w:val="22"/>
              </w:rPr>
              <w:t xml:space="preserve"> Expenditure</w:t>
            </w:r>
          </w:p>
        </w:tc>
        <w:tc>
          <w:tcPr>
            <w:tcW w:w="1134" w:type="dxa"/>
            <w:shd w:val="clear" w:color="auto" w:fill="auto"/>
            <w:vAlign w:val="center"/>
          </w:tcPr>
          <w:p w:rsidR="00107B46" w:rsidRPr="00346D94" w:rsidRDefault="00107B46" w:rsidP="00C45188">
            <w:pPr>
              <w:spacing w:line="240" w:lineRule="auto"/>
              <w:jc w:val="right"/>
              <w:rPr>
                <w:rFonts w:asciiTheme="minorHAnsi" w:eastAsia="Times New Roman" w:hAnsiTheme="minorHAnsi" w:cstheme="minorHAnsi"/>
                <w:bCs/>
                <w:i/>
                <w:iCs/>
                <w:color w:val="000000"/>
                <w:sz w:val="22"/>
              </w:rPr>
            </w:pPr>
            <w:r>
              <w:rPr>
                <w:rFonts w:asciiTheme="minorHAnsi" w:eastAsia="Times New Roman" w:hAnsiTheme="minorHAnsi" w:cstheme="minorHAnsi"/>
                <w:bCs/>
                <w:i/>
                <w:iCs/>
                <w:color w:val="000000"/>
                <w:sz w:val="22"/>
              </w:rPr>
              <w:t>4.3%</w:t>
            </w:r>
          </w:p>
        </w:tc>
        <w:tc>
          <w:tcPr>
            <w:tcW w:w="1134" w:type="dxa"/>
            <w:vAlign w:val="center"/>
          </w:tcPr>
          <w:p w:rsidR="00107B46" w:rsidRPr="00346D94" w:rsidRDefault="00107B46" w:rsidP="002F2638">
            <w:pPr>
              <w:spacing w:line="240" w:lineRule="auto"/>
              <w:jc w:val="right"/>
              <w:rPr>
                <w:rFonts w:asciiTheme="minorHAnsi" w:hAnsiTheme="minorHAnsi" w:cstheme="minorHAnsi"/>
                <w:bCs/>
                <w:i/>
                <w:iCs/>
                <w:color w:val="000000"/>
                <w:sz w:val="22"/>
              </w:rPr>
            </w:pPr>
            <w:r>
              <w:rPr>
                <w:rFonts w:asciiTheme="minorHAnsi" w:hAnsiTheme="minorHAnsi" w:cstheme="minorHAnsi"/>
                <w:bCs/>
                <w:i/>
                <w:iCs/>
                <w:color w:val="000000"/>
                <w:sz w:val="22"/>
              </w:rPr>
              <w:t>4.0%</w:t>
            </w:r>
          </w:p>
        </w:tc>
        <w:tc>
          <w:tcPr>
            <w:tcW w:w="1169" w:type="dxa"/>
            <w:vAlign w:val="center"/>
          </w:tcPr>
          <w:p w:rsidR="00107B46" w:rsidRPr="00EB4B17" w:rsidRDefault="00107B46" w:rsidP="002F2638">
            <w:pPr>
              <w:spacing w:line="240" w:lineRule="auto"/>
              <w:jc w:val="right"/>
              <w:rPr>
                <w:rFonts w:asciiTheme="minorHAnsi" w:hAnsiTheme="minorHAnsi" w:cstheme="minorHAnsi"/>
                <w:bCs/>
                <w:iCs/>
                <w:color w:val="000000"/>
                <w:sz w:val="22"/>
              </w:rPr>
            </w:pPr>
            <w:r>
              <w:rPr>
                <w:rFonts w:asciiTheme="minorHAnsi" w:hAnsiTheme="minorHAnsi" w:cstheme="minorHAnsi"/>
                <w:bCs/>
                <w:iCs/>
                <w:color w:val="000000"/>
                <w:sz w:val="22"/>
              </w:rPr>
              <w:t>3.7%</w:t>
            </w:r>
          </w:p>
        </w:tc>
      </w:tr>
    </w:tbl>
    <w:p w:rsidR="00107B46" w:rsidRDefault="00107B46" w:rsidP="00FD147E"/>
    <w:p w:rsidR="00E22F3F" w:rsidRDefault="003D5C25" w:rsidP="003D5C25">
      <w:r>
        <w:t xml:space="preserve">The figures </w:t>
      </w:r>
      <w:r w:rsidR="004E743F">
        <w:t>i</w:t>
      </w:r>
      <w:r w:rsidR="00E81FE1">
        <w:t xml:space="preserve">n </w:t>
      </w:r>
      <w:r w:rsidR="00E10F3B">
        <w:fldChar w:fldCharType="begin"/>
      </w:r>
      <w:r w:rsidR="00E10F3B">
        <w:instrText xml:space="preserve"> REF _Ref497910524 \h </w:instrText>
      </w:r>
      <w:r w:rsidR="00E10F3B">
        <w:fldChar w:fldCharType="separate"/>
      </w:r>
      <w:r w:rsidR="00AF12ED">
        <w:t xml:space="preserve">Table </w:t>
      </w:r>
      <w:r w:rsidR="00AF12ED">
        <w:rPr>
          <w:noProof/>
        </w:rPr>
        <w:t>7</w:t>
      </w:r>
      <w:r w:rsidR="00E10F3B">
        <w:fldChar w:fldCharType="end"/>
      </w:r>
      <w:r w:rsidR="004E743F">
        <w:t xml:space="preserve"> above </w:t>
      </w:r>
      <w:r>
        <w:t xml:space="preserve">are not adjusted for inflation. </w:t>
      </w:r>
      <w:proofErr w:type="gramStart"/>
      <w:r>
        <w:t xml:space="preserve">When the real value of expenditure is calculated, the average telecommunications expenditure per household increases from 2003-04 to 2009-10, but declines </w:t>
      </w:r>
      <w:r w:rsidR="00E22F3F">
        <w:t>slight</w:t>
      </w:r>
      <w:r>
        <w:t>ly</w:t>
      </w:r>
      <w:r w:rsidR="00E22F3F">
        <w:t xml:space="preserve"> </w:t>
      </w:r>
      <w:r>
        <w:t>over the last 6 years</w:t>
      </w:r>
      <w:r w:rsidR="00E22F3F">
        <w:t>.</w:t>
      </w:r>
      <w:proofErr w:type="gramEnd"/>
      <w:r w:rsidR="00E22F3F">
        <w:t xml:space="preserve"> </w:t>
      </w:r>
      <w:r>
        <w:t>However, the situation is different for low income earners as real expenditure on telecommunications did not fall from 2009-10 to 2015-16 and has remained about the same or slightly increased as a proportion of household expenditure.</w:t>
      </w:r>
      <w:r w:rsidR="00E10F3B">
        <w:t xml:space="preserve"> This is illustrated in </w:t>
      </w:r>
      <w:r w:rsidR="00E10F3B">
        <w:fldChar w:fldCharType="begin"/>
      </w:r>
      <w:r w:rsidR="00E10F3B">
        <w:instrText xml:space="preserve"> REF _Ref497910669 \h </w:instrText>
      </w:r>
      <w:r w:rsidR="00E10F3B">
        <w:fldChar w:fldCharType="separate"/>
      </w:r>
      <w:r w:rsidR="00AF12ED">
        <w:t xml:space="preserve">Figure </w:t>
      </w:r>
      <w:r w:rsidR="00AF12ED">
        <w:rPr>
          <w:noProof/>
        </w:rPr>
        <w:t>8</w:t>
      </w:r>
      <w:r w:rsidR="00E10F3B">
        <w:fldChar w:fldCharType="end"/>
      </w:r>
      <w:r w:rsidR="00586B2A">
        <w:t xml:space="preserve"> and </w:t>
      </w:r>
      <w:r w:rsidR="00586B2A">
        <w:fldChar w:fldCharType="begin"/>
      </w:r>
      <w:r w:rsidR="00586B2A">
        <w:instrText xml:space="preserve"> REF _Ref497911522 \h </w:instrText>
      </w:r>
      <w:r w:rsidR="00586B2A">
        <w:fldChar w:fldCharType="separate"/>
      </w:r>
      <w:r w:rsidR="00AF12ED">
        <w:t xml:space="preserve">Figure </w:t>
      </w:r>
      <w:r w:rsidR="00AF12ED">
        <w:rPr>
          <w:noProof/>
        </w:rPr>
        <w:t>9</w:t>
      </w:r>
      <w:r w:rsidR="00586B2A">
        <w:fldChar w:fldCharType="end"/>
      </w:r>
      <w:r w:rsidR="00E10F3B">
        <w:t>.</w:t>
      </w:r>
    </w:p>
    <w:p w:rsidR="00586B2A" w:rsidRDefault="00586B2A" w:rsidP="003D5C25"/>
    <w:p w:rsidR="00E22F3F" w:rsidRDefault="003D5C25" w:rsidP="00461F1D">
      <w:pPr>
        <w:pStyle w:val="Caption"/>
        <w:keepNext/>
        <w:keepLines/>
      </w:pPr>
      <w:bookmarkStart w:id="40" w:name="_Ref497910669"/>
      <w:bookmarkStart w:id="41" w:name="_Toc498421778"/>
      <w:r>
        <w:t xml:space="preserve">Figure </w:t>
      </w:r>
      <w:fldSimple w:instr=" SEQ Figure \* ARABIC ">
        <w:r w:rsidR="00AF12ED">
          <w:rPr>
            <w:noProof/>
          </w:rPr>
          <w:t>8</w:t>
        </w:r>
      </w:fldSimple>
      <w:bookmarkEnd w:id="40"/>
      <w:r>
        <w:t>: Real Value of Telecommunication</w:t>
      </w:r>
      <w:r w:rsidR="00E10F3B">
        <w:t>s</w:t>
      </w:r>
      <w:r>
        <w:t xml:space="preserve"> Expenditure 2003-2016</w:t>
      </w:r>
      <w:bookmarkEnd w:id="41"/>
    </w:p>
    <w:p w:rsidR="00E22F3F" w:rsidRDefault="00CF177F" w:rsidP="003D5C25">
      <w:pPr>
        <w:jc w:val="center"/>
      </w:pPr>
      <w:r>
        <w:rPr>
          <w:noProof/>
        </w:rPr>
        <w:drawing>
          <wp:inline distT="0" distB="0" distL="0" distR="0" wp14:anchorId="0B4F08EE" wp14:editId="7216500D">
            <wp:extent cx="4556760" cy="2764155"/>
            <wp:effectExtent l="0" t="0" r="15240" b="17145"/>
            <wp:docPr id="20" name="Chart 20" descr="for average households, the real spend per week has slightly lowered in the last six years">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A558CD2-37CF-4B6D-A1BE-0DFC3C3A07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86B2A" w:rsidRDefault="00586B2A" w:rsidP="003D5C25">
      <w:pPr>
        <w:jc w:val="center"/>
      </w:pPr>
    </w:p>
    <w:p w:rsidR="00E22F3F" w:rsidRDefault="003D5C25" w:rsidP="00461F1D">
      <w:pPr>
        <w:pStyle w:val="Caption"/>
        <w:keepNext/>
        <w:keepLines/>
      </w:pPr>
      <w:bookmarkStart w:id="42" w:name="_Ref497911522"/>
      <w:bookmarkStart w:id="43" w:name="_Toc498421779"/>
      <w:r>
        <w:t xml:space="preserve">Figure </w:t>
      </w:r>
      <w:fldSimple w:instr=" SEQ Figure \* ARABIC ">
        <w:r w:rsidR="00AF12ED">
          <w:rPr>
            <w:noProof/>
          </w:rPr>
          <w:t>9</w:t>
        </w:r>
      </w:fldSimple>
      <w:bookmarkEnd w:id="42"/>
      <w:r>
        <w:t>: Telecommunication</w:t>
      </w:r>
      <w:r w:rsidR="00E10F3B">
        <w:t>s</w:t>
      </w:r>
      <w:r>
        <w:t xml:space="preserve"> as Share of Household Expenditure, 2003-16</w:t>
      </w:r>
      <w:bookmarkEnd w:id="43"/>
    </w:p>
    <w:p w:rsidR="003D5C25" w:rsidRDefault="00CF177F" w:rsidP="003D5C25">
      <w:pPr>
        <w:jc w:val="center"/>
      </w:pPr>
      <w:r>
        <w:rPr>
          <w:noProof/>
        </w:rPr>
        <w:drawing>
          <wp:inline distT="0" distB="0" distL="0" distR="0" wp14:anchorId="4FED7D76" wp14:editId="5A6E390D">
            <wp:extent cx="4572000" cy="2766060"/>
            <wp:effectExtent l="0" t="0" r="19050" b="15240"/>
            <wp:docPr id="21" name="Chart 21" descr="for those in the lowest quintile, the real spend per week has slightly increased in the last six years">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5586B11-1649-4AB0-BD1B-1A9CE04D52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B0463" w:rsidRDefault="009B0463">
      <w:pPr>
        <w:spacing w:before="120" w:after="0" w:line="240" w:lineRule="auto"/>
        <w:ind w:left="1440" w:hanging="720"/>
        <w:rPr>
          <w:rFonts w:eastAsia="Times New Roman" w:cs="Times New Roman"/>
          <w:color w:val="6C6C6C"/>
          <w:spacing w:val="16"/>
          <w:kern w:val="32"/>
          <w:sz w:val="52"/>
          <w:szCs w:val="52"/>
          <w:lang w:val="en-US" w:eastAsia="ja-JP"/>
        </w:rPr>
      </w:pPr>
      <w:bookmarkStart w:id="44" w:name="_Toc465167596"/>
      <w:r>
        <w:rPr>
          <w:rFonts w:eastAsia="Times New Roman" w:cs="Times New Roman"/>
          <w:color w:val="6C6C6C"/>
          <w:spacing w:val="16"/>
          <w:kern w:val="32"/>
          <w:sz w:val="52"/>
          <w:szCs w:val="52"/>
          <w:lang w:val="en-US" w:eastAsia="ja-JP"/>
        </w:rPr>
        <w:br w:type="page"/>
      </w:r>
    </w:p>
    <w:p w:rsidR="009B0463" w:rsidRDefault="009B0463" w:rsidP="009B0463">
      <w:pPr>
        <w:pStyle w:val="Heading1"/>
      </w:pPr>
      <w:bookmarkStart w:id="45" w:name="_Toc498421758"/>
      <w:r>
        <w:lastRenderedPageBreak/>
        <w:t>Further Research</w:t>
      </w:r>
      <w:bookmarkEnd w:id="45"/>
    </w:p>
    <w:p w:rsidR="009B0463" w:rsidRDefault="009B0463" w:rsidP="009B0463">
      <w:pPr>
        <w:rPr>
          <w:lang w:val="en-US" w:eastAsia="ja-JP"/>
        </w:rPr>
      </w:pPr>
      <w:r>
        <w:rPr>
          <w:lang w:val="en-US" w:eastAsia="ja-JP"/>
        </w:rPr>
        <w:t>The data in this report</w:t>
      </w:r>
      <w:r w:rsidR="0025582C">
        <w:rPr>
          <w:lang w:val="en-US" w:eastAsia="ja-JP"/>
        </w:rPr>
        <w:t xml:space="preserve"> is simply a snapshot of</w:t>
      </w:r>
      <w:r>
        <w:rPr>
          <w:lang w:val="en-US" w:eastAsia="ja-JP"/>
        </w:rPr>
        <w:t xml:space="preserve"> telecommunications expenditure based on the statistics published in the ABS </w:t>
      </w:r>
      <w:r>
        <w:rPr>
          <w:i/>
          <w:lang w:val="en-US" w:eastAsia="ja-JP"/>
        </w:rPr>
        <w:t xml:space="preserve">Household Expenditure Survey </w:t>
      </w:r>
      <w:r>
        <w:rPr>
          <w:lang w:val="en-US" w:eastAsia="ja-JP"/>
        </w:rPr>
        <w:t>(as at 10 November 2017). As such it is only a summary level analysis and there are several obvious gaps. The HES data on households with people with disability has not been published, and the state and territory data can’t be disaggregated by income, household composition or housing tenure. Analysis of these areas, and a more nuanced investigation of telecommunications expenditure, awaits the publication of further data and detailed analysis of the HES microdata.</w:t>
      </w:r>
    </w:p>
    <w:p w:rsidR="009B0463" w:rsidRPr="009B0463" w:rsidRDefault="009B0463" w:rsidP="009B0463">
      <w:pPr>
        <w:rPr>
          <w:lang w:val="en-US" w:eastAsia="ja-JP"/>
        </w:rPr>
      </w:pPr>
      <w:r>
        <w:rPr>
          <w:lang w:val="en-US" w:eastAsia="ja-JP"/>
        </w:rPr>
        <w:t>However, even with this summary data there are obvious trends which support the basic hypothesis that telecommunications expenditure is essential, significant and regressive. As such, the data continues to raise concerns about telecommunications affordability, particularly for those on low incomes.</w:t>
      </w:r>
    </w:p>
    <w:p w:rsidR="009B0463" w:rsidRDefault="009B0463">
      <w:pPr>
        <w:spacing w:before="120" w:after="0" w:line="240" w:lineRule="auto"/>
        <w:ind w:left="1440" w:hanging="720"/>
        <w:rPr>
          <w:rFonts w:eastAsia="Times New Roman" w:cs="Times New Roman"/>
          <w:color w:val="6C6C6C"/>
          <w:spacing w:val="16"/>
          <w:kern w:val="32"/>
          <w:sz w:val="52"/>
          <w:szCs w:val="52"/>
          <w:lang w:val="en-US" w:eastAsia="ja-JP"/>
        </w:rPr>
      </w:pPr>
      <w:r>
        <w:rPr>
          <w:rFonts w:eastAsia="Times New Roman" w:cs="Times New Roman"/>
          <w:color w:val="6C6C6C"/>
          <w:spacing w:val="16"/>
          <w:kern w:val="32"/>
          <w:sz w:val="52"/>
          <w:szCs w:val="52"/>
          <w:lang w:val="en-US" w:eastAsia="ja-JP"/>
        </w:rPr>
        <w:br w:type="page"/>
      </w:r>
    </w:p>
    <w:p w:rsidR="00632F29" w:rsidRPr="00632F29" w:rsidRDefault="00632F29" w:rsidP="00632F29">
      <w:pPr>
        <w:keepNext/>
        <w:pageBreakBefore/>
        <w:spacing w:after="600" w:line="240" w:lineRule="auto"/>
        <w:outlineLvl w:val="0"/>
        <w:rPr>
          <w:rFonts w:eastAsia="Times New Roman" w:cs="Times New Roman"/>
          <w:color w:val="6C6C6C"/>
          <w:spacing w:val="16"/>
          <w:kern w:val="32"/>
          <w:sz w:val="52"/>
          <w:szCs w:val="52"/>
          <w:lang w:val="en-US" w:eastAsia="ja-JP"/>
        </w:rPr>
      </w:pPr>
      <w:bookmarkStart w:id="46" w:name="_Toc498421759"/>
      <w:r w:rsidRPr="00632F29">
        <w:rPr>
          <w:rFonts w:eastAsia="Times New Roman" w:cs="Times New Roman"/>
          <w:color w:val="6C6C6C"/>
          <w:spacing w:val="16"/>
          <w:kern w:val="32"/>
          <w:sz w:val="52"/>
          <w:szCs w:val="52"/>
          <w:lang w:val="en-US" w:eastAsia="ja-JP"/>
        </w:rPr>
        <w:lastRenderedPageBreak/>
        <w:t>Author</w:t>
      </w:r>
      <w:bookmarkEnd w:id="44"/>
      <w:bookmarkEnd w:id="46"/>
    </w:p>
    <w:p w:rsidR="00632F29" w:rsidRPr="00632F29" w:rsidRDefault="00632F29" w:rsidP="00632F29">
      <w:pPr>
        <w:rPr>
          <w:rFonts w:eastAsia="Times New Roman"/>
          <w:b/>
        </w:rPr>
      </w:pPr>
      <w:r w:rsidRPr="00632F29">
        <w:rPr>
          <w:rFonts w:eastAsia="Times New Roman"/>
          <w:b/>
        </w:rPr>
        <w:t>Greg Ogle</w:t>
      </w:r>
    </w:p>
    <w:p w:rsidR="00632F29" w:rsidRPr="00632F29" w:rsidRDefault="00632F29" w:rsidP="00632F29">
      <w:pPr>
        <w:rPr>
          <w:rFonts w:eastAsia="Times New Roman"/>
          <w:lang w:val="en-US" w:eastAsia="ja-JP"/>
        </w:rPr>
      </w:pPr>
      <w:proofErr w:type="spellStart"/>
      <w:r w:rsidRPr="00632F29">
        <w:rPr>
          <w:rFonts w:eastAsia="Times New Roman"/>
          <w:lang w:val="en-US" w:eastAsia="ja-JP"/>
        </w:rPr>
        <w:t>Dr</w:t>
      </w:r>
      <w:proofErr w:type="spellEnd"/>
      <w:r w:rsidRPr="00632F29">
        <w:rPr>
          <w:rFonts w:eastAsia="Times New Roman"/>
          <w:lang w:val="en-US" w:eastAsia="ja-JP"/>
        </w:rPr>
        <w:t xml:space="preserve"> Greg Ogle is the Senior Policy and Research Analyst at the South Australian Council of Social Service</w:t>
      </w:r>
      <w:r w:rsidR="009B0463">
        <w:rPr>
          <w:rFonts w:eastAsia="Times New Roman"/>
          <w:lang w:val="en-US" w:eastAsia="ja-JP"/>
        </w:rPr>
        <w:t>. He</w:t>
      </w:r>
      <w:r w:rsidRPr="00632F29">
        <w:rPr>
          <w:rFonts w:eastAsia="Times New Roman"/>
          <w:lang w:val="en-US" w:eastAsia="ja-JP"/>
        </w:rPr>
        <w:t xml:space="preserve"> has authored the two SACOSS </w:t>
      </w:r>
      <w:r w:rsidRPr="00632F29">
        <w:rPr>
          <w:rFonts w:eastAsia="Times New Roman"/>
          <w:i/>
          <w:lang w:val="en-US" w:eastAsia="ja-JP"/>
        </w:rPr>
        <w:t>Cost of Living Updates</w:t>
      </w:r>
      <w:r w:rsidRPr="00632F29">
        <w:rPr>
          <w:rFonts w:eastAsia="Times New Roman"/>
          <w:lang w:val="en-US" w:eastAsia="ja-JP"/>
        </w:rPr>
        <w:t xml:space="preserve"> on telecommunications (2013, 2015)</w:t>
      </w:r>
      <w:r w:rsidR="009B0463">
        <w:rPr>
          <w:rFonts w:eastAsia="Times New Roman"/>
          <w:lang w:val="en-US" w:eastAsia="ja-JP"/>
        </w:rPr>
        <w:t xml:space="preserve">, as well as </w:t>
      </w:r>
      <w:r w:rsidR="0025582C">
        <w:rPr>
          <w:rFonts w:eastAsia="Times New Roman"/>
          <w:lang w:val="en-US" w:eastAsia="ja-JP"/>
        </w:rPr>
        <w:t xml:space="preserve">co-authoring (with Vanessa Musolino) </w:t>
      </w:r>
      <w:r w:rsidR="009B0463">
        <w:rPr>
          <w:rFonts w:eastAsia="Times New Roman"/>
          <w:lang w:val="en-US" w:eastAsia="ja-JP"/>
        </w:rPr>
        <w:t>the ACCAN-SACOSS</w:t>
      </w:r>
      <w:r w:rsidR="0025582C">
        <w:rPr>
          <w:rFonts w:eastAsia="Times New Roman"/>
          <w:lang w:val="en-US" w:eastAsia="ja-JP"/>
        </w:rPr>
        <w:t xml:space="preserve"> report</w:t>
      </w:r>
      <w:r w:rsidR="009B0463">
        <w:rPr>
          <w:rFonts w:eastAsia="Times New Roman"/>
          <w:lang w:val="en-US" w:eastAsia="ja-JP"/>
        </w:rPr>
        <w:t xml:space="preserve"> </w:t>
      </w:r>
      <w:r w:rsidR="009B0463">
        <w:rPr>
          <w:rFonts w:eastAsia="Times New Roman"/>
          <w:i/>
          <w:lang w:val="en-US" w:eastAsia="ja-JP"/>
        </w:rPr>
        <w:t>Connectivity Costs: Telecommunications Affordability for Low Income Australians (201</w:t>
      </w:r>
      <w:r w:rsidR="00BE7877">
        <w:rPr>
          <w:rFonts w:eastAsia="Times New Roman"/>
          <w:i/>
          <w:lang w:val="en-US" w:eastAsia="ja-JP"/>
        </w:rPr>
        <w:t>6</w:t>
      </w:r>
      <w:r w:rsidR="009B0463">
        <w:rPr>
          <w:rFonts w:eastAsia="Times New Roman"/>
          <w:i/>
          <w:lang w:val="en-US" w:eastAsia="ja-JP"/>
        </w:rPr>
        <w:t>)</w:t>
      </w:r>
      <w:r w:rsidRPr="00632F29">
        <w:rPr>
          <w:rFonts w:eastAsia="Times New Roman"/>
          <w:lang w:val="en-US" w:eastAsia="ja-JP"/>
        </w:rPr>
        <w:t>. He has a PhD in political economy from the University of Adelaide.</w:t>
      </w:r>
    </w:p>
    <w:p w:rsidR="003D5C25" w:rsidRPr="00FD147E" w:rsidRDefault="003D5C25" w:rsidP="00FD147E"/>
    <w:sectPr w:rsidR="003D5C25" w:rsidRPr="00FD147E" w:rsidSect="00021373">
      <w:footerReference w:type="default" r:id="rId2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3F" w:rsidRDefault="003E113F" w:rsidP="008A0612">
      <w:pPr>
        <w:spacing w:line="240" w:lineRule="auto"/>
      </w:pPr>
      <w:r>
        <w:separator/>
      </w:r>
    </w:p>
  </w:endnote>
  <w:endnote w:type="continuationSeparator" w:id="0">
    <w:p w:rsidR="003E113F" w:rsidRDefault="003E113F" w:rsidP="008A0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800009"/>
      <w:docPartObj>
        <w:docPartGallery w:val="Page Numbers (Bottom of Page)"/>
        <w:docPartUnique/>
      </w:docPartObj>
    </w:sdtPr>
    <w:sdtEndPr/>
    <w:sdtContent>
      <w:p w:rsidR="003E113F" w:rsidRDefault="003E113F" w:rsidP="00485EA5">
        <w:pPr>
          <w:pStyle w:val="Footer"/>
        </w:pPr>
        <w:r>
          <mc:AlternateContent>
            <mc:Choice Requires="wps">
              <w:drawing>
                <wp:anchor distT="0" distB="0" distL="114300" distR="114300" simplePos="0" relativeHeight="251660288" behindDoc="0" locked="0" layoutInCell="1" allowOverlap="1" wp14:anchorId="2F295621" wp14:editId="5FD9F91E">
                  <wp:simplePos x="0" y="0"/>
                  <wp:positionH relativeFrom="column">
                    <wp:posOffset>-882650</wp:posOffset>
                  </wp:positionH>
                  <wp:positionV relativeFrom="paragraph">
                    <wp:posOffset>69215</wp:posOffset>
                  </wp:positionV>
                  <wp:extent cx="7505700" cy="105410"/>
                  <wp:effectExtent l="0" t="0" r="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105410"/>
                          </a:xfrm>
                          <a:prstGeom prst="rect">
                            <a:avLst/>
                          </a:prstGeom>
                          <a:gradFill rotWithShape="1">
                            <a:gsLst>
                              <a:gs pos="0">
                                <a:srgbClr val="FFFFFF"/>
                              </a:gs>
                              <a:gs pos="50000">
                                <a:srgbClr val="44C8F5"/>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9.5pt;margin-top:5.45pt;width:591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" stroked="f">
                  <v:fill color2="#44c8f5" rotate="t" angle="90" focus="50%" type="gradient"/>
                </v:rect>
              </w:pict>
            </mc:Fallback>
          </mc:AlternateContent>
        </w:r>
      </w:p>
      <w:p w:rsidR="003E113F" w:rsidRDefault="003E113F" w:rsidP="00485EA5">
        <w:pPr>
          <w:pStyle w:val="Footer"/>
        </w:pPr>
      </w:p>
      <w:p w:rsidR="003E113F" w:rsidRDefault="003E113F" w:rsidP="00485EA5">
        <w:pPr>
          <w:pStyle w:val="Footer"/>
        </w:pPr>
        <w:r>
          <mc:AlternateContent>
            <mc:Choice Requires="wps">
              <w:drawing>
                <wp:anchor distT="0" distB="0" distL="114300" distR="114300" simplePos="0" relativeHeight="251658240" behindDoc="0" locked="0" layoutInCell="1" allowOverlap="1" wp14:anchorId="4836D887" wp14:editId="7B1D8AB5">
                  <wp:simplePos x="0" y="0"/>
                  <wp:positionH relativeFrom="column">
                    <wp:posOffset>40640</wp:posOffset>
                  </wp:positionH>
                  <wp:positionV relativeFrom="paragraph">
                    <wp:posOffset>9698990</wp:posOffset>
                  </wp:positionV>
                  <wp:extent cx="7505700" cy="105410"/>
                  <wp:effectExtent l="0" t="2540" r="127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105410"/>
                          </a:xfrm>
                          <a:prstGeom prst="rect">
                            <a:avLst/>
                          </a:prstGeom>
                          <a:gradFill rotWithShape="1">
                            <a:gsLst>
                              <a:gs pos="0">
                                <a:srgbClr val="FFFFFF"/>
                              </a:gs>
                              <a:gs pos="50000">
                                <a:srgbClr val="44C8F5"/>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pt;margin-top:763.7pt;width:591pt;height: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" stroked="f">
                  <v:fill color2="#44c8f5" rotate="t" angle="90" focus="50%" type="gradient"/>
                </v:rect>
              </w:pict>
            </mc:Fallback>
          </mc:AlternateContent>
        </w:r>
        <w:r>
          <w:rPr>
            <w:noProof w:val="0"/>
          </w:rPr>
          <w:fldChar w:fldCharType="begin"/>
        </w:r>
        <w:r>
          <w:instrText xml:space="preserve"> PAGE   \* MERGEFORMAT </w:instrText>
        </w:r>
        <w:r>
          <w:rPr>
            <w:noProof w:val="0"/>
          </w:rPr>
          <w:fldChar w:fldCharType="separate"/>
        </w:r>
        <w:r w:rsidR="00AF12ED">
          <w:t>iii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825222"/>
      <w:docPartObj>
        <w:docPartGallery w:val="Page Numbers (Bottom of Page)"/>
        <w:docPartUnique/>
      </w:docPartObj>
    </w:sdtPr>
    <w:sdtEndPr/>
    <w:sdtContent>
      <w:p w:rsidR="00060A5B" w:rsidRDefault="00060A5B" w:rsidP="00485EA5">
        <w:pPr>
          <w:pStyle w:val="Footer"/>
        </w:pPr>
        <w:r>
          <mc:AlternateContent>
            <mc:Choice Requires="wps">
              <w:drawing>
                <wp:anchor distT="0" distB="0" distL="114300" distR="114300" simplePos="0" relativeHeight="251663360" behindDoc="0" locked="0" layoutInCell="1" allowOverlap="1" wp14:anchorId="3FCAB5E2" wp14:editId="5EB06336">
                  <wp:simplePos x="0" y="0"/>
                  <wp:positionH relativeFrom="column">
                    <wp:posOffset>-882650</wp:posOffset>
                  </wp:positionH>
                  <wp:positionV relativeFrom="paragraph">
                    <wp:posOffset>69215</wp:posOffset>
                  </wp:positionV>
                  <wp:extent cx="7505700" cy="105410"/>
                  <wp:effectExtent l="0" t="0" r="0"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105410"/>
                          </a:xfrm>
                          <a:prstGeom prst="rect">
                            <a:avLst/>
                          </a:prstGeom>
                          <a:gradFill rotWithShape="1">
                            <a:gsLst>
                              <a:gs pos="0">
                                <a:srgbClr val="FFFFFF"/>
                              </a:gs>
                              <a:gs pos="50000">
                                <a:srgbClr val="44C8F5"/>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9.5pt;margin-top:5.45pt;width:591pt;height: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" stroked="f">
                  <v:fill color2="#44c8f5" rotate="t" angle="90" focus="50%" type="gradient"/>
                </v:rect>
              </w:pict>
            </mc:Fallback>
          </mc:AlternateContent>
        </w:r>
      </w:p>
      <w:p w:rsidR="00060A5B" w:rsidRDefault="00060A5B" w:rsidP="00485EA5">
        <w:pPr>
          <w:pStyle w:val="Footer"/>
        </w:pPr>
      </w:p>
      <w:p w:rsidR="00060A5B" w:rsidRDefault="00060A5B" w:rsidP="00485EA5">
        <w:pPr>
          <w:pStyle w:val="Footer"/>
        </w:pPr>
        <w:r>
          <mc:AlternateContent>
            <mc:Choice Requires="wps">
              <w:drawing>
                <wp:anchor distT="0" distB="0" distL="114300" distR="114300" simplePos="0" relativeHeight="251662336" behindDoc="0" locked="0" layoutInCell="1" allowOverlap="1" wp14:anchorId="2FDAECBA" wp14:editId="7CB87ACD">
                  <wp:simplePos x="0" y="0"/>
                  <wp:positionH relativeFrom="column">
                    <wp:posOffset>40640</wp:posOffset>
                  </wp:positionH>
                  <wp:positionV relativeFrom="paragraph">
                    <wp:posOffset>9698990</wp:posOffset>
                  </wp:positionV>
                  <wp:extent cx="7505700" cy="105410"/>
                  <wp:effectExtent l="0" t="2540" r="127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105410"/>
                          </a:xfrm>
                          <a:prstGeom prst="rect">
                            <a:avLst/>
                          </a:prstGeom>
                          <a:gradFill rotWithShape="1">
                            <a:gsLst>
                              <a:gs pos="0">
                                <a:srgbClr val="FFFFFF"/>
                              </a:gs>
                              <a:gs pos="50000">
                                <a:srgbClr val="44C8F5"/>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2pt;margin-top:763.7pt;width:591pt;height: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" stroked="f">
                  <v:fill color2="#44c8f5" rotate="t" angle="90" focus="50%" type="gradient"/>
                </v:rect>
              </w:pict>
            </mc:Fallback>
          </mc:AlternateContent>
        </w:r>
        <w:r>
          <w:rPr>
            <w:noProof w:val="0"/>
          </w:rPr>
          <w:fldChar w:fldCharType="begin"/>
        </w:r>
        <w:r>
          <w:instrText xml:space="preserve"> PAGE   \* MERGEFORMAT </w:instrText>
        </w:r>
        <w:r>
          <w:rPr>
            <w:noProof w:val="0"/>
          </w:rPr>
          <w:fldChar w:fldCharType="separate"/>
        </w:r>
        <w:r w:rsidR="00AF12ED">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3F" w:rsidRDefault="003E113F" w:rsidP="008A0612">
      <w:pPr>
        <w:spacing w:line="240" w:lineRule="auto"/>
      </w:pPr>
      <w:r>
        <w:separator/>
      </w:r>
    </w:p>
  </w:footnote>
  <w:footnote w:type="continuationSeparator" w:id="0">
    <w:p w:rsidR="003E113F" w:rsidRDefault="003E113F" w:rsidP="008A0612">
      <w:pPr>
        <w:spacing w:line="240" w:lineRule="auto"/>
      </w:pPr>
      <w:r>
        <w:continuationSeparator/>
      </w:r>
    </w:p>
  </w:footnote>
  <w:footnote w:id="1">
    <w:p w:rsidR="003E113F" w:rsidRDefault="003E113F">
      <w:pPr>
        <w:pStyle w:val="FootnoteText"/>
      </w:pPr>
      <w:r>
        <w:rPr>
          <w:rStyle w:val="FootnoteReference"/>
        </w:rPr>
        <w:footnoteRef/>
      </w:r>
      <w:r>
        <w:t xml:space="preserve"> </w:t>
      </w:r>
      <w:proofErr w:type="gramStart"/>
      <w:r w:rsidRPr="009B0463">
        <w:t xml:space="preserve">ABS (2017) </w:t>
      </w:r>
      <w:r w:rsidRPr="009B0463">
        <w:rPr>
          <w:i/>
        </w:rPr>
        <w:t>6530.0 Household Expenditure Survey, Australia 2015-16</w:t>
      </w:r>
      <w:r w:rsidRPr="009B0463">
        <w:t>, Australian Bureau of Statistics, Canberra.</w:t>
      </w:r>
      <w:proofErr w:type="gramEnd"/>
      <w:r>
        <w:t xml:space="preserve"> </w:t>
      </w:r>
      <w:hyperlink r:id="rId1" w:tooltip="ABS data page" w:history="1">
        <w:r w:rsidRPr="00B14D6F">
          <w:rPr>
            <w:rStyle w:val="Hyperlink"/>
          </w:rPr>
          <w:t>http://www.abs.gov.au/AUSSTATS/abs@.nsf/ProductsbyReleaseDate/45244540252D2FDDCA25710800769AD8?OpenDocument</w:t>
        </w:r>
      </w:hyperlink>
      <w:r>
        <w:t xml:space="preserve"> </w:t>
      </w:r>
    </w:p>
  </w:footnote>
  <w:footnote w:id="2">
    <w:p w:rsidR="003E113F" w:rsidRPr="009200E2" w:rsidRDefault="003E113F">
      <w:pPr>
        <w:pStyle w:val="FootnoteText"/>
      </w:pPr>
      <w:r>
        <w:rPr>
          <w:rStyle w:val="FootnoteReference"/>
        </w:rPr>
        <w:footnoteRef/>
      </w:r>
      <w:r>
        <w:t xml:space="preserve"> Home computer equipment is included as “recreational and education equipment” in the HES. The telecommunications categorisation here also excludes “postal services” which are included in the </w:t>
      </w:r>
      <w:r w:rsidRPr="008A0612">
        <w:t>“Communications</w:t>
      </w:r>
      <w:r>
        <w:t>” category in the summary HES.</w:t>
      </w:r>
    </w:p>
  </w:footnote>
  <w:footnote w:id="3">
    <w:p w:rsidR="003E113F" w:rsidRDefault="003E113F">
      <w:pPr>
        <w:pStyle w:val="FootnoteText"/>
      </w:pPr>
      <w:r>
        <w:rPr>
          <w:rStyle w:val="FootnoteReference"/>
        </w:rPr>
        <w:footnoteRef/>
      </w:r>
      <w:r w:rsidR="00302139">
        <w:t xml:space="preserve"> </w:t>
      </w:r>
      <w:r w:rsidRPr="009B0463">
        <w:rPr>
          <w:lang w:val="en-US"/>
        </w:rPr>
        <w:t xml:space="preserve">Thomas J, </w:t>
      </w:r>
      <w:proofErr w:type="spellStart"/>
      <w:r w:rsidRPr="009B0463">
        <w:rPr>
          <w:lang w:val="en-US"/>
        </w:rPr>
        <w:t>Barraket</w:t>
      </w:r>
      <w:proofErr w:type="spellEnd"/>
      <w:r w:rsidRPr="009B0463">
        <w:rPr>
          <w:lang w:val="en-US"/>
        </w:rPr>
        <w:t xml:space="preserve"> J, Wilson J, Ewing S, MacDonald T, Tucker J &amp; Rennie E (2017) </w:t>
      </w:r>
      <w:r w:rsidRPr="009B0463">
        <w:rPr>
          <w:i/>
          <w:lang w:val="en-US"/>
        </w:rPr>
        <w:t>Measuring Australia’s Digital Divide: The Australian Digital Inclusion Index 2017</w:t>
      </w:r>
      <w:r w:rsidRPr="009B0463">
        <w:rPr>
          <w:lang w:val="en-US"/>
        </w:rPr>
        <w:t>, RMIT University, Melbourne, for Telstra.</w:t>
      </w:r>
      <w:r>
        <w:rPr>
          <w:lang w:val="en-US"/>
        </w:rPr>
        <w:t xml:space="preserve"> </w:t>
      </w:r>
      <w:hyperlink r:id="rId2" w:tooltip="digital inclusion index home page" w:history="1">
        <w:r w:rsidRPr="00B14D6F">
          <w:rPr>
            <w:rStyle w:val="Hyperlink"/>
          </w:rPr>
          <w:t>https://digitalinclusionindex.org.au/</w:t>
        </w:r>
      </w:hyperlink>
      <w:r>
        <w:t xml:space="preserve"> </w:t>
      </w:r>
    </w:p>
  </w:footnote>
  <w:footnote w:id="4">
    <w:p w:rsidR="003E113F" w:rsidRPr="001170B0" w:rsidRDefault="003E113F">
      <w:pPr>
        <w:pStyle w:val="FootnoteText"/>
      </w:pPr>
      <w:r>
        <w:rPr>
          <w:rStyle w:val="FootnoteReference"/>
        </w:rPr>
        <w:footnoteRef/>
      </w:r>
      <w:r w:rsidR="00302139">
        <w:t xml:space="preserve"> </w:t>
      </w:r>
      <w:proofErr w:type="gramStart"/>
      <w:r>
        <w:t>SACOSS (2017) Anti-Poverty Week Statement 2017, South Australian Council of Social Service, Adelaide.</w:t>
      </w:r>
      <w:proofErr w:type="gramEnd"/>
      <w:r>
        <w:t xml:space="preserve"> </w:t>
      </w:r>
      <w:hyperlink r:id="rId3" w:tooltip="SACOSS anti poverty week statement" w:history="1">
        <w:r w:rsidRPr="00C16841">
          <w:rPr>
            <w:rStyle w:val="Hyperlink"/>
          </w:rPr>
          <w:t>https://www.sacoss.org.au/reports/anti-poverty-week</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66A0"/>
    <w:multiLevelType w:val="hybridMultilevel"/>
    <w:tmpl w:val="CA48B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FD5EDE"/>
    <w:multiLevelType w:val="hybridMultilevel"/>
    <w:tmpl w:val="88EE8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F1E3F59"/>
    <w:multiLevelType w:val="multilevel"/>
    <w:tmpl w:val="08ECACB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EEE79CA"/>
    <w:multiLevelType w:val="multilevel"/>
    <w:tmpl w:val="205E07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3C34C2D"/>
    <w:multiLevelType w:val="multilevel"/>
    <w:tmpl w:val="59C686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CBC5A6A"/>
    <w:multiLevelType w:val="multilevel"/>
    <w:tmpl w:val="2DFEEC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E547427"/>
    <w:multiLevelType w:val="hybridMultilevel"/>
    <w:tmpl w:val="BA804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287515"/>
    <w:multiLevelType w:val="multilevel"/>
    <w:tmpl w:val="01184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282C40"/>
    <w:multiLevelType w:val="multilevel"/>
    <w:tmpl w:val="54861DAC"/>
    <w:lvl w:ilvl="0">
      <w:start w:val="1"/>
      <w:numFmt w:val="bullet"/>
      <w:pStyle w:val="BullitTEX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75091C63"/>
    <w:multiLevelType w:val="multilevel"/>
    <w:tmpl w:val="84983E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7"/>
  </w:num>
  <w:num w:numId="3">
    <w:abstractNumId w:val="3"/>
  </w:num>
  <w:num w:numId="4">
    <w:abstractNumId w:val="9"/>
  </w:num>
  <w:num w:numId="5">
    <w:abstractNumId w:val="8"/>
  </w:num>
  <w:num w:numId="6">
    <w:abstractNumId w:val="4"/>
  </w:num>
  <w:num w:numId="7">
    <w:abstractNumId w:val="2"/>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90"/>
    <w:rsid w:val="00021373"/>
    <w:rsid w:val="00023273"/>
    <w:rsid w:val="000327EF"/>
    <w:rsid w:val="0003445D"/>
    <w:rsid w:val="00052BA2"/>
    <w:rsid w:val="00060A5B"/>
    <w:rsid w:val="00073A98"/>
    <w:rsid w:val="00077134"/>
    <w:rsid w:val="000841A4"/>
    <w:rsid w:val="00092F19"/>
    <w:rsid w:val="000A1163"/>
    <w:rsid w:val="000A2C42"/>
    <w:rsid w:val="000A4115"/>
    <w:rsid w:val="000A4875"/>
    <w:rsid w:val="000B7AA3"/>
    <w:rsid w:val="000D1C9B"/>
    <w:rsid w:val="000D337E"/>
    <w:rsid w:val="000D38FD"/>
    <w:rsid w:val="000F34A1"/>
    <w:rsid w:val="000F7DC4"/>
    <w:rsid w:val="00107B46"/>
    <w:rsid w:val="00111D65"/>
    <w:rsid w:val="001170B0"/>
    <w:rsid w:val="00122177"/>
    <w:rsid w:val="00126E12"/>
    <w:rsid w:val="0013496A"/>
    <w:rsid w:val="00145693"/>
    <w:rsid w:val="00166620"/>
    <w:rsid w:val="00174F04"/>
    <w:rsid w:val="001757D2"/>
    <w:rsid w:val="00182217"/>
    <w:rsid w:val="0019006E"/>
    <w:rsid w:val="001945D4"/>
    <w:rsid w:val="001A2EFF"/>
    <w:rsid w:val="001A41B3"/>
    <w:rsid w:val="001C0B99"/>
    <w:rsid w:val="001C398A"/>
    <w:rsid w:val="001E0519"/>
    <w:rsid w:val="001E189C"/>
    <w:rsid w:val="00212104"/>
    <w:rsid w:val="002138C4"/>
    <w:rsid w:val="002321E5"/>
    <w:rsid w:val="00243D10"/>
    <w:rsid w:val="00250FE8"/>
    <w:rsid w:val="0025582C"/>
    <w:rsid w:val="00272A18"/>
    <w:rsid w:val="00281E5B"/>
    <w:rsid w:val="00283419"/>
    <w:rsid w:val="00284E37"/>
    <w:rsid w:val="00287592"/>
    <w:rsid w:val="002900B5"/>
    <w:rsid w:val="00296A4C"/>
    <w:rsid w:val="002B78E4"/>
    <w:rsid w:val="002B7C7D"/>
    <w:rsid w:val="002C2C1B"/>
    <w:rsid w:val="002C4F90"/>
    <w:rsid w:val="002D6CB1"/>
    <w:rsid w:val="002F2638"/>
    <w:rsid w:val="00302139"/>
    <w:rsid w:val="00313A24"/>
    <w:rsid w:val="00321118"/>
    <w:rsid w:val="00327FEB"/>
    <w:rsid w:val="00346D94"/>
    <w:rsid w:val="00371342"/>
    <w:rsid w:val="00380660"/>
    <w:rsid w:val="003860FF"/>
    <w:rsid w:val="003A2B81"/>
    <w:rsid w:val="003D2F51"/>
    <w:rsid w:val="003D5C25"/>
    <w:rsid w:val="003E0461"/>
    <w:rsid w:val="003E113F"/>
    <w:rsid w:val="003E4F19"/>
    <w:rsid w:val="004025FB"/>
    <w:rsid w:val="00411D98"/>
    <w:rsid w:val="00424A69"/>
    <w:rsid w:val="00436372"/>
    <w:rsid w:val="004419B8"/>
    <w:rsid w:val="004559E7"/>
    <w:rsid w:val="00461F1D"/>
    <w:rsid w:val="00464DA9"/>
    <w:rsid w:val="0047591C"/>
    <w:rsid w:val="00484D4D"/>
    <w:rsid w:val="00485EA5"/>
    <w:rsid w:val="00491E2C"/>
    <w:rsid w:val="004A2E91"/>
    <w:rsid w:val="004B0C03"/>
    <w:rsid w:val="004C0620"/>
    <w:rsid w:val="004C6011"/>
    <w:rsid w:val="004C71B6"/>
    <w:rsid w:val="004D34DE"/>
    <w:rsid w:val="004D5453"/>
    <w:rsid w:val="004D5C6E"/>
    <w:rsid w:val="004E743F"/>
    <w:rsid w:val="005001A6"/>
    <w:rsid w:val="00506301"/>
    <w:rsid w:val="00510DCB"/>
    <w:rsid w:val="00526800"/>
    <w:rsid w:val="00531AD4"/>
    <w:rsid w:val="0053442B"/>
    <w:rsid w:val="00561922"/>
    <w:rsid w:val="005659CB"/>
    <w:rsid w:val="00575033"/>
    <w:rsid w:val="00581368"/>
    <w:rsid w:val="00585E3D"/>
    <w:rsid w:val="00586B2A"/>
    <w:rsid w:val="00591F68"/>
    <w:rsid w:val="005949CB"/>
    <w:rsid w:val="00594A13"/>
    <w:rsid w:val="0059570C"/>
    <w:rsid w:val="005C0965"/>
    <w:rsid w:val="005C7801"/>
    <w:rsid w:val="005D7BE3"/>
    <w:rsid w:val="0060249B"/>
    <w:rsid w:val="0060693B"/>
    <w:rsid w:val="00617173"/>
    <w:rsid w:val="00622BDE"/>
    <w:rsid w:val="00632F29"/>
    <w:rsid w:val="00637822"/>
    <w:rsid w:val="0064141E"/>
    <w:rsid w:val="00654D7D"/>
    <w:rsid w:val="00657AE3"/>
    <w:rsid w:val="00677878"/>
    <w:rsid w:val="00681A67"/>
    <w:rsid w:val="00691DEF"/>
    <w:rsid w:val="006A5CF0"/>
    <w:rsid w:val="006A6037"/>
    <w:rsid w:val="006B0113"/>
    <w:rsid w:val="006B13CD"/>
    <w:rsid w:val="006D4206"/>
    <w:rsid w:val="006D7097"/>
    <w:rsid w:val="006E4739"/>
    <w:rsid w:val="006F6AE0"/>
    <w:rsid w:val="007030EF"/>
    <w:rsid w:val="0076202A"/>
    <w:rsid w:val="00767592"/>
    <w:rsid w:val="00773E91"/>
    <w:rsid w:val="00777980"/>
    <w:rsid w:val="007A0BBF"/>
    <w:rsid w:val="007A0DB9"/>
    <w:rsid w:val="007A6C10"/>
    <w:rsid w:val="007B38D2"/>
    <w:rsid w:val="007B479F"/>
    <w:rsid w:val="007B6E98"/>
    <w:rsid w:val="007B7C9E"/>
    <w:rsid w:val="007C4F6F"/>
    <w:rsid w:val="007C64A6"/>
    <w:rsid w:val="007D29DD"/>
    <w:rsid w:val="007E494D"/>
    <w:rsid w:val="007E6471"/>
    <w:rsid w:val="00805188"/>
    <w:rsid w:val="008057FF"/>
    <w:rsid w:val="00807FB0"/>
    <w:rsid w:val="0081064D"/>
    <w:rsid w:val="0083742C"/>
    <w:rsid w:val="00846E4B"/>
    <w:rsid w:val="00851C1E"/>
    <w:rsid w:val="00853BC0"/>
    <w:rsid w:val="00854226"/>
    <w:rsid w:val="00867519"/>
    <w:rsid w:val="008965E6"/>
    <w:rsid w:val="008A0612"/>
    <w:rsid w:val="008A2B7D"/>
    <w:rsid w:val="008D011D"/>
    <w:rsid w:val="008E66E7"/>
    <w:rsid w:val="009039D5"/>
    <w:rsid w:val="00905859"/>
    <w:rsid w:val="009200E2"/>
    <w:rsid w:val="00921ED7"/>
    <w:rsid w:val="009254D8"/>
    <w:rsid w:val="00933075"/>
    <w:rsid w:val="00944B12"/>
    <w:rsid w:val="00944B2E"/>
    <w:rsid w:val="00953FE8"/>
    <w:rsid w:val="00954004"/>
    <w:rsid w:val="009570D7"/>
    <w:rsid w:val="00960DB9"/>
    <w:rsid w:val="009625C4"/>
    <w:rsid w:val="009671D3"/>
    <w:rsid w:val="00973C1B"/>
    <w:rsid w:val="00982A94"/>
    <w:rsid w:val="0098548B"/>
    <w:rsid w:val="009A0853"/>
    <w:rsid w:val="009A0CAC"/>
    <w:rsid w:val="009B0463"/>
    <w:rsid w:val="009E00EA"/>
    <w:rsid w:val="009F144F"/>
    <w:rsid w:val="009F320A"/>
    <w:rsid w:val="009F4F25"/>
    <w:rsid w:val="00A01423"/>
    <w:rsid w:val="00A26F7A"/>
    <w:rsid w:val="00A52834"/>
    <w:rsid w:val="00A54544"/>
    <w:rsid w:val="00A7173D"/>
    <w:rsid w:val="00A725EC"/>
    <w:rsid w:val="00A7359F"/>
    <w:rsid w:val="00A81DF8"/>
    <w:rsid w:val="00A84C79"/>
    <w:rsid w:val="00A97792"/>
    <w:rsid w:val="00AA0158"/>
    <w:rsid w:val="00AB6C07"/>
    <w:rsid w:val="00AC06AD"/>
    <w:rsid w:val="00AC3A6B"/>
    <w:rsid w:val="00AE1139"/>
    <w:rsid w:val="00AE51AC"/>
    <w:rsid w:val="00AE7455"/>
    <w:rsid w:val="00AF12ED"/>
    <w:rsid w:val="00AF216A"/>
    <w:rsid w:val="00B11060"/>
    <w:rsid w:val="00B4155E"/>
    <w:rsid w:val="00B47E49"/>
    <w:rsid w:val="00B645A2"/>
    <w:rsid w:val="00B70EFD"/>
    <w:rsid w:val="00B775A4"/>
    <w:rsid w:val="00B77D25"/>
    <w:rsid w:val="00B87A70"/>
    <w:rsid w:val="00B903DC"/>
    <w:rsid w:val="00B931DD"/>
    <w:rsid w:val="00BA2192"/>
    <w:rsid w:val="00BA58A3"/>
    <w:rsid w:val="00BB4FD5"/>
    <w:rsid w:val="00BC78C0"/>
    <w:rsid w:val="00BE0E50"/>
    <w:rsid w:val="00BE1037"/>
    <w:rsid w:val="00BE2AD7"/>
    <w:rsid w:val="00BE2D5A"/>
    <w:rsid w:val="00BE49CE"/>
    <w:rsid w:val="00BE64CC"/>
    <w:rsid w:val="00BE7877"/>
    <w:rsid w:val="00BF05B3"/>
    <w:rsid w:val="00BF48E9"/>
    <w:rsid w:val="00BF5347"/>
    <w:rsid w:val="00C27954"/>
    <w:rsid w:val="00C32EFE"/>
    <w:rsid w:val="00C42B3B"/>
    <w:rsid w:val="00C45188"/>
    <w:rsid w:val="00C57F86"/>
    <w:rsid w:val="00CA4042"/>
    <w:rsid w:val="00CB2E32"/>
    <w:rsid w:val="00CB428E"/>
    <w:rsid w:val="00CB6930"/>
    <w:rsid w:val="00CD486D"/>
    <w:rsid w:val="00CE1B8B"/>
    <w:rsid w:val="00CF177F"/>
    <w:rsid w:val="00D17BD9"/>
    <w:rsid w:val="00D31182"/>
    <w:rsid w:val="00D43CCA"/>
    <w:rsid w:val="00D45E6A"/>
    <w:rsid w:val="00D6053F"/>
    <w:rsid w:val="00D6453F"/>
    <w:rsid w:val="00D7092D"/>
    <w:rsid w:val="00D77A98"/>
    <w:rsid w:val="00DA03E1"/>
    <w:rsid w:val="00DA07FD"/>
    <w:rsid w:val="00DA5FC1"/>
    <w:rsid w:val="00DA6C8A"/>
    <w:rsid w:val="00DB7281"/>
    <w:rsid w:val="00DE377E"/>
    <w:rsid w:val="00DE56C1"/>
    <w:rsid w:val="00DE6BB9"/>
    <w:rsid w:val="00E0156E"/>
    <w:rsid w:val="00E05565"/>
    <w:rsid w:val="00E10F3B"/>
    <w:rsid w:val="00E159BF"/>
    <w:rsid w:val="00E15C0F"/>
    <w:rsid w:val="00E22F3F"/>
    <w:rsid w:val="00E23453"/>
    <w:rsid w:val="00E24397"/>
    <w:rsid w:val="00E26ABB"/>
    <w:rsid w:val="00E26E94"/>
    <w:rsid w:val="00E46969"/>
    <w:rsid w:val="00E51AF8"/>
    <w:rsid w:val="00E52F5B"/>
    <w:rsid w:val="00E81FE1"/>
    <w:rsid w:val="00EA1F4E"/>
    <w:rsid w:val="00EA545D"/>
    <w:rsid w:val="00EB4B17"/>
    <w:rsid w:val="00EE1F77"/>
    <w:rsid w:val="00F0195D"/>
    <w:rsid w:val="00F10576"/>
    <w:rsid w:val="00F261A9"/>
    <w:rsid w:val="00F31E3F"/>
    <w:rsid w:val="00F40647"/>
    <w:rsid w:val="00F511FD"/>
    <w:rsid w:val="00F57310"/>
    <w:rsid w:val="00F6188A"/>
    <w:rsid w:val="00F633C5"/>
    <w:rsid w:val="00F77971"/>
    <w:rsid w:val="00F805DC"/>
    <w:rsid w:val="00FA0BBD"/>
    <w:rsid w:val="00FA0D39"/>
    <w:rsid w:val="00FD147E"/>
    <w:rsid w:val="00FE139F"/>
    <w:rsid w:val="00FE275A"/>
    <w:rsid w:val="00FE2A5D"/>
    <w:rsid w:val="00FF72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before="120"/>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6F"/>
    <w:pPr>
      <w:spacing w:before="0" w:after="120" w:line="288" w:lineRule="auto"/>
      <w:ind w:left="0" w:firstLine="0"/>
    </w:pPr>
    <w:rPr>
      <w:rFonts w:ascii="Arial" w:eastAsia="Cambria" w:hAnsi="Arial" w:cs="Cambria"/>
      <w:szCs w:val="20"/>
      <w:lang w:eastAsia="en-AU"/>
    </w:rPr>
  </w:style>
  <w:style w:type="paragraph" w:styleId="Heading1">
    <w:name w:val="heading 1"/>
    <w:basedOn w:val="Normal"/>
    <w:next w:val="Normal"/>
    <w:link w:val="Heading1Char"/>
    <w:uiPriority w:val="9"/>
    <w:qFormat/>
    <w:rsid w:val="007C4F6F"/>
    <w:pPr>
      <w:keepNext/>
      <w:pageBreakBefore/>
      <w:spacing w:after="600" w:line="240" w:lineRule="auto"/>
      <w:outlineLvl w:val="0"/>
    </w:pPr>
    <w:rPr>
      <w:rFonts w:eastAsia="Times New Roman" w:cs="Times New Roman"/>
      <w:color w:val="6C6C6C"/>
      <w:spacing w:val="16"/>
      <w:kern w:val="32"/>
      <w:sz w:val="52"/>
      <w:szCs w:val="52"/>
      <w:lang w:val="en-US" w:eastAsia="ja-JP"/>
    </w:rPr>
  </w:style>
  <w:style w:type="paragraph" w:styleId="Heading2">
    <w:name w:val="heading 2"/>
    <w:basedOn w:val="Normal"/>
    <w:next w:val="Normal"/>
    <w:link w:val="Heading2Char"/>
    <w:autoRedefine/>
    <w:qFormat/>
    <w:rsid w:val="007C4F6F"/>
    <w:pPr>
      <w:keepNext/>
      <w:keepLines/>
      <w:spacing w:before="240" w:line="300" w:lineRule="exact"/>
      <w:outlineLvl w:val="1"/>
    </w:pPr>
    <w:rPr>
      <w:b/>
      <w:bCs/>
      <w:spacing w:val="10"/>
      <w:sz w:val="28"/>
      <w:szCs w:val="26"/>
    </w:rPr>
  </w:style>
  <w:style w:type="paragraph" w:styleId="Heading3">
    <w:name w:val="heading 3"/>
    <w:basedOn w:val="Normal"/>
    <w:next w:val="Normal"/>
    <w:link w:val="Heading3Char"/>
    <w:qFormat/>
    <w:rsid w:val="007C4F6F"/>
    <w:pPr>
      <w:keepNext/>
      <w:keepLines/>
      <w:spacing w:before="240" w:after="60"/>
      <w:outlineLvl w:val="2"/>
    </w:pPr>
    <w:rPr>
      <w:bCs/>
      <w:spacing w:val="8"/>
      <w:sz w:val="28"/>
      <w:szCs w:val="28"/>
    </w:rPr>
  </w:style>
  <w:style w:type="paragraph" w:styleId="Heading4">
    <w:name w:val="heading 4"/>
    <w:basedOn w:val="Normal"/>
    <w:next w:val="Normal"/>
    <w:link w:val="Heading4Char"/>
    <w:qFormat/>
    <w:rsid w:val="007C4F6F"/>
    <w:pPr>
      <w:keepNext/>
      <w:keepLines/>
      <w:spacing w:before="240" w:after="60"/>
      <w:outlineLvl w:val="3"/>
    </w:pPr>
    <w:rPr>
      <w:b/>
      <w:bCs/>
      <w:spacing w:val="8"/>
      <w:sz w:val="24"/>
      <w:szCs w:val="24"/>
    </w:rPr>
  </w:style>
  <w:style w:type="paragraph" w:styleId="Heading5">
    <w:name w:val="heading 5"/>
    <w:basedOn w:val="Normal"/>
    <w:next w:val="Normal"/>
    <w:link w:val="Heading5Char"/>
    <w:qFormat/>
    <w:rsid w:val="007C4F6F"/>
    <w:pPr>
      <w:keepNext/>
      <w:keepLines/>
      <w:spacing w:before="220" w:after="40"/>
      <w:contextualSpacing/>
      <w:outlineLvl w:val="4"/>
    </w:pPr>
    <w:rPr>
      <w:b/>
    </w:rPr>
  </w:style>
  <w:style w:type="paragraph" w:styleId="Heading6">
    <w:name w:val="heading 6"/>
    <w:basedOn w:val="Normal"/>
    <w:next w:val="Normal"/>
    <w:link w:val="Heading6Char"/>
    <w:qFormat/>
    <w:rsid w:val="007C4F6F"/>
    <w:pPr>
      <w:keepNext/>
      <w:keepLines/>
      <w:spacing w:before="200" w:after="40"/>
      <w:contextualSpacing/>
      <w:outlineLvl w:val="5"/>
    </w:pPr>
    <w:rPr>
      <w:b/>
      <w:sz w:val="20"/>
    </w:rPr>
  </w:style>
  <w:style w:type="paragraph" w:styleId="Heading7">
    <w:name w:val="heading 7"/>
    <w:basedOn w:val="Normal"/>
    <w:next w:val="Normal"/>
    <w:link w:val="Heading7Char"/>
    <w:uiPriority w:val="9"/>
    <w:qFormat/>
    <w:rsid w:val="007C4F6F"/>
    <w:pPr>
      <w:spacing w:before="240" w:after="60"/>
      <w:outlineLvl w:val="6"/>
    </w:pPr>
    <w:rPr>
      <w:rFonts w:eastAsia="MS Mincho" w:cs="Times New Roman"/>
      <w:sz w:val="24"/>
      <w:szCs w:val="24"/>
    </w:rPr>
  </w:style>
  <w:style w:type="character" w:default="1" w:styleId="DefaultParagraphFont">
    <w:name w:val="Default Paragraph Font"/>
    <w:uiPriority w:val="1"/>
    <w:unhideWhenUsed/>
    <w:rsid w:val="007C4F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4F6F"/>
  </w:style>
  <w:style w:type="character" w:customStyle="1" w:styleId="Heading1Char">
    <w:name w:val="Heading 1 Char"/>
    <w:link w:val="Heading1"/>
    <w:uiPriority w:val="9"/>
    <w:rsid w:val="007C4F6F"/>
    <w:rPr>
      <w:rFonts w:ascii="Arial" w:hAnsi="Arial" w:cs="Times New Roman"/>
      <w:color w:val="6C6C6C"/>
      <w:spacing w:val="16"/>
      <w:kern w:val="32"/>
      <w:sz w:val="52"/>
      <w:szCs w:val="52"/>
      <w:lang w:val="en-US" w:eastAsia="ja-JP"/>
    </w:rPr>
  </w:style>
  <w:style w:type="character" w:customStyle="1" w:styleId="Heading2Char">
    <w:name w:val="Heading 2 Char"/>
    <w:basedOn w:val="DefaultParagraphFont"/>
    <w:link w:val="Heading2"/>
    <w:rsid w:val="00287592"/>
    <w:rPr>
      <w:rFonts w:ascii="Arial" w:eastAsia="Cambria" w:hAnsi="Arial" w:cs="Cambria"/>
      <w:b/>
      <w:bCs/>
      <w:spacing w:val="10"/>
      <w:sz w:val="28"/>
      <w:szCs w:val="26"/>
      <w:lang w:eastAsia="en-AU"/>
    </w:rPr>
  </w:style>
  <w:style w:type="character" w:customStyle="1" w:styleId="Heading3Char">
    <w:name w:val="Heading 3 Char"/>
    <w:basedOn w:val="DefaultParagraphFont"/>
    <w:link w:val="Heading3"/>
    <w:rsid w:val="009625C4"/>
    <w:rPr>
      <w:rFonts w:ascii="Arial" w:eastAsia="Cambria" w:hAnsi="Arial" w:cs="Cambria"/>
      <w:bCs/>
      <w:spacing w:val="8"/>
      <w:sz w:val="28"/>
      <w:szCs w:val="28"/>
      <w:lang w:eastAsia="en-AU"/>
    </w:rPr>
  </w:style>
  <w:style w:type="character" w:customStyle="1" w:styleId="Heading4Char">
    <w:name w:val="Heading 4 Char"/>
    <w:basedOn w:val="DefaultParagraphFont"/>
    <w:link w:val="Heading4"/>
    <w:rsid w:val="009625C4"/>
    <w:rPr>
      <w:rFonts w:ascii="Arial" w:eastAsia="Cambria" w:hAnsi="Arial" w:cs="Cambria"/>
      <w:b/>
      <w:bCs/>
      <w:spacing w:val="8"/>
      <w:sz w:val="24"/>
      <w:szCs w:val="24"/>
      <w:lang w:eastAsia="en-AU"/>
    </w:rPr>
  </w:style>
  <w:style w:type="character" w:customStyle="1" w:styleId="Heading5Char">
    <w:name w:val="Heading 5 Char"/>
    <w:basedOn w:val="DefaultParagraphFont"/>
    <w:link w:val="Heading5"/>
    <w:rsid w:val="009625C4"/>
    <w:rPr>
      <w:rFonts w:ascii="Arial" w:eastAsia="Cambria" w:hAnsi="Arial" w:cs="Cambria"/>
      <w:b/>
      <w:szCs w:val="20"/>
      <w:lang w:eastAsia="en-AU"/>
    </w:rPr>
  </w:style>
  <w:style w:type="character" w:customStyle="1" w:styleId="Heading6Char">
    <w:name w:val="Heading 6 Char"/>
    <w:basedOn w:val="DefaultParagraphFont"/>
    <w:link w:val="Heading6"/>
    <w:rsid w:val="00464DA9"/>
    <w:rPr>
      <w:rFonts w:ascii="Arial" w:eastAsia="Cambria" w:hAnsi="Arial" w:cs="Cambria"/>
      <w:b/>
      <w:sz w:val="20"/>
      <w:szCs w:val="20"/>
      <w:lang w:eastAsia="en-AU"/>
    </w:rPr>
  </w:style>
  <w:style w:type="paragraph" w:styleId="ListParagraph">
    <w:name w:val="List Paragraph"/>
    <w:basedOn w:val="Normal"/>
    <w:uiPriority w:val="34"/>
    <w:qFormat/>
    <w:rsid w:val="009625C4"/>
    <w:pPr>
      <w:ind w:left="720"/>
      <w:contextualSpacing/>
    </w:pPr>
  </w:style>
  <w:style w:type="paragraph" w:styleId="Caption">
    <w:name w:val="caption"/>
    <w:basedOn w:val="Normal"/>
    <w:next w:val="Normal"/>
    <w:uiPriority w:val="35"/>
    <w:unhideWhenUsed/>
    <w:qFormat/>
    <w:rsid w:val="007C4F6F"/>
    <w:rPr>
      <w:b/>
      <w:bCs/>
      <w:sz w:val="20"/>
    </w:rPr>
  </w:style>
  <w:style w:type="paragraph" w:styleId="EndnoteText">
    <w:name w:val="endnote text"/>
    <w:basedOn w:val="Normal"/>
    <w:link w:val="EndnoteTextChar"/>
    <w:uiPriority w:val="99"/>
    <w:unhideWhenUsed/>
    <w:rsid w:val="009625C4"/>
    <w:pPr>
      <w:ind w:left="720"/>
    </w:pPr>
    <w:rPr>
      <w:sz w:val="20"/>
    </w:rPr>
  </w:style>
  <w:style w:type="character" w:customStyle="1" w:styleId="EndnoteTextChar">
    <w:name w:val="Endnote Text Char"/>
    <w:basedOn w:val="DefaultParagraphFont"/>
    <w:link w:val="EndnoteText"/>
    <w:uiPriority w:val="99"/>
    <w:rsid w:val="009625C4"/>
    <w:rPr>
      <w:rFonts w:cs="Arial"/>
      <w:sz w:val="20"/>
      <w:szCs w:val="20"/>
    </w:rPr>
  </w:style>
  <w:style w:type="paragraph" w:styleId="FootnoteText">
    <w:name w:val="footnote text"/>
    <w:basedOn w:val="Normal"/>
    <w:link w:val="FootnoteTextChar"/>
    <w:uiPriority w:val="99"/>
    <w:unhideWhenUsed/>
    <w:rsid w:val="007C4F6F"/>
    <w:pPr>
      <w:spacing w:after="0" w:line="240" w:lineRule="auto"/>
    </w:pPr>
    <w:rPr>
      <w:sz w:val="20"/>
    </w:rPr>
  </w:style>
  <w:style w:type="character" w:customStyle="1" w:styleId="FootnoteTextChar">
    <w:name w:val="Footnote Text Char"/>
    <w:link w:val="FootnoteText"/>
    <w:uiPriority w:val="99"/>
    <w:rsid w:val="007C4F6F"/>
    <w:rPr>
      <w:rFonts w:ascii="Arial" w:eastAsia="Cambria" w:hAnsi="Arial" w:cs="Cambria"/>
      <w:sz w:val="20"/>
      <w:szCs w:val="20"/>
      <w:lang w:eastAsia="en-AU"/>
    </w:rPr>
  </w:style>
  <w:style w:type="paragraph" w:styleId="CommentText">
    <w:name w:val="annotation text"/>
    <w:basedOn w:val="Normal"/>
    <w:link w:val="CommentTextChar"/>
    <w:uiPriority w:val="99"/>
    <w:unhideWhenUsed/>
    <w:rsid w:val="007C4F6F"/>
    <w:pPr>
      <w:spacing w:line="240" w:lineRule="auto"/>
    </w:pPr>
    <w:rPr>
      <w:sz w:val="20"/>
    </w:rPr>
  </w:style>
  <w:style w:type="character" w:customStyle="1" w:styleId="CommentTextChar">
    <w:name w:val="Comment Text Char"/>
    <w:link w:val="CommentText"/>
    <w:uiPriority w:val="99"/>
    <w:rsid w:val="007C4F6F"/>
    <w:rPr>
      <w:rFonts w:ascii="Arial" w:eastAsia="Cambria" w:hAnsi="Arial" w:cs="Cambria"/>
      <w:sz w:val="20"/>
      <w:szCs w:val="20"/>
      <w:lang w:eastAsia="en-AU"/>
    </w:rPr>
  </w:style>
  <w:style w:type="table" w:styleId="TableGrid">
    <w:name w:val="Table Grid"/>
    <w:basedOn w:val="TableNormal"/>
    <w:uiPriority w:val="59"/>
    <w:rsid w:val="007C4F6F"/>
    <w:pPr>
      <w:spacing w:before="0"/>
      <w:ind w:left="0" w:firstLine="0"/>
    </w:pPr>
    <w:rPr>
      <w:rFonts w:ascii="Calibri" w:eastAsia="Calibri" w:hAnsi="Calibri" w:cs="Calibri"/>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unhideWhenUsed/>
    <w:rsid w:val="007C4F6F"/>
    <w:rPr>
      <w:vertAlign w:val="superscript"/>
    </w:rPr>
  </w:style>
  <w:style w:type="character" w:styleId="Hyperlink">
    <w:name w:val="Hyperlink"/>
    <w:uiPriority w:val="99"/>
    <w:unhideWhenUsed/>
    <w:qFormat/>
    <w:rsid w:val="007C4F6F"/>
    <w:rPr>
      <w:color w:val="auto"/>
      <w:u w:val="single"/>
    </w:rPr>
  </w:style>
  <w:style w:type="character" w:customStyle="1" w:styleId="UnresolvedMention1">
    <w:name w:val="Unresolved Mention1"/>
    <w:basedOn w:val="DefaultParagraphFont"/>
    <w:uiPriority w:val="99"/>
    <w:semiHidden/>
    <w:unhideWhenUsed/>
    <w:rsid w:val="001170B0"/>
    <w:rPr>
      <w:color w:val="808080"/>
      <w:shd w:val="clear" w:color="auto" w:fill="E6E6E6"/>
    </w:rPr>
  </w:style>
  <w:style w:type="paragraph" w:styleId="TOCHeading">
    <w:name w:val="TOC Heading"/>
    <w:basedOn w:val="Heading1"/>
    <w:next w:val="Normal"/>
    <w:uiPriority w:val="39"/>
    <w:unhideWhenUsed/>
    <w:qFormat/>
    <w:rsid w:val="00AB6C07"/>
    <w:pPr>
      <w:spacing w:before="240" w:line="259" w:lineRule="auto"/>
      <w:outlineLvl w:val="9"/>
    </w:pPr>
    <w:rPr>
      <w:rFonts w:asciiTheme="majorHAnsi" w:eastAsiaTheme="majorEastAsia" w:hAnsiTheme="majorHAnsi" w:cstheme="majorBidi"/>
      <w:b/>
      <w:bCs/>
      <w:color w:val="365F91" w:themeColor="accent1" w:themeShade="BF"/>
      <w:sz w:val="32"/>
      <w:szCs w:val="32"/>
    </w:rPr>
  </w:style>
  <w:style w:type="paragraph" w:styleId="TOC1">
    <w:name w:val="toc 1"/>
    <w:basedOn w:val="Normal"/>
    <w:next w:val="Normal"/>
    <w:autoRedefine/>
    <w:uiPriority w:val="39"/>
    <w:unhideWhenUsed/>
    <w:rsid w:val="007C4F6F"/>
    <w:pPr>
      <w:spacing w:after="100"/>
    </w:pPr>
  </w:style>
  <w:style w:type="paragraph" w:styleId="TOC2">
    <w:name w:val="toc 2"/>
    <w:basedOn w:val="Normal"/>
    <w:next w:val="Normal"/>
    <w:autoRedefine/>
    <w:uiPriority w:val="39"/>
    <w:unhideWhenUsed/>
    <w:rsid w:val="007C4F6F"/>
    <w:pPr>
      <w:spacing w:after="100"/>
      <w:ind w:left="220"/>
    </w:pPr>
  </w:style>
  <w:style w:type="paragraph" w:styleId="TOC3">
    <w:name w:val="toc 3"/>
    <w:basedOn w:val="Normal"/>
    <w:next w:val="Normal"/>
    <w:autoRedefine/>
    <w:uiPriority w:val="39"/>
    <w:unhideWhenUsed/>
    <w:rsid w:val="007C4F6F"/>
    <w:pPr>
      <w:spacing w:after="100"/>
      <w:ind w:left="440"/>
    </w:pPr>
  </w:style>
  <w:style w:type="paragraph" w:styleId="Header">
    <w:name w:val="header"/>
    <w:basedOn w:val="Normal"/>
    <w:link w:val="HeaderChar"/>
    <w:uiPriority w:val="99"/>
    <w:unhideWhenUsed/>
    <w:rsid w:val="007C4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F6F"/>
    <w:rPr>
      <w:rFonts w:ascii="Arial" w:eastAsia="Cambria" w:hAnsi="Arial" w:cs="Cambria"/>
      <w:szCs w:val="20"/>
      <w:lang w:eastAsia="en-AU"/>
    </w:rPr>
  </w:style>
  <w:style w:type="paragraph" w:styleId="Footer">
    <w:name w:val="footer"/>
    <w:basedOn w:val="Normal"/>
    <w:link w:val="FooterChar"/>
    <w:autoRedefine/>
    <w:uiPriority w:val="99"/>
    <w:unhideWhenUsed/>
    <w:qFormat/>
    <w:rsid w:val="007C4F6F"/>
    <w:pPr>
      <w:tabs>
        <w:tab w:val="center" w:pos="4513"/>
        <w:tab w:val="right" w:pos="9026"/>
      </w:tabs>
      <w:spacing w:after="0" w:line="240" w:lineRule="auto"/>
      <w:jc w:val="center"/>
    </w:pPr>
    <w:rPr>
      <w:noProof/>
      <w:sz w:val="20"/>
      <w:szCs w:val="24"/>
    </w:rPr>
  </w:style>
  <w:style w:type="character" w:customStyle="1" w:styleId="FooterChar">
    <w:name w:val="Footer Char"/>
    <w:link w:val="Footer"/>
    <w:uiPriority w:val="99"/>
    <w:rsid w:val="007C4F6F"/>
    <w:rPr>
      <w:rFonts w:ascii="Arial" w:eastAsia="Cambria" w:hAnsi="Arial" w:cs="Cambria"/>
      <w:noProof/>
      <w:sz w:val="20"/>
      <w:szCs w:val="24"/>
      <w:lang w:eastAsia="en-AU"/>
    </w:rPr>
  </w:style>
  <w:style w:type="paragraph" w:styleId="BalloonText">
    <w:name w:val="Balloon Text"/>
    <w:basedOn w:val="Normal"/>
    <w:link w:val="BalloonTextChar"/>
    <w:uiPriority w:val="99"/>
    <w:semiHidden/>
    <w:unhideWhenUsed/>
    <w:rsid w:val="007C4F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4F6F"/>
    <w:rPr>
      <w:rFonts w:ascii="Tahoma" w:eastAsia="Cambria" w:hAnsi="Tahoma" w:cs="Tahoma"/>
      <w:sz w:val="16"/>
      <w:szCs w:val="16"/>
      <w:lang w:eastAsia="en-AU"/>
    </w:rPr>
  </w:style>
  <w:style w:type="character" w:styleId="CommentReference">
    <w:name w:val="annotation reference"/>
    <w:uiPriority w:val="99"/>
    <w:semiHidden/>
    <w:unhideWhenUsed/>
    <w:rsid w:val="007C4F6F"/>
    <w:rPr>
      <w:sz w:val="16"/>
      <w:szCs w:val="16"/>
    </w:rPr>
  </w:style>
  <w:style w:type="paragraph" w:styleId="CommentSubject">
    <w:name w:val="annotation subject"/>
    <w:basedOn w:val="CommentText"/>
    <w:next w:val="CommentText"/>
    <w:link w:val="CommentSubjectChar"/>
    <w:uiPriority w:val="99"/>
    <w:semiHidden/>
    <w:unhideWhenUsed/>
    <w:rsid w:val="00DA6C8A"/>
    <w:pPr>
      <w:spacing w:after="0"/>
    </w:pPr>
    <w:rPr>
      <w:b/>
      <w:bCs/>
    </w:rPr>
  </w:style>
  <w:style w:type="character" w:customStyle="1" w:styleId="CommentSubjectChar">
    <w:name w:val="Comment Subject Char"/>
    <w:basedOn w:val="CommentTextChar"/>
    <w:link w:val="CommentSubject"/>
    <w:uiPriority w:val="99"/>
    <w:semiHidden/>
    <w:rsid w:val="00DA6C8A"/>
    <w:rPr>
      <w:rFonts w:ascii="Calibri" w:eastAsiaTheme="minorHAnsi" w:hAnsi="Calibri" w:cs="Cambria"/>
      <w:b/>
      <w:bCs/>
      <w:sz w:val="20"/>
      <w:szCs w:val="20"/>
      <w:lang w:val="x-none" w:eastAsia="en-AU"/>
    </w:rPr>
  </w:style>
  <w:style w:type="character" w:styleId="FollowedHyperlink">
    <w:name w:val="FollowedHyperlink"/>
    <w:uiPriority w:val="99"/>
    <w:semiHidden/>
    <w:unhideWhenUsed/>
    <w:rsid w:val="007C4F6F"/>
    <w:rPr>
      <w:color w:val="59A8D1"/>
      <w:u w:val="single"/>
    </w:rPr>
  </w:style>
  <w:style w:type="character" w:customStyle="1" w:styleId="Heading7Char">
    <w:name w:val="Heading 7 Char"/>
    <w:link w:val="Heading7"/>
    <w:uiPriority w:val="9"/>
    <w:rsid w:val="007C4F6F"/>
    <w:rPr>
      <w:rFonts w:ascii="Arial" w:eastAsia="MS Mincho" w:hAnsi="Arial" w:cs="Times New Roman"/>
      <w:sz w:val="24"/>
      <w:szCs w:val="24"/>
      <w:lang w:eastAsia="en-AU"/>
    </w:rPr>
  </w:style>
  <w:style w:type="paragraph" w:styleId="Subtitle">
    <w:name w:val="Subtitle"/>
    <w:basedOn w:val="Normal"/>
    <w:next w:val="Normal"/>
    <w:link w:val="SubtitleChar"/>
    <w:qFormat/>
    <w:rsid w:val="007C4F6F"/>
    <w:pPr>
      <w:keepNext/>
      <w:keepLines/>
    </w:pPr>
    <w:rPr>
      <w:i/>
      <w:sz w:val="24"/>
    </w:rPr>
  </w:style>
  <w:style w:type="character" w:customStyle="1" w:styleId="SubtitleChar">
    <w:name w:val="Subtitle Char"/>
    <w:basedOn w:val="DefaultParagraphFont"/>
    <w:link w:val="Subtitle"/>
    <w:rsid w:val="00122177"/>
    <w:rPr>
      <w:rFonts w:ascii="Arial" w:eastAsia="Cambria" w:hAnsi="Arial" w:cs="Cambria"/>
      <w:i/>
      <w:sz w:val="24"/>
      <w:szCs w:val="20"/>
      <w:lang w:eastAsia="en-AU"/>
    </w:rPr>
  </w:style>
  <w:style w:type="paragraph" w:customStyle="1" w:styleId="TITLE1">
    <w:name w:val="TITLE 1"/>
    <w:next w:val="TITLE2"/>
    <w:rsid w:val="007C4F6F"/>
    <w:pPr>
      <w:spacing w:before="0" w:after="120" w:line="840" w:lineRule="exact"/>
      <w:ind w:left="0" w:firstLine="0"/>
    </w:pPr>
    <w:rPr>
      <w:rFonts w:ascii="Arial" w:eastAsia="Calibri" w:hAnsi="Arial" w:cs="Calibri"/>
      <w:noProof/>
      <w:color w:val="000000"/>
      <w:spacing w:val="10"/>
      <w:sz w:val="84"/>
      <w:szCs w:val="84"/>
      <w:lang w:val="en-US"/>
    </w:rPr>
  </w:style>
  <w:style w:type="paragraph" w:styleId="PlainText">
    <w:name w:val="Plain Text"/>
    <w:basedOn w:val="Normal"/>
    <w:link w:val="PlainTextChar"/>
    <w:uiPriority w:val="99"/>
    <w:unhideWhenUsed/>
    <w:rsid w:val="007C4F6F"/>
    <w:pPr>
      <w:spacing w:after="0" w:line="240" w:lineRule="auto"/>
    </w:pPr>
    <w:rPr>
      <w:rFonts w:ascii="Courier" w:eastAsia="MS Gothic" w:hAnsi="Courier" w:cs="Times New Roman"/>
      <w:sz w:val="21"/>
      <w:szCs w:val="21"/>
      <w:lang w:eastAsia="ja-JP"/>
    </w:rPr>
  </w:style>
  <w:style w:type="character" w:customStyle="1" w:styleId="PlainTextChar">
    <w:name w:val="Plain Text Char"/>
    <w:link w:val="PlainText"/>
    <w:uiPriority w:val="99"/>
    <w:rsid w:val="007C4F6F"/>
    <w:rPr>
      <w:rFonts w:ascii="Courier" w:eastAsia="MS Gothic" w:hAnsi="Courier" w:cs="Times New Roman"/>
      <w:sz w:val="21"/>
      <w:szCs w:val="21"/>
      <w:lang w:eastAsia="ja-JP"/>
    </w:rPr>
  </w:style>
  <w:style w:type="character" w:styleId="PageNumber">
    <w:name w:val="page number"/>
    <w:uiPriority w:val="99"/>
    <w:semiHidden/>
    <w:unhideWhenUsed/>
    <w:rsid w:val="007C4F6F"/>
  </w:style>
  <w:style w:type="paragraph" w:customStyle="1" w:styleId="BullitTEXT">
    <w:name w:val="Bullit TEXT"/>
    <w:basedOn w:val="Normal"/>
    <w:autoRedefine/>
    <w:qFormat/>
    <w:rsid w:val="007C4F6F"/>
    <w:pPr>
      <w:numPr>
        <w:numId w:val="5"/>
      </w:numPr>
      <w:ind w:left="714" w:hanging="357"/>
      <w:contextualSpacing/>
    </w:pPr>
  </w:style>
  <w:style w:type="paragraph" w:customStyle="1" w:styleId="TITLE2">
    <w:name w:val="TITLE 2"/>
    <w:basedOn w:val="Normal"/>
    <w:rsid w:val="007C4F6F"/>
    <w:pPr>
      <w:spacing w:after="200" w:line="520" w:lineRule="exact"/>
      <w:ind w:left="-7"/>
      <w:jc w:val="center"/>
    </w:pPr>
    <w:rPr>
      <w:spacing w:val="7"/>
      <w:sz w:val="42"/>
      <w:szCs w:val="42"/>
    </w:rPr>
  </w:style>
  <w:style w:type="table" w:styleId="MediumGrid3-Accent3">
    <w:name w:val="Medium Grid 3 Accent 3"/>
    <w:basedOn w:val="TableNormal"/>
    <w:uiPriority w:val="60"/>
    <w:rsid w:val="007C4F6F"/>
    <w:pPr>
      <w:spacing w:before="0"/>
      <w:ind w:left="0" w:firstLine="0"/>
    </w:pPr>
    <w:rPr>
      <w:rFonts w:ascii="Calibri" w:eastAsia="Calibri" w:hAnsi="Calibri" w:cs="Calibri"/>
      <w:sz w:val="20"/>
      <w:szCs w:val="20"/>
      <w:lang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Revision">
    <w:name w:val="Revision"/>
    <w:hidden/>
    <w:uiPriority w:val="99"/>
    <w:semiHidden/>
    <w:rsid w:val="00767592"/>
    <w:pPr>
      <w:spacing w:before="0"/>
      <w:ind w:left="0" w:firstLine="0"/>
    </w:pPr>
    <w:rPr>
      <w:rFonts w:ascii="Arial" w:eastAsia="Cambria" w:hAnsi="Arial" w:cs="Cambria"/>
      <w:szCs w:val="20"/>
      <w:lang w:eastAsia="en-AU"/>
    </w:rPr>
  </w:style>
  <w:style w:type="paragraph" w:styleId="TableofFigures">
    <w:name w:val="table of figures"/>
    <w:basedOn w:val="Normal"/>
    <w:next w:val="Normal"/>
    <w:uiPriority w:val="99"/>
    <w:unhideWhenUsed/>
    <w:rsid w:val="00575033"/>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before="120"/>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6F"/>
    <w:pPr>
      <w:spacing w:before="0" w:after="120" w:line="288" w:lineRule="auto"/>
      <w:ind w:left="0" w:firstLine="0"/>
    </w:pPr>
    <w:rPr>
      <w:rFonts w:ascii="Arial" w:eastAsia="Cambria" w:hAnsi="Arial" w:cs="Cambria"/>
      <w:szCs w:val="20"/>
      <w:lang w:eastAsia="en-AU"/>
    </w:rPr>
  </w:style>
  <w:style w:type="paragraph" w:styleId="Heading1">
    <w:name w:val="heading 1"/>
    <w:basedOn w:val="Normal"/>
    <w:next w:val="Normal"/>
    <w:link w:val="Heading1Char"/>
    <w:uiPriority w:val="9"/>
    <w:qFormat/>
    <w:rsid w:val="007C4F6F"/>
    <w:pPr>
      <w:keepNext/>
      <w:pageBreakBefore/>
      <w:spacing w:after="600" w:line="240" w:lineRule="auto"/>
      <w:outlineLvl w:val="0"/>
    </w:pPr>
    <w:rPr>
      <w:rFonts w:eastAsia="Times New Roman" w:cs="Times New Roman"/>
      <w:color w:val="6C6C6C"/>
      <w:spacing w:val="16"/>
      <w:kern w:val="32"/>
      <w:sz w:val="52"/>
      <w:szCs w:val="52"/>
      <w:lang w:val="en-US" w:eastAsia="ja-JP"/>
    </w:rPr>
  </w:style>
  <w:style w:type="paragraph" w:styleId="Heading2">
    <w:name w:val="heading 2"/>
    <w:basedOn w:val="Normal"/>
    <w:next w:val="Normal"/>
    <w:link w:val="Heading2Char"/>
    <w:autoRedefine/>
    <w:qFormat/>
    <w:rsid w:val="007C4F6F"/>
    <w:pPr>
      <w:keepNext/>
      <w:keepLines/>
      <w:spacing w:before="240" w:line="300" w:lineRule="exact"/>
      <w:outlineLvl w:val="1"/>
    </w:pPr>
    <w:rPr>
      <w:b/>
      <w:bCs/>
      <w:spacing w:val="10"/>
      <w:sz w:val="28"/>
      <w:szCs w:val="26"/>
    </w:rPr>
  </w:style>
  <w:style w:type="paragraph" w:styleId="Heading3">
    <w:name w:val="heading 3"/>
    <w:basedOn w:val="Normal"/>
    <w:next w:val="Normal"/>
    <w:link w:val="Heading3Char"/>
    <w:qFormat/>
    <w:rsid w:val="007C4F6F"/>
    <w:pPr>
      <w:keepNext/>
      <w:keepLines/>
      <w:spacing w:before="240" w:after="60"/>
      <w:outlineLvl w:val="2"/>
    </w:pPr>
    <w:rPr>
      <w:bCs/>
      <w:spacing w:val="8"/>
      <w:sz w:val="28"/>
      <w:szCs w:val="28"/>
    </w:rPr>
  </w:style>
  <w:style w:type="paragraph" w:styleId="Heading4">
    <w:name w:val="heading 4"/>
    <w:basedOn w:val="Normal"/>
    <w:next w:val="Normal"/>
    <w:link w:val="Heading4Char"/>
    <w:qFormat/>
    <w:rsid w:val="007C4F6F"/>
    <w:pPr>
      <w:keepNext/>
      <w:keepLines/>
      <w:spacing w:before="240" w:after="60"/>
      <w:outlineLvl w:val="3"/>
    </w:pPr>
    <w:rPr>
      <w:b/>
      <w:bCs/>
      <w:spacing w:val="8"/>
      <w:sz w:val="24"/>
      <w:szCs w:val="24"/>
    </w:rPr>
  </w:style>
  <w:style w:type="paragraph" w:styleId="Heading5">
    <w:name w:val="heading 5"/>
    <w:basedOn w:val="Normal"/>
    <w:next w:val="Normal"/>
    <w:link w:val="Heading5Char"/>
    <w:qFormat/>
    <w:rsid w:val="007C4F6F"/>
    <w:pPr>
      <w:keepNext/>
      <w:keepLines/>
      <w:spacing w:before="220" w:after="40"/>
      <w:contextualSpacing/>
      <w:outlineLvl w:val="4"/>
    </w:pPr>
    <w:rPr>
      <w:b/>
    </w:rPr>
  </w:style>
  <w:style w:type="paragraph" w:styleId="Heading6">
    <w:name w:val="heading 6"/>
    <w:basedOn w:val="Normal"/>
    <w:next w:val="Normal"/>
    <w:link w:val="Heading6Char"/>
    <w:qFormat/>
    <w:rsid w:val="007C4F6F"/>
    <w:pPr>
      <w:keepNext/>
      <w:keepLines/>
      <w:spacing w:before="200" w:after="40"/>
      <w:contextualSpacing/>
      <w:outlineLvl w:val="5"/>
    </w:pPr>
    <w:rPr>
      <w:b/>
      <w:sz w:val="20"/>
    </w:rPr>
  </w:style>
  <w:style w:type="paragraph" w:styleId="Heading7">
    <w:name w:val="heading 7"/>
    <w:basedOn w:val="Normal"/>
    <w:next w:val="Normal"/>
    <w:link w:val="Heading7Char"/>
    <w:uiPriority w:val="9"/>
    <w:qFormat/>
    <w:rsid w:val="007C4F6F"/>
    <w:pPr>
      <w:spacing w:before="240" w:after="60"/>
      <w:outlineLvl w:val="6"/>
    </w:pPr>
    <w:rPr>
      <w:rFonts w:eastAsia="MS Mincho" w:cs="Times New Roman"/>
      <w:sz w:val="24"/>
      <w:szCs w:val="24"/>
    </w:rPr>
  </w:style>
  <w:style w:type="character" w:default="1" w:styleId="DefaultParagraphFont">
    <w:name w:val="Default Paragraph Font"/>
    <w:uiPriority w:val="1"/>
    <w:unhideWhenUsed/>
    <w:rsid w:val="007C4F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4F6F"/>
  </w:style>
  <w:style w:type="character" w:customStyle="1" w:styleId="Heading1Char">
    <w:name w:val="Heading 1 Char"/>
    <w:link w:val="Heading1"/>
    <w:uiPriority w:val="9"/>
    <w:rsid w:val="007C4F6F"/>
    <w:rPr>
      <w:rFonts w:ascii="Arial" w:hAnsi="Arial" w:cs="Times New Roman"/>
      <w:color w:val="6C6C6C"/>
      <w:spacing w:val="16"/>
      <w:kern w:val="32"/>
      <w:sz w:val="52"/>
      <w:szCs w:val="52"/>
      <w:lang w:val="en-US" w:eastAsia="ja-JP"/>
    </w:rPr>
  </w:style>
  <w:style w:type="character" w:customStyle="1" w:styleId="Heading2Char">
    <w:name w:val="Heading 2 Char"/>
    <w:basedOn w:val="DefaultParagraphFont"/>
    <w:link w:val="Heading2"/>
    <w:rsid w:val="00287592"/>
    <w:rPr>
      <w:rFonts w:ascii="Arial" w:eastAsia="Cambria" w:hAnsi="Arial" w:cs="Cambria"/>
      <w:b/>
      <w:bCs/>
      <w:spacing w:val="10"/>
      <w:sz w:val="28"/>
      <w:szCs w:val="26"/>
      <w:lang w:eastAsia="en-AU"/>
    </w:rPr>
  </w:style>
  <w:style w:type="character" w:customStyle="1" w:styleId="Heading3Char">
    <w:name w:val="Heading 3 Char"/>
    <w:basedOn w:val="DefaultParagraphFont"/>
    <w:link w:val="Heading3"/>
    <w:rsid w:val="009625C4"/>
    <w:rPr>
      <w:rFonts w:ascii="Arial" w:eastAsia="Cambria" w:hAnsi="Arial" w:cs="Cambria"/>
      <w:bCs/>
      <w:spacing w:val="8"/>
      <w:sz w:val="28"/>
      <w:szCs w:val="28"/>
      <w:lang w:eastAsia="en-AU"/>
    </w:rPr>
  </w:style>
  <w:style w:type="character" w:customStyle="1" w:styleId="Heading4Char">
    <w:name w:val="Heading 4 Char"/>
    <w:basedOn w:val="DefaultParagraphFont"/>
    <w:link w:val="Heading4"/>
    <w:rsid w:val="009625C4"/>
    <w:rPr>
      <w:rFonts w:ascii="Arial" w:eastAsia="Cambria" w:hAnsi="Arial" w:cs="Cambria"/>
      <w:b/>
      <w:bCs/>
      <w:spacing w:val="8"/>
      <w:sz w:val="24"/>
      <w:szCs w:val="24"/>
      <w:lang w:eastAsia="en-AU"/>
    </w:rPr>
  </w:style>
  <w:style w:type="character" w:customStyle="1" w:styleId="Heading5Char">
    <w:name w:val="Heading 5 Char"/>
    <w:basedOn w:val="DefaultParagraphFont"/>
    <w:link w:val="Heading5"/>
    <w:rsid w:val="009625C4"/>
    <w:rPr>
      <w:rFonts w:ascii="Arial" w:eastAsia="Cambria" w:hAnsi="Arial" w:cs="Cambria"/>
      <w:b/>
      <w:szCs w:val="20"/>
      <w:lang w:eastAsia="en-AU"/>
    </w:rPr>
  </w:style>
  <w:style w:type="character" w:customStyle="1" w:styleId="Heading6Char">
    <w:name w:val="Heading 6 Char"/>
    <w:basedOn w:val="DefaultParagraphFont"/>
    <w:link w:val="Heading6"/>
    <w:rsid w:val="00464DA9"/>
    <w:rPr>
      <w:rFonts w:ascii="Arial" w:eastAsia="Cambria" w:hAnsi="Arial" w:cs="Cambria"/>
      <w:b/>
      <w:sz w:val="20"/>
      <w:szCs w:val="20"/>
      <w:lang w:eastAsia="en-AU"/>
    </w:rPr>
  </w:style>
  <w:style w:type="paragraph" w:styleId="ListParagraph">
    <w:name w:val="List Paragraph"/>
    <w:basedOn w:val="Normal"/>
    <w:uiPriority w:val="34"/>
    <w:qFormat/>
    <w:rsid w:val="009625C4"/>
    <w:pPr>
      <w:ind w:left="720"/>
      <w:contextualSpacing/>
    </w:pPr>
  </w:style>
  <w:style w:type="paragraph" w:styleId="Caption">
    <w:name w:val="caption"/>
    <w:basedOn w:val="Normal"/>
    <w:next w:val="Normal"/>
    <w:uiPriority w:val="35"/>
    <w:unhideWhenUsed/>
    <w:qFormat/>
    <w:rsid w:val="007C4F6F"/>
    <w:rPr>
      <w:b/>
      <w:bCs/>
      <w:sz w:val="20"/>
    </w:rPr>
  </w:style>
  <w:style w:type="paragraph" w:styleId="EndnoteText">
    <w:name w:val="endnote text"/>
    <w:basedOn w:val="Normal"/>
    <w:link w:val="EndnoteTextChar"/>
    <w:uiPriority w:val="99"/>
    <w:unhideWhenUsed/>
    <w:rsid w:val="009625C4"/>
    <w:pPr>
      <w:ind w:left="720"/>
    </w:pPr>
    <w:rPr>
      <w:sz w:val="20"/>
    </w:rPr>
  </w:style>
  <w:style w:type="character" w:customStyle="1" w:styleId="EndnoteTextChar">
    <w:name w:val="Endnote Text Char"/>
    <w:basedOn w:val="DefaultParagraphFont"/>
    <w:link w:val="EndnoteText"/>
    <w:uiPriority w:val="99"/>
    <w:rsid w:val="009625C4"/>
    <w:rPr>
      <w:rFonts w:cs="Arial"/>
      <w:sz w:val="20"/>
      <w:szCs w:val="20"/>
    </w:rPr>
  </w:style>
  <w:style w:type="paragraph" w:styleId="FootnoteText">
    <w:name w:val="footnote text"/>
    <w:basedOn w:val="Normal"/>
    <w:link w:val="FootnoteTextChar"/>
    <w:uiPriority w:val="99"/>
    <w:unhideWhenUsed/>
    <w:rsid w:val="007C4F6F"/>
    <w:pPr>
      <w:spacing w:after="0" w:line="240" w:lineRule="auto"/>
    </w:pPr>
    <w:rPr>
      <w:sz w:val="20"/>
    </w:rPr>
  </w:style>
  <w:style w:type="character" w:customStyle="1" w:styleId="FootnoteTextChar">
    <w:name w:val="Footnote Text Char"/>
    <w:link w:val="FootnoteText"/>
    <w:uiPriority w:val="99"/>
    <w:rsid w:val="007C4F6F"/>
    <w:rPr>
      <w:rFonts w:ascii="Arial" w:eastAsia="Cambria" w:hAnsi="Arial" w:cs="Cambria"/>
      <w:sz w:val="20"/>
      <w:szCs w:val="20"/>
      <w:lang w:eastAsia="en-AU"/>
    </w:rPr>
  </w:style>
  <w:style w:type="paragraph" w:styleId="CommentText">
    <w:name w:val="annotation text"/>
    <w:basedOn w:val="Normal"/>
    <w:link w:val="CommentTextChar"/>
    <w:uiPriority w:val="99"/>
    <w:unhideWhenUsed/>
    <w:rsid w:val="007C4F6F"/>
    <w:pPr>
      <w:spacing w:line="240" w:lineRule="auto"/>
    </w:pPr>
    <w:rPr>
      <w:sz w:val="20"/>
    </w:rPr>
  </w:style>
  <w:style w:type="character" w:customStyle="1" w:styleId="CommentTextChar">
    <w:name w:val="Comment Text Char"/>
    <w:link w:val="CommentText"/>
    <w:uiPriority w:val="99"/>
    <w:rsid w:val="007C4F6F"/>
    <w:rPr>
      <w:rFonts w:ascii="Arial" w:eastAsia="Cambria" w:hAnsi="Arial" w:cs="Cambria"/>
      <w:sz w:val="20"/>
      <w:szCs w:val="20"/>
      <w:lang w:eastAsia="en-AU"/>
    </w:rPr>
  </w:style>
  <w:style w:type="table" w:styleId="TableGrid">
    <w:name w:val="Table Grid"/>
    <w:basedOn w:val="TableNormal"/>
    <w:uiPriority w:val="59"/>
    <w:rsid w:val="007C4F6F"/>
    <w:pPr>
      <w:spacing w:before="0"/>
      <w:ind w:left="0" w:firstLine="0"/>
    </w:pPr>
    <w:rPr>
      <w:rFonts w:ascii="Calibri" w:eastAsia="Calibri" w:hAnsi="Calibri" w:cs="Calibri"/>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unhideWhenUsed/>
    <w:rsid w:val="007C4F6F"/>
    <w:rPr>
      <w:vertAlign w:val="superscript"/>
    </w:rPr>
  </w:style>
  <w:style w:type="character" w:styleId="Hyperlink">
    <w:name w:val="Hyperlink"/>
    <w:uiPriority w:val="99"/>
    <w:unhideWhenUsed/>
    <w:qFormat/>
    <w:rsid w:val="007C4F6F"/>
    <w:rPr>
      <w:color w:val="auto"/>
      <w:u w:val="single"/>
    </w:rPr>
  </w:style>
  <w:style w:type="character" w:customStyle="1" w:styleId="UnresolvedMention1">
    <w:name w:val="Unresolved Mention1"/>
    <w:basedOn w:val="DefaultParagraphFont"/>
    <w:uiPriority w:val="99"/>
    <w:semiHidden/>
    <w:unhideWhenUsed/>
    <w:rsid w:val="001170B0"/>
    <w:rPr>
      <w:color w:val="808080"/>
      <w:shd w:val="clear" w:color="auto" w:fill="E6E6E6"/>
    </w:rPr>
  </w:style>
  <w:style w:type="paragraph" w:styleId="TOCHeading">
    <w:name w:val="TOC Heading"/>
    <w:basedOn w:val="Heading1"/>
    <w:next w:val="Normal"/>
    <w:uiPriority w:val="39"/>
    <w:unhideWhenUsed/>
    <w:qFormat/>
    <w:rsid w:val="00AB6C07"/>
    <w:pPr>
      <w:spacing w:before="240" w:line="259" w:lineRule="auto"/>
      <w:outlineLvl w:val="9"/>
    </w:pPr>
    <w:rPr>
      <w:rFonts w:asciiTheme="majorHAnsi" w:eastAsiaTheme="majorEastAsia" w:hAnsiTheme="majorHAnsi" w:cstheme="majorBidi"/>
      <w:b/>
      <w:bCs/>
      <w:color w:val="365F91" w:themeColor="accent1" w:themeShade="BF"/>
      <w:sz w:val="32"/>
      <w:szCs w:val="32"/>
    </w:rPr>
  </w:style>
  <w:style w:type="paragraph" w:styleId="TOC1">
    <w:name w:val="toc 1"/>
    <w:basedOn w:val="Normal"/>
    <w:next w:val="Normal"/>
    <w:autoRedefine/>
    <w:uiPriority w:val="39"/>
    <w:unhideWhenUsed/>
    <w:rsid w:val="007C4F6F"/>
    <w:pPr>
      <w:spacing w:after="100"/>
    </w:pPr>
  </w:style>
  <w:style w:type="paragraph" w:styleId="TOC2">
    <w:name w:val="toc 2"/>
    <w:basedOn w:val="Normal"/>
    <w:next w:val="Normal"/>
    <w:autoRedefine/>
    <w:uiPriority w:val="39"/>
    <w:unhideWhenUsed/>
    <w:rsid w:val="007C4F6F"/>
    <w:pPr>
      <w:spacing w:after="100"/>
      <w:ind w:left="220"/>
    </w:pPr>
  </w:style>
  <w:style w:type="paragraph" w:styleId="TOC3">
    <w:name w:val="toc 3"/>
    <w:basedOn w:val="Normal"/>
    <w:next w:val="Normal"/>
    <w:autoRedefine/>
    <w:uiPriority w:val="39"/>
    <w:unhideWhenUsed/>
    <w:rsid w:val="007C4F6F"/>
    <w:pPr>
      <w:spacing w:after="100"/>
      <w:ind w:left="440"/>
    </w:pPr>
  </w:style>
  <w:style w:type="paragraph" w:styleId="Header">
    <w:name w:val="header"/>
    <w:basedOn w:val="Normal"/>
    <w:link w:val="HeaderChar"/>
    <w:uiPriority w:val="99"/>
    <w:unhideWhenUsed/>
    <w:rsid w:val="007C4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F6F"/>
    <w:rPr>
      <w:rFonts w:ascii="Arial" w:eastAsia="Cambria" w:hAnsi="Arial" w:cs="Cambria"/>
      <w:szCs w:val="20"/>
      <w:lang w:eastAsia="en-AU"/>
    </w:rPr>
  </w:style>
  <w:style w:type="paragraph" w:styleId="Footer">
    <w:name w:val="footer"/>
    <w:basedOn w:val="Normal"/>
    <w:link w:val="FooterChar"/>
    <w:autoRedefine/>
    <w:uiPriority w:val="99"/>
    <w:unhideWhenUsed/>
    <w:qFormat/>
    <w:rsid w:val="007C4F6F"/>
    <w:pPr>
      <w:tabs>
        <w:tab w:val="center" w:pos="4513"/>
        <w:tab w:val="right" w:pos="9026"/>
      </w:tabs>
      <w:spacing w:after="0" w:line="240" w:lineRule="auto"/>
      <w:jc w:val="center"/>
    </w:pPr>
    <w:rPr>
      <w:noProof/>
      <w:sz w:val="20"/>
      <w:szCs w:val="24"/>
    </w:rPr>
  </w:style>
  <w:style w:type="character" w:customStyle="1" w:styleId="FooterChar">
    <w:name w:val="Footer Char"/>
    <w:link w:val="Footer"/>
    <w:uiPriority w:val="99"/>
    <w:rsid w:val="007C4F6F"/>
    <w:rPr>
      <w:rFonts w:ascii="Arial" w:eastAsia="Cambria" w:hAnsi="Arial" w:cs="Cambria"/>
      <w:noProof/>
      <w:sz w:val="20"/>
      <w:szCs w:val="24"/>
      <w:lang w:eastAsia="en-AU"/>
    </w:rPr>
  </w:style>
  <w:style w:type="paragraph" w:styleId="BalloonText">
    <w:name w:val="Balloon Text"/>
    <w:basedOn w:val="Normal"/>
    <w:link w:val="BalloonTextChar"/>
    <w:uiPriority w:val="99"/>
    <w:semiHidden/>
    <w:unhideWhenUsed/>
    <w:rsid w:val="007C4F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4F6F"/>
    <w:rPr>
      <w:rFonts w:ascii="Tahoma" w:eastAsia="Cambria" w:hAnsi="Tahoma" w:cs="Tahoma"/>
      <w:sz w:val="16"/>
      <w:szCs w:val="16"/>
      <w:lang w:eastAsia="en-AU"/>
    </w:rPr>
  </w:style>
  <w:style w:type="character" w:styleId="CommentReference">
    <w:name w:val="annotation reference"/>
    <w:uiPriority w:val="99"/>
    <w:semiHidden/>
    <w:unhideWhenUsed/>
    <w:rsid w:val="007C4F6F"/>
    <w:rPr>
      <w:sz w:val="16"/>
      <w:szCs w:val="16"/>
    </w:rPr>
  </w:style>
  <w:style w:type="paragraph" w:styleId="CommentSubject">
    <w:name w:val="annotation subject"/>
    <w:basedOn w:val="CommentText"/>
    <w:next w:val="CommentText"/>
    <w:link w:val="CommentSubjectChar"/>
    <w:uiPriority w:val="99"/>
    <w:semiHidden/>
    <w:unhideWhenUsed/>
    <w:rsid w:val="00DA6C8A"/>
    <w:pPr>
      <w:spacing w:after="0"/>
    </w:pPr>
    <w:rPr>
      <w:b/>
      <w:bCs/>
    </w:rPr>
  </w:style>
  <w:style w:type="character" w:customStyle="1" w:styleId="CommentSubjectChar">
    <w:name w:val="Comment Subject Char"/>
    <w:basedOn w:val="CommentTextChar"/>
    <w:link w:val="CommentSubject"/>
    <w:uiPriority w:val="99"/>
    <w:semiHidden/>
    <w:rsid w:val="00DA6C8A"/>
    <w:rPr>
      <w:rFonts w:ascii="Calibri" w:eastAsiaTheme="minorHAnsi" w:hAnsi="Calibri" w:cs="Cambria"/>
      <w:b/>
      <w:bCs/>
      <w:sz w:val="20"/>
      <w:szCs w:val="20"/>
      <w:lang w:val="x-none" w:eastAsia="en-AU"/>
    </w:rPr>
  </w:style>
  <w:style w:type="character" w:styleId="FollowedHyperlink">
    <w:name w:val="FollowedHyperlink"/>
    <w:uiPriority w:val="99"/>
    <w:semiHidden/>
    <w:unhideWhenUsed/>
    <w:rsid w:val="007C4F6F"/>
    <w:rPr>
      <w:color w:val="59A8D1"/>
      <w:u w:val="single"/>
    </w:rPr>
  </w:style>
  <w:style w:type="character" w:customStyle="1" w:styleId="Heading7Char">
    <w:name w:val="Heading 7 Char"/>
    <w:link w:val="Heading7"/>
    <w:uiPriority w:val="9"/>
    <w:rsid w:val="007C4F6F"/>
    <w:rPr>
      <w:rFonts w:ascii="Arial" w:eastAsia="MS Mincho" w:hAnsi="Arial" w:cs="Times New Roman"/>
      <w:sz w:val="24"/>
      <w:szCs w:val="24"/>
      <w:lang w:eastAsia="en-AU"/>
    </w:rPr>
  </w:style>
  <w:style w:type="paragraph" w:styleId="Subtitle">
    <w:name w:val="Subtitle"/>
    <w:basedOn w:val="Normal"/>
    <w:next w:val="Normal"/>
    <w:link w:val="SubtitleChar"/>
    <w:qFormat/>
    <w:rsid w:val="007C4F6F"/>
    <w:pPr>
      <w:keepNext/>
      <w:keepLines/>
    </w:pPr>
    <w:rPr>
      <w:i/>
      <w:sz w:val="24"/>
    </w:rPr>
  </w:style>
  <w:style w:type="character" w:customStyle="1" w:styleId="SubtitleChar">
    <w:name w:val="Subtitle Char"/>
    <w:basedOn w:val="DefaultParagraphFont"/>
    <w:link w:val="Subtitle"/>
    <w:rsid w:val="00122177"/>
    <w:rPr>
      <w:rFonts w:ascii="Arial" w:eastAsia="Cambria" w:hAnsi="Arial" w:cs="Cambria"/>
      <w:i/>
      <w:sz w:val="24"/>
      <w:szCs w:val="20"/>
      <w:lang w:eastAsia="en-AU"/>
    </w:rPr>
  </w:style>
  <w:style w:type="paragraph" w:customStyle="1" w:styleId="TITLE1">
    <w:name w:val="TITLE 1"/>
    <w:next w:val="TITLE2"/>
    <w:rsid w:val="007C4F6F"/>
    <w:pPr>
      <w:spacing w:before="0" w:after="120" w:line="840" w:lineRule="exact"/>
      <w:ind w:left="0" w:firstLine="0"/>
    </w:pPr>
    <w:rPr>
      <w:rFonts w:ascii="Arial" w:eastAsia="Calibri" w:hAnsi="Arial" w:cs="Calibri"/>
      <w:noProof/>
      <w:color w:val="000000"/>
      <w:spacing w:val="10"/>
      <w:sz w:val="84"/>
      <w:szCs w:val="84"/>
      <w:lang w:val="en-US"/>
    </w:rPr>
  </w:style>
  <w:style w:type="paragraph" w:styleId="PlainText">
    <w:name w:val="Plain Text"/>
    <w:basedOn w:val="Normal"/>
    <w:link w:val="PlainTextChar"/>
    <w:uiPriority w:val="99"/>
    <w:unhideWhenUsed/>
    <w:rsid w:val="007C4F6F"/>
    <w:pPr>
      <w:spacing w:after="0" w:line="240" w:lineRule="auto"/>
    </w:pPr>
    <w:rPr>
      <w:rFonts w:ascii="Courier" w:eastAsia="MS Gothic" w:hAnsi="Courier" w:cs="Times New Roman"/>
      <w:sz w:val="21"/>
      <w:szCs w:val="21"/>
      <w:lang w:eastAsia="ja-JP"/>
    </w:rPr>
  </w:style>
  <w:style w:type="character" w:customStyle="1" w:styleId="PlainTextChar">
    <w:name w:val="Plain Text Char"/>
    <w:link w:val="PlainText"/>
    <w:uiPriority w:val="99"/>
    <w:rsid w:val="007C4F6F"/>
    <w:rPr>
      <w:rFonts w:ascii="Courier" w:eastAsia="MS Gothic" w:hAnsi="Courier" w:cs="Times New Roman"/>
      <w:sz w:val="21"/>
      <w:szCs w:val="21"/>
      <w:lang w:eastAsia="ja-JP"/>
    </w:rPr>
  </w:style>
  <w:style w:type="character" w:styleId="PageNumber">
    <w:name w:val="page number"/>
    <w:uiPriority w:val="99"/>
    <w:semiHidden/>
    <w:unhideWhenUsed/>
    <w:rsid w:val="007C4F6F"/>
  </w:style>
  <w:style w:type="paragraph" w:customStyle="1" w:styleId="BullitTEXT">
    <w:name w:val="Bullit TEXT"/>
    <w:basedOn w:val="Normal"/>
    <w:autoRedefine/>
    <w:qFormat/>
    <w:rsid w:val="007C4F6F"/>
    <w:pPr>
      <w:numPr>
        <w:numId w:val="5"/>
      </w:numPr>
      <w:ind w:left="714" w:hanging="357"/>
      <w:contextualSpacing/>
    </w:pPr>
  </w:style>
  <w:style w:type="paragraph" w:customStyle="1" w:styleId="TITLE2">
    <w:name w:val="TITLE 2"/>
    <w:basedOn w:val="Normal"/>
    <w:rsid w:val="007C4F6F"/>
    <w:pPr>
      <w:spacing w:after="200" w:line="520" w:lineRule="exact"/>
      <w:ind w:left="-7"/>
      <w:jc w:val="center"/>
    </w:pPr>
    <w:rPr>
      <w:spacing w:val="7"/>
      <w:sz w:val="42"/>
      <w:szCs w:val="42"/>
    </w:rPr>
  </w:style>
  <w:style w:type="table" w:styleId="MediumGrid3-Accent3">
    <w:name w:val="Medium Grid 3 Accent 3"/>
    <w:basedOn w:val="TableNormal"/>
    <w:uiPriority w:val="60"/>
    <w:rsid w:val="007C4F6F"/>
    <w:pPr>
      <w:spacing w:before="0"/>
      <w:ind w:left="0" w:firstLine="0"/>
    </w:pPr>
    <w:rPr>
      <w:rFonts w:ascii="Calibri" w:eastAsia="Calibri" w:hAnsi="Calibri" w:cs="Calibri"/>
      <w:sz w:val="20"/>
      <w:szCs w:val="20"/>
      <w:lang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Revision">
    <w:name w:val="Revision"/>
    <w:hidden/>
    <w:uiPriority w:val="99"/>
    <w:semiHidden/>
    <w:rsid w:val="00767592"/>
    <w:pPr>
      <w:spacing w:before="0"/>
      <w:ind w:left="0" w:firstLine="0"/>
    </w:pPr>
    <w:rPr>
      <w:rFonts w:ascii="Arial" w:eastAsia="Cambria" w:hAnsi="Arial" w:cs="Cambria"/>
      <w:szCs w:val="20"/>
      <w:lang w:eastAsia="en-AU"/>
    </w:rPr>
  </w:style>
  <w:style w:type="paragraph" w:styleId="TableofFigures">
    <w:name w:val="table of figures"/>
    <w:basedOn w:val="Normal"/>
    <w:next w:val="Normal"/>
    <w:uiPriority w:val="99"/>
    <w:unhideWhenUsed/>
    <w:rsid w:val="0057503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12594">
      <w:bodyDiv w:val="1"/>
      <w:marLeft w:val="0"/>
      <w:marRight w:val="0"/>
      <w:marTop w:val="0"/>
      <w:marBottom w:val="0"/>
      <w:divBdr>
        <w:top w:val="none" w:sz="0" w:space="0" w:color="auto"/>
        <w:left w:val="none" w:sz="0" w:space="0" w:color="auto"/>
        <w:bottom w:val="none" w:sz="0" w:space="0" w:color="auto"/>
        <w:right w:val="none" w:sz="0" w:space="0" w:color="auto"/>
      </w:divBdr>
    </w:div>
    <w:div w:id="658926451">
      <w:bodyDiv w:val="1"/>
      <w:marLeft w:val="0"/>
      <w:marRight w:val="0"/>
      <w:marTop w:val="0"/>
      <w:marBottom w:val="0"/>
      <w:divBdr>
        <w:top w:val="none" w:sz="0" w:space="0" w:color="auto"/>
        <w:left w:val="none" w:sz="0" w:space="0" w:color="auto"/>
        <w:bottom w:val="none" w:sz="0" w:space="0" w:color="auto"/>
        <w:right w:val="none" w:sz="0" w:space="0" w:color="auto"/>
      </w:divBdr>
    </w:div>
    <w:div w:id="666203532">
      <w:bodyDiv w:val="1"/>
      <w:marLeft w:val="0"/>
      <w:marRight w:val="0"/>
      <w:marTop w:val="0"/>
      <w:marBottom w:val="0"/>
      <w:divBdr>
        <w:top w:val="none" w:sz="0" w:space="0" w:color="auto"/>
        <w:left w:val="none" w:sz="0" w:space="0" w:color="auto"/>
        <w:bottom w:val="none" w:sz="0" w:space="0" w:color="auto"/>
        <w:right w:val="none" w:sz="0" w:space="0" w:color="auto"/>
      </w:divBdr>
    </w:div>
    <w:div w:id="1212767159">
      <w:bodyDiv w:val="1"/>
      <w:marLeft w:val="0"/>
      <w:marRight w:val="0"/>
      <w:marTop w:val="0"/>
      <w:marBottom w:val="0"/>
      <w:divBdr>
        <w:top w:val="none" w:sz="0" w:space="0" w:color="auto"/>
        <w:left w:val="none" w:sz="0" w:space="0" w:color="auto"/>
        <w:bottom w:val="none" w:sz="0" w:space="0" w:color="auto"/>
        <w:right w:val="none" w:sz="0" w:space="0" w:color="auto"/>
      </w:divBdr>
    </w:div>
    <w:div w:id="12503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an.org.au/" TargetMode="External"/><Relationship Id="rId18" Type="http://schemas.openxmlformats.org/officeDocument/2006/relationships/footer" Target="footer1.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hyperlink" Target="mailto:sacoss@sacoss.org.au" TargetMode="External"/><Relationship Id="rId17" Type="http://schemas.openxmlformats.org/officeDocument/2006/relationships/hyperlink" Target="http://creativecommons.org/licenses/by/4.0/" TargetMode="External"/><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coss.org.au/" TargetMode="External"/><Relationship Id="rId24"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hyperlink" Target="http://www.relayservice.gov.au/" TargetMode="External"/><Relationship Id="rId23" Type="http://schemas.openxmlformats.org/officeDocument/2006/relationships/chart" Target="charts/chart5.xml"/><Relationship Id="rId28" Type="http://schemas.openxmlformats.org/officeDocument/2006/relationships/chart" Target="charts/chart10.xml"/><Relationship Id="rId10" Type="http://schemas.openxmlformats.org/officeDocument/2006/relationships/image" Target="media/image2.emf"/><Relationship Id="rId19" Type="http://schemas.openxmlformats.org/officeDocument/2006/relationships/chart" Target="charts/chart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search@accan.org.au"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acoss.org.au/reports/anti-poverty-week" TargetMode="External"/><Relationship Id="rId2" Type="http://schemas.openxmlformats.org/officeDocument/2006/relationships/hyperlink" Target="https://digitalinclusionindex.org.au/" TargetMode="External"/><Relationship Id="rId1" Type="http://schemas.openxmlformats.org/officeDocument/2006/relationships/hyperlink" Target="http://www.abs.gov.au/AUSSTATS/abs@.nsf/ProductsbyReleaseDate/45244540252D2FDDCA25710800769AD8?Open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Grants%20Scheme\Final%20Reports\Guidelines%20and%20template%20for%20final%20reports\ACCAN%20Research%20Scheme%20report%20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reg%20Ogle\Documents\SACOSS\Digital%20Expenditure%20-%20Greg_v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bs2011\Data\Work%20-%20Social%20Justice%20Policy%20Issues\Cost%20of%20Living\Household%20Expenditure%20Surveys\HES%20Data%202015-16\Detailed%20Data\Digital%20Expenditure%20-%20Greg_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reg%20Ogle\Documents\SACOSS\Digital%20Expenditure%20-%20Greg_v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reg%20Ogle\Documents\SACOSS\Digital%20Expenditure%20-%20Greg_v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HES%20Data\Digital%20Expenditure%20-%20Greg_v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HES%20Data\Digital%20Expenditure%20-%20Greg_v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reg%20Ogle\Documents\SACOSS\Digital%20Expenditure%20-%20Greg_v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reg%20Ogle\Documents\SACOSS\Digital%20Expenditure%20-%20Greg_v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HES%20Data\Digital%20Expenditure%20-%20Greg_v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bs2011\Data\Work%20-%20Social%20Justice%20Policy%20Issues\Cost%20of%20Living\Household%20Expenditure%20Surveys\HES%20Data%202015-16\Detailed%20Data\Digital%20Expenditure%20-%20Greg_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64186124133328"/>
          <c:y val="0.10430901097454039"/>
          <c:w val="0.54830515224614262"/>
          <c:h val="0.86528429955377584"/>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EF4-4F5C-B26A-52E5D95015E6}"/>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EF4-4F5C-B26A-52E5D95015E6}"/>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EF4-4F5C-B26A-52E5D95015E6}"/>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EF4-4F5C-B26A-52E5D95015E6}"/>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8EF4-4F5C-B26A-52E5D95015E6}"/>
              </c:ext>
            </c:extLst>
          </c:dPt>
          <c:dPt>
            <c:idx val="5"/>
            <c:bubble3D val="0"/>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8EF4-4F5C-B26A-52E5D95015E6}"/>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8EF4-4F5C-B26A-52E5D95015E6}"/>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8EF4-4F5C-B26A-52E5D95015E6}"/>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1-8EF4-4F5C-B26A-52E5D95015E6}"/>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3-8EF4-4F5C-B26A-52E5D95015E6}"/>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5-8EF4-4F5C-B26A-52E5D95015E6}"/>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7-8EF4-4F5C-B26A-52E5D95015E6}"/>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9-8EF4-4F5C-B26A-52E5D95015E6}"/>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dLbl>
            <c:dLbl>
              <c:idx val="3"/>
              <c:layout>
                <c:manualLayout>
                  <c:x val="3.5118641239209172E-2"/>
                  <c:y val="-1.9118804562200536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EF4-4F5C-B26A-52E5D95015E6}"/>
                </c:ext>
              </c:extLst>
            </c:dLbl>
            <c:dLbl>
              <c:idx val="4"/>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dLbl>
            <c:dLbl>
              <c:idx val="5"/>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dLbl>
            <c:dLbl>
              <c:idx val="6"/>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dLbl>
            <c:dLbl>
              <c:idx val="7"/>
              <c:layout>
                <c:manualLayout>
                  <c:x val="7.2254335260115612E-2"/>
                  <c:y val="4.7233021185920675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366811175337187"/>
                      <c:h val="0.14063093880653743"/>
                    </c:manualLayout>
                  </c15:layout>
                </c:ext>
                <c:ext xmlns:c16="http://schemas.microsoft.com/office/drawing/2014/chart" uri="{C3380CC4-5D6E-409C-BE32-E72D297353CC}">
                  <c16:uniqueId val="{0000000F-8EF4-4F5C-B26A-52E5D95015E6}"/>
                </c:ext>
              </c:extLst>
            </c:dLbl>
            <c:dLbl>
              <c:idx val="8"/>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bestFit"/>
              <c:showLegendKey val="0"/>
              <c:showVal val="0"/>
              <c:showCatName val="1"/>
              <c:showSerName val="0"/>
              <c:showPercent val="1"/>
              <c:showBubbleSize val="0"/>
            </c:dLbl>
            <c:dLbl>
              <c:idx val="9"/>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dLbl>
            <c:dLbl>
              <c:idx val="10"/>
              <c:numFmt formatCode="0.0%" sourceLinked="0"/>
              <c:spPr>
                <a:noFill/>
                <a:ln>
                  <a:noFill/>
                </a:ln>
                <a:effectLst/>
              </c:spPr>
              <c:txPr>
                <a:bodyPr rot="0" spcFirstLastPara="1" vertOverflow="ellipsis" horzOverflow="clip" vert="horz" wrap="square" lIns="38100" tIns="19050" rIns="38100" bIns="19050" anchor="ctr" anchorCtr="1">
                  <a:no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dLbl>
            <c:dLbl>
              <c:idx val="11"/>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dLbl>
            <c:dLbl>
              <c:idx val="12"/>
              <c:numFmt formatCode="0.0%" sourceLinked="0"/>
              <c:spPr>
                <a:noFill/>
                <a:ln>
                  <a:noFill/>
                </a:ln>
                <a:effectLst/>
              </c:spPr>
              <c:txPr>
                <a:bodyPr rot="0" spcFirstLastPara="1" vertOverflow="ellipsis" horzOverflow="clip" vert="horz" wrap="square" lIns="38100" tIns="19050" rIns="38100" bIns="19050" anchor="ctr" anchorCtr="1">
                  <a:noAutofit/>
                </a:bodyPr>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dLbl>
            <c:numFmt formatCode="0.0%" sourceLinked="0"/>
            <c:spPr>
              <a:noFill/>
              <a:ln>
                <a:noFill/>
              </a:ln>
              <a:effectLst/>
            </c:sp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'Relative significance'!$A$21:$A$33</c:f>
              <c:strCache>
                <c:ptCount val="13"/>
                <c:pt idx="0">
                  <c:v>Personal Expenditure</c:v>
                </c:pt>
                <c:pt idx="1">
                  <c:v>Domestic fuel and power</c:v>
                </c:pt>
                <c:pt idx="2">
                  <c:v>Clothing and footwear</c:v>
                </c:pt>
                <c:pt idx="3">
                  <c:v>Education</c:v>
                </c:pt>
                <c:pt idx="4">
                  <c:v>H/hold services</c:v>
                </c:pt>
                <c:pt idx="5">
                  <c:v>Telecomms</c:v>
                </c:pt>
                <c:pt idx="6">
                  <c:v>H/hold equipment</c:v>
                </c:pt>
                <c:pt idx="7">
                  <c:v>Health</c:v>
                </c:pt>
                <c:pt idx="8">
                  <c:v>Miscellaneous</c:v>
                </c:pt>
                <c:pt idx="9">
                  <c:v>Recreation</c:v>
                </c:pt>
                <c:pt idx="10">
                  <c:v>Transport</c:v>
                </c:pt>
                <c:pt idx="11">
                  <c:v>Food</c:v>
                </c:pt>
                <c:pt idx="12">
                  <c:v>Housing</c:v>
                </c:pt>
              </c:strCache>
            </c:strRef>
          </c:cat>
          <c:val>
            <c:numRef>
              <c:f>'Relative significance'!$D$21:$D$33</c:f>
              <c:numCache>
                <c:formatCode>0.0%</c:formatCode>
                <c:ptCount val="13"/>
                <c:pt idx="0">
                  <c:v>5.1528739745829916E-2</c:v>
                </c:pt>
                <c:pt idx="1">
                  <c:v>2.8715184943474876E-2</c:v>
                </c:pt>
                <c:pt idx="2">
                  <c:v>3.0701108046848138E-2</c:v>
                </c:pt>
                <c:pt idx="3">
                  <c:v>3.077829940422307E-2</c:v>
                </c:pt>
                <c:pt idx="4">
                  <c:v>3.5248380735844159E-2</c:v>
                </c:pt>
                <c:pt idx="5">
                  <c:v>3.7023781955467606E-2</c:v>
                </c:pt>
                <c:pt idx="6">
                  <c:v>4.0609671375339468E-2</c:v>
                </c:pt>
                <c:pt idx="7">
                  <c:v>5.7809309277699415E-2</c:v>
                </c:pt>
                <c:pt idx="8">
                  <c:v>6.8124881581440394E-2</c:v>
                </c:pt>
                <c:pt idx="9">
                  <c:v>0.11573089689339873</c:v>
                </c:pt>
                <c:pt idx="10">
                  <c:v>0.14504256050749809</c:v>
                </c:pt>
                <c:pt idx="11">
                  <c:v>0.16629123597397949</c:v>
                </c:pt>
                <c:pt idx="12">
                  <c:v>0.19586956064082861</c:v>
                </c:pt>
              </c:numCache>
            </c:numRef>
          </c:val>
          <c:extLst xmlns:c16r2="http://schemas.microsoft.com/office/drawing/2015/06/chart">
            <c:ext xmlns:c16="http://schemas.microsoft.com/office/drawing/2014/chart" uri="{C3380CC4-5D6E-409C-BE32-E72D297353CC}">
              <c16:uniqueId val="{0000001A-8EF4-4F5C-B26A-52E5D95015E6}"/>
            </c:ext>
          </c:extLst>
        </c:ser>
        <c:dLbls>
          <c:dLblPos val="bestFit"/>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Average Household</c:v>
          </c:tx>
          <c:spPr>
            <a:ln w="28575" cap="rnd">
              <a:solidFill>
                <a:schemeClr val="accent1"/>
              </a:solidFill>
              <a:round/>
            </a:ln>
            <a:effectLst/>
          </c:spPr>
          <c:marker>
            <c:symbol val="none"/>
          </c:marker>
          <c:cat>
            <c:strRef>
              <c:f>'Time - Lowest Y Q'!$S$4:$U$4</c:f>
              <c:strCache>
                <c:ptCount val="3"/>
                <c:pt idx="0">
                  <c:v>2003-04</c:v>
                </c:pt>
                <c:pt idx="1">
                  <c:v>2009-10</c:v>
                </c:pt>
                <c:pt idx="2">
                  <c:v>2015-16</c:v>
                </c:pt>
              </c:strCache>
            </c:strRef>
          </c:cat>
          <c:val>
            <c:numRef>
              <c:f>'Time - Lowest Y Q'!$J$8:$L$8</c:f>
              <c:numCache>
                <c:formatCode>0.0%</c:formatCode>
                <c:ptCount val="3"/>
                <c:pt idx="0">
                  <c:v>4.2975706461476429E-2</c:v>
                </c:pt>
                <c:pt idx="1">
                  <c:v>4.014462743067914E-2</c:v>
                </c:pt>
                <c:pt idx="2">
                  <c:v>3.7009747163217616E-2</c:v>
                </c:pt>
              </c:numCache>
            </c:numRef>
          </c:val>
          <c:smooth val="0"/>
          <c:extLst xmlns:c16r2="http://schemas.microsoft.com/office/drawing/2015/06/chart">
            <c:ext xmlns:c16="http://schemas.microsoft.com/office/drawing/2014/chart" uri="{C3380CC4-5D6E-409C-BE32-E72D297353CC}">
              <c16:uniqueId val="{00000000-95DC-48D1-A4E1-103BCD7F8A94}"/>
            </c:ext>
          </c:extLst>
        </c:ser>
        <c:ser>
          <c:idx val="1"/>
          <c:order val="1"/>
          <c:tx>
            <c:v>Lowest Income Quintile</c:v>
          </c:tx>
          <c:spPr>
            <a:ln w="28575" cap="rnd">
              <a:solidFill>
                <a:schemeClr val="accent2"/>
              </a:solidFill>
              <a:round/>
            </a:ln>
            <a:effectLst/>
          </c:spPr>
          <c:marker>
            <c:symbol val="none"/>
          </c:marker>
          <c:cat>
            <c:strRef>
              <c:f>'Time - Lowest Y Q'!$S$4:$U$4</c:f>
              <c:strCache>
                <c:ptCount val="3"/>
                <c:pt idx="0">
                  <c:v>2003-04</c:v>
                </c:pt>
                <c:pt idx="1">
                  <c:v>2009-10</c:v>
                </c:pt>
                <c:pt idx="2">
                  <c:v>2015-16</c:v>
                </c:pt>
              </c:strCache>
            </c:strRef>
          </c:cat>
          <c:val>
            <c:numRef>
              <c:f>'Time - Lowest Y Q'!$S$8:$U$8</c:f>
              <c:numCache>
                <c:formatCode>0.00%</c:formatCode>
                <c:ptCount val="3"/>
                <c:pt idx="0" formatCode="0.000%">
                  <c:v>4.4999999999999998E-2</c:v>
                </c:pt>
                <c:pt idx="1">
                  <c:v>4.4880509444762455E-2</c:v>
                </c:pt>
                <c:pt idx="2">
                  <c:v>4.6332139746443436E-2</c:v>
                </c:pt>
              </c:numCache>
            </c:numRef>
          </c:val>
          <c:smooth val="0"/>
          <c:extLst xmlns:c16r2="http://schemas.microsoft.com/office/drawing/2015/06/chart">
            <c:ext xmlns:c16="http://schemas.microsoft.com/office/drawing/2014/chart" uri="{C3380CC4-5D6E-409C-BE32-E72D297353CC}">
              <c16:uniqueId val="{00000001-95DC-48D1-A4E1-103BCD7F8A94}"/>
            </c:ext>
          </c:extLst>
        </c:ser>
        <c:dLbls>
          <c:showLegendKey val="0"/>
          <c:showVal val="0"/>
          <c:showCatName val="0"/>
          <c:showSerName val="0"/>
          <c:showPercent val="0"/>
          <c:showBubbleSize val="0"/>
        </c:dLbls>
        <c:marker val="1"/>
        <c:smooth val="0"/>
        <c:axId val="131731456"/>
        <c:axId val="131732992"/>
      </c:lineChart>
      <c:catAx>
        <c:axId val="13173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732992"/>
        <c:crosses val="autoZero"/>
        <c:auto val="1"/>
        <c:lblAlgn val="ctr"/>
        <c:lblOffset val="100"/>
        <c:noMultiLvlLbl val="0"/>
      </c:catAx>
      <c:valAx>
        <c:axId val="131732992"/>
        <c:scaling>
          <c:orientation val="minMax"/>
          <c:min val="2.0000000000000004E-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Household Expenditure</a:t>
                </a:r>
              </a:p>
              <a:p>
                <a:pPr>
                  <a:defRPr sz="1000" b="0" i="0" u="none" strike="noStrike" kern="1200" baseline="0">
                    <a:solidFill>
                      <a:schemeClr val="tx1">
                        <a:lumMod val="65000"/>
                        <a:lumOff val="35000"/>
                      </a:schemeClr>
                    </a:solidFill>
                    <a:latin typeface="+mn-lt"/>
                    <a:ea typeface="+mn-ea"/>
                    <a:cs typeface="+mn-cs"/>
                  </a:defRPr>
                </a:pPr>
                <a:endParaRPr lang="en-US"/>
              </a:p>
            </c:rich>
          </c:tx>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73145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'Relative significance'!$A$4:$A$6</c:f>
              <c:strCache>
                <c:ptCount val="3"/>
                <c:pt idx="0">
                  <c:v>Telecommunications</c:v>
                </c:pt>
                <c:pt idx="1">
                  <c:v>Energy</c:v>
                </c:pt>
                <c:pt idx="2">
                  <c:v>Water &amp; Sewerage</c:v>
                </c:pt>
              </c:strCache>
            </c:strRef>
          </c:cat>
          <c:val>
            <c:numRef>
              <c:f>'Relative significance'!$B$4:$B$6</c:f>
              <c:numCache>
                <c:formatCode>General</c:formatCode>
                <c:ptCount val="3"/>
                <c:pt idx="0">
                  <c:v>52.76</c:v>
                </c:pt>
                <c:pt idx="1">
                  <c:v>41.53</c:v>
                </c:pt>
                <c:pt idx="2">
                  <c:v>13.99</c:v>
                </c:pt>
              </c:numCache>
            </c:numRef>
          </c:val>
          <c:extLst xmlns:c16r2="http://schemas.microsoft.com/office/drawing/2015/06/chart">
            <c:ext xmlns:c16="http://schemas.microsoft.com/office/drawing/2014/chart" uri="{C3380CC4-5D6E-409C-BE32-E72D297353CC}">
              <c16:uniqueId val="{00000000-0A06-4730-B3CB-22A15F60DF4A}"/>
            </c:ext>
          </c:extLst>
        </c:ser>
        <c:dLbls>
          <c:dLblPos val="outEnd"/>
          <c:showLegendKey val="0"/>
          <c:showVal val="1"/>
          <c:showCatName val="0"/>
          <c:showSerName val="0"/>
          <c:showPercent val="0"/>
          <c:showBubbleSize val="0"/>
        </c:dLbls>
        <c:gapWidth val="219"/>
        <c:overlap val="-27"/>
        <c:axId val="47635840"/>
        <c:axId val="131340544"/>
      </c:barChart>
      <c:catAx>
        <c:axId val="4763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340544"/>
        <c:crosses val="autoZero"/>
        <c:auto val="1"/>
        <c:lblAlgn val="ctr"/>
        <c:lblOffset val="100"/>
        <c:noMultiLvlLbl val="0"/>
      </c:catAx>
      <c:valAx>
        <c:axId val="131340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per week</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35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Gross Income Quintile</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'Gross Y Q'!$F$5:$J$5</c:f>
              <c:strCache>
                <c:ptCount val="5"/>
                <c:pt idx="0">
                  <c:v>Lowest</c:v>
                </c:pt>
                <c:pt idx="1">
                  <c:v>Second</c:v>
                </c:pt>
                <c:pt idx="2">
                  <c:v>Third</c:v>
                </c:pt>
                <c:pt idx="3">
                  <c:v>Fourth</c:v>
                </c:pt>
                <c:pt idx="4">
                  <c:v>Highest</c:v>
                </c:pt>
              </c:strCache>
            </c:strRef>
          </c:cat>
          <c:val>
            <c:numRef>
              <c:f>'Gross Y Q'!$F$36:$J$36</c:f>
              <c:numCache>
                <c:formatCode>0.0%</c:formatCode>
                <c:ptCount val="5"/>
                <c:pt idx="0">
                  <c:v>6.1800433839479391E-2</c:v>
                </c:pt>
                <c:pt idx="1">
                  <c:v>4.3186813186813194E-2</c:v>
                </c:pt>
                <c:pt idx="2">
                  <c:v>3.6977904490377765E-2</c:v>
                </c:pt>
                <c:pt idx="3">
                  <c:v>3.0993636808614784E-2</c:v>
                </c:pt>
                <c:pt idx="4">
                  <c:v>2.1625470177324021E-2</c:v>
                </c:pt>
              </c:numCache>
            </c:numRef>
          </c:val>
          <c:extLst xmlns:c16r2="http://schemas.microsoft.com/office/drawing/2015/06/chart">
            <c:ext xmlns:c16="http://schemas.microsoft.com/office/drawing/2014/chart" uri="{C3380CC4-5D6E-409C-BE32-E72D297353CC}">
              <c16:uniqueId val="{00000000-02AC-43E9-8EBE-A4EE9326FA10}"/>
            </c:ext>
          </c:extLst>
        </c:ser>
        <c:dLbls>
          <c:dLblPos val="outEnd"/>
          <c:showLegendKey val="0"/>
          <c:showVal val="1"/>
          <c:showCatName val="0"/>
          <c:showSerName val="0"/>
          <c:showPercent val="0"/>
          <c:showBubbleSize val="0"/>
        </c:dLbls>
        <c:gapWidth val="219"/>
        <c:overlap val="-27"/>
        <c:axId val="131364352"/>
        <c:axId val="131375872"/>
      </c:barChart>
      <c:catAx>
        <c:axId val="1313643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Gross Income Quintile</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375872"/>
        <c:crosses val="autoZero"/>
        <c:auto val="1"/>
        <c:lblAlgn val="ctr"/>
        <c:lblOffset val="100"/>
        <c:noMultiLvlLbl val="0"/>
      </c:catAx>
      <c:valAx>
        <c:axId val="131375872"/>
        <c:scaling>
          <c:orientation val="minMax"/>
          <c:max val="8.0000000000000016E-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Household Disposable Income</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364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1"/>
          <c:order val="0"/>
          <c:tx>
            <c:v>Current Charges</c:v>
          </c:tx>
          <c:spPr>
            <a:solidFill>
              <a:schemeClr val="tx1">
                <a:lumMod val="75000"/>
                <a:lumOff val="25000"/>
              </a:schemeClr>
            </a:solidFill>
            <a:ln>
              <a:noFill/>
            </a:ln>
            <a:effectLst/>
          </c:spPr>
          <c:invertIfNegative val="0"/>
          <c:cat>
            <c:strRef>
              <c:f>'Gross Y Q'!$M$5:$Q$5</c:f>
              <c:strCache>
                <c:ptCount val="5"/>
                <c:pt idx="0">
                  <c:v>Lowest</c:v>
                </c:pt>
                <c:pt idx="1">
                  <c:v>Second</c:v>
                </c:pt>
                <c:pt idx="2">
                  <c:v>Third</c:v>
                </c:pt>
                <c:pt idx="3">
                  <c:v>Fourth</c:v>
                </c:pt>
                <c:pt idx="4">
                  <c:v>Highest</c:v>
                </c:pt>
              </c:strCache>
            </c:strRef>
          </c:cat>
          <c:val>
            <c:numRef>
              <c:f>'Gross Y Q'!$M$33:$Q$33</c:f>
              <c:numCache>
                <c:formatCode>0.0%</c:formatCode>
                <c:ptCount val="5"/>
                <c:pt idx="0">
                  <c:v>0.82134082134082131</c:v>
                </c:pt>
                <c:pt idx="1">
                  <c:v>0.82086513994910948</c:v>
                </c:pt>
                <c:pt idx="2">
                  <c:v>0.82478797224363909</c:v>
                </c:pt>
                <c:pt idx="3">
                  <c:v>0.80211623499684148</c:v>
                </c:pt>
                <c:pt idx="4">
                  <c:v>0.76344887563672503</c:v>
                </c:pt>
              </c:numCache>
            </c:numRef>
          </c:val>
          <c:extLst xmlns:c16r2="http://schemas.microsoft.com/office/drawing/2015/06/chart">
            <c:ext xmlns:c16="http://schemas.microsoft.com/office/drawing/2014/chart" uri="{C3380CC4-5D6E-409C-BE32-E72D297353CC}">
              <c16:uniqueId val="{00000000-2F12-4734-960F-4C740E49FEC0}"/>
            </c:ext>
          </c:extLst>
        </c:ser>
        <c:ser>
          <c:idx val="0"/>
          <c:order val="1"/>
          <c:tx>
            <c:v>Equipment</c:v>
          </c:tx>
          <c:spPr>
            <a:solidFill>
              <a:schemeClr val="accent1"/>
            </a:solidFill>
            <a:ln>
              <a:noFill/>
            </a:ln>
            <a:effectLst/>
          </c:spPr>
          <c:invertIfNegative val="0"/>
          <c:cat>
            <c:strRef>
              <c:f>'Gross Y Q'!$M$5:$Q$5</c:f>
              <c:strCache>
                <c:ptCount val="5"/>
                <c:pt idx="0">
                  <c:v>Lowest</c:v>
                </c:pt>
                <c:pt idx="1">
                  <c:v>Second</c:v>
                </c:pt>
                <c:pt idx="2">
                  <c:v>Third</c:v>
                </c:pt>
                <c:pt idx="3">
                  <c:v>Fourth</c:v>
                </c:pt>
                <c:pt idx="4">
                  <c:v>Highest</c:v>
                </c:pt>
              </c:strCache>
            </c:strRef>
          </c:cat>
          <c:val>
            <c:numRef>
              <c:f>'Gross Y Q'!$M$21:$Q$21</c:f>
              <c:numCache>
                <c:formatCode>0.0%</c:formatCode>
                <c:ptCount val="5"/>
                <c:pt idx="0">
                  <c:v>0.17865917865917866</c:v>
                </c:pt>
                <c:pt idx="1">
                  <c:v>0.17913486005089058</c:v>
                </c:pt>
                <c:pt idx="2">
                  <c:v>0.17521202775636086</c:v>
                </c:pt>
                <c:pt idx="3">
                  <c:v>0.19788376500315852</c:v>
                </c:pt>
                <c:pt idx="4">
                  <c:v>0.23655112436327491</c:v>
                </c:pt>
              </c:numCache>
            </c:numRef>
          </c:val>
          <c:extLst xmlns:c16r2="http://schemas.microsoft.com/office/drawing/2015/06/chart">
            <c:ext xmlns:c16="http://schemas.microsoft.com/office/drawing/2014/chart" uri="{C3380CC4-5D6E-409C-BE32-E72D297353CC}">
              <c16:uniqueId val="{00000001-2F12-4734-960F-4C740E49FEC0}"/>
            </c:ext>
          </c:extLst>
        </c:ser>
        <c:dLbls>
          <c:showLegendKey val="0"/>
          <c:showVal val="0"/>
          <c:showCatName val="0"/>
          <c:showSerName val="0"/>
          <c:showPercent val="0"/>
          <c:showBubbleSize val="0"/>
        </c:dLbls>
        <c:gapWidth val="150"/>
        <c:overlap val="100"/>
        <c:axId val="131868928"/>
        <c:axId val="131895296"/>
      </c:barChart>
      <c:catAx>
        <c:axId val="13186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895296"/>
        <c:crosses val="autoZero"/>
        <c:auto val="1"/>
        <c:lblAlgn val="ctr"/>
        <c:lblOffset val="100"/>
        <c:noMultiLvlLbl val="0"/>
      </c:catAx>
      <c:valAx>
        <c:axId val="131895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868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v>Equipment</c:v>
          </c:tx>
          <c:spPr>
            <a:solidFill>
              <a:schemeClr val="accent1"/>
            </a:solidFill>
            <a:ln>
              <a:noFill/>
            </a:ln>
            <a:effectLst/>
          </c:spPr>
          <c:invertIfNegative val="0"/>
          <c:cat>
            <c:strRef>
              <c:f>'Income Source'!$L$5:$M$5</c:f>
              <c:strCache>
                <c:ptCount val="2"/>
                <c:pt idx="0">
                  <c:v>Private Income</c:v>
                </c:pt>
                <c:pt idx="1">
                  <c:v>Govt Allowances</c:v>
                </c:pt>
              </c:strCache>
            </c:strRef>
          </c:cat>
          <c:val>
            <c:numRef>
              <c:f>'Income Source'!$I$21:$J$21</c:f>
              <c:numCache>
                <c:formatCode>#,##0.00</c:formatCode>
                <c:ptCount val="2"/>
                <c:pt idx="0">
                  <c:v>12.52</c:v>
                </c:pt>
                <c:pt idx="1">
                  <c:v>4.3600000000000003</c:v>
                </c:pt>
              </c:numCache>
            </c:numRef>
          </c:val>
          <c:extLst xmlns:c16r2="http://schemas.microsoft.com/office/drawing/2015/06/chart">
            <c:ext xmlns:c16="http://schemas.microsoft.com/office/drawing/2014/chart" uri="{C3380CC4-5D6E-409C-BE32-E72D297353CC}">
              <c16:uniqueId val="{00000000-CB07-434E-BF63-9F7A97467378}"/>
            </c:ext>
          </c:extLst>
        </c:ser>
        <c:ser>
          <c:idx val="1"/>
          <c:order val="1"/>
          <c:tx>
            <c:v>Charges</c:v>
          </c:tx>
          <c:spPr>
            <a:solidFill>
              <a:schemeClr val="tx1">
                <a:lumMod val="65000"/>
                <a:lumOff val="35000"/>
              </a:schemeClr>
            </a:solidFill>
            <a:ln>
              <a:noFill/>
            </a:ln>
            <a:effectLst/>
          </c:spPr>
          <c:invertIfNegative val="0"/>
          <c:cat>
            <c:strRef>
              <c:f>'Income Source'!$L$5:$M$5</c:f>
              <c:strCache>
                <c:ptCount val="2"/>
                <c:pt idx="0">
                  <c:v>Private Income</c:v>
                </c:pt>
                <c:pt idx="1">
                  <c:v>Govt Allowances</c:v>
                </c:pt>
              </c:strCache>
            </c:strRef>
          </c:cat>
          <c:val>
            <c:numRef>
              <c:f>'Income Source'!$I$33:$J$33</c:f>
              <c:numCache>
                <c:formatCode>#,##0.00</c:formatCode>
                <c:ptCount val="2"/>
                <c:pt idx="0">
                  <c:v>47.129999999999995</c:v>
                </c:pt>
                <c:pt idx="1">
                  <c:v>26.509999999999998</c:v>
                </c:pt>
              </c:numCache>
            </c:numRef>
          </c:val>
          <c:extLst xmlns:c16r2="http://schemas.microsoft.com/office/drawing/2015/06/chart">
            <c:ext xmlns:c16="http://schemas.microsoft.com/office/drawing/2014/chart" uri="{C3380CC4-5D6E-409C-BE32-E72D297353CC}">
              <c16:uniqueId val="{00000001-CB07-434E-BF63-9F7A97467378}"/>
            </c:ext>
          </c:extLst>
        </c:ser>
        <c:dLbls>
          <c:showLegendKey val="0"/>
          <c:showVal val="0"/>
          <c:showCatName val="0"/>
          <c:showSerName val="0"/>
          <c:showPercent val="0"/>
          <c:showBubbleSize val="0"/>
        </c:dLbls>
        <c:gapWidth val="150"/>
        <c:overlap val="100"/>
        <c:axId val="131918080"/>
        <c:axId val="131919872"/>
      </c:barChart>
      <c:catAx>
        <c:axId val="13191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919872"/>
        <c:crosses val="autoZero"/>
        <c:auto val="1"/>
        <c:lblAlgn val="ctr"/>
        <c:lblOffset val="100"/>
        <c:noMultiLvlLbl val="0"/>
      </c:catAx>
      <c:valAx>
        <c:axId val="131919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per week</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918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Couple</c:v>
          </c:tx>
          <c:spPr>
            <a:solidFill>
              <a:schemeClr val="accent1"/>
            </a:solidFill>
            <a:ln>
              <a:noFill/>
            </a:ln>
            <a:effectLst/>
          </c:spPr>
          <c:invertIfNegative val="0"/>
          <c:cat>
            <c:strRef>
              <c:f>'H-hold Composition'!$AE$6:$AH$6</c:f>
              <c:strCache>
                <c:ptCount val="4"/>
                <c:pt idx="0">
                  <c:v>Under 35</c:v>
                </c:pt>
                <c:pt idx="1">
                  <c:v>35-54</c:v>
                </c:pt>
                <c:pt idx="2">
                  <c:v>55-64</c:v>
                </c:pt>
                <c:pt idx="3">
                  <c:v>65+</c:v>
                </c:pt>
              </c:strCache>
            </c:strRef>
          </c:cat>
          <c:val>
            <c:numRef>
              <c:f>'H-hold Composition'!$L$8:$O$8</c:f>
              <c:numCache>
                <c:formatCode>#,##0.00</c:formatCode>
                <c:ptCount val="4"/>
                <c:pt idx="0">
                  <c:v>59.97</c:v>
                </c:pt>
                <c:pt idx="1">
                  <c:v>54.42</c:v>
                </c:pt>
                <c:pt idx="2">
                  <c:v>51.7</c:v>
                </c:pt>
                <c:pt idx="3">
                  <c:v>35.75</c:v>
                </c:pt>
              </c:numCache>
            </c:numRef>
          </c:val>
          <c:extLst xmlns:c16r2="http://schemas.microsoft.com/office/drawing/2015/06/chart">
            <c:ext xmlns:c16="http://schemas.microsoft.com/office/drawing/2014/chart" uri="{C3380CC4-5D6E-409C-BE32-E72D297353CC}">
              <c16:uniqueId val="{00000000-CF60-4346-A75E-78AC6484BFD7}"/>
            </c:ext>
          </c:extLst>
        </c:ser>
        <c:ser>
          <c:idx val="1"/>
          <c:order val="1"/>
          <c:tx>
            <c:v>Lone Person</c:v>
          </c:tx>
          <c:spPr>
            <a:solidFill>
              <a:schemeClr val="accent2"/>
            </a:solidFill>
            <a:ln>
              <a:noFill/>
            </a:ln>
            <a:effectLst/>
          </c:spPr>
          <c:invertIfNegative val="0"/>
          <c:cat>
            <c:strRef>
              <c:f>'H-hold Composition'!$AE$6:$AH$6</c:f>
              <c:strCache>
                <c:ptCount val="4"/>
                <c:pt idx="0">
                  <c:v>Under 35</c:v>
                </c:pt>
                <c:pt idx="1">
                  <c:v>35-54</c:v>
                </c:pt>
                <c:pt idx="2">
                  <c:v>55-64</c:v>
                </c:pt>
                <c:pt idx="3">
                  <c:v>65+</c:v>
                </c:pt>
              </c:strCache>
            </c:strRef>
          </c:cat>
          <c:val>
            <c:numRef>
              <c:f>'H-hold Composition'!$V$8:$Y$8</c:f>
              <c:numCache>
                <c:formatCode>#,##0.00</c:formatCode>
                <c:ptCount val="4"/>
                <c:pt idx="0">
                  <c:v>38.17</c:v>
                </c:pt>
                <c:pt idx="1">
                  <c:v>35.659999999999997</c:v>
                </c:pt>
                <c:pt idx="2">
                  <c:v>27.91</c:v>
                </c:pt>
                <c:pt idx="3">
                  <c:v>23.83</c:v>
                </c:pt>
              </c:numCache>
            </c:numRef>
          </c:val>
          <c:extLst xmlns:c16r2="http://schemas.microsoft.com/office/drawing/2015/06/chart">
            <c:ext xmlns:c16="http://schemas.microsoft.com/office/drawing/2014/chart" uri="{C3380CC4-5D6E-409C-BE32-E72D297353CC}">
              <c16:uniqueId val="{00000001-CF60-4346-A75E-78AC6484BFD7}"/>
            </c:ext>
          </c:extLst>
        </c:ser>
        <c:dLbls>
          <c:showLegendKey val="0"/>
          <c:showVal val="0"/>
          <c:showCatName val="0"/>
          <c:showSerName val="0"/>
          <c:showPercent val="0"/>
          <c:showBubbleSize val="0"/>
        </c:dLbls>
        <c:gapWidth val="219"/>
        <c:overlap val="-27"/>
        <c:axId val="131819008"/>
        <c:axId val="131820928"/>
      </c:barChart>
      <c:catAx>
        <c:axId val="1318190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820928"/>
        <c:crosses val="autoZero"/>
        <c:auto val="1"/>
        <c:lblAlgn val="ctr"/>
        <c:lblOffset val="100"/>
        <c:noMultiLvlLbl val="0"/>
      </c:catAx>
      <c:valAx>
        <c:axId val="131820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per week</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81900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5305714276923"/>
          <c:y val="0.16753273051551049"/>
          <c:w val="0.78048388734526586"/>
          <c:h val="0.55207364658052749"/>
        </c:manualLayout>
      </c:layout>
      <c:barChart>
        <c:barDir val="col"/>
        <c:grouping val="clustered"/>
        <c:varyColors val="0"/>
        <c:ser>
          <c:idx val="0"/>
          <c:order val="0"/>
          <c:tx>
            <c:v>Couple with Children</c:v>
          </c:tx>
          <c:spPr>
            <a:solidFill>
              <a:schemeClr val="accent1"/>
            </a:solidFill>
            <a:ln>
              <a:noFill/>
            </a:ln>
            <a:effectLst/>
          </c:spPr>
          <c:invertIfNegative val="0"/>
          <c:cat>
            <c:strRef>
              <c:f>'H-hold Composition'!$AJ$6:$AM$6</c:f>
              <c:strCache>
                <c:ptCount val="4"/>
                <c:pt idx="0">
                  <c:v>Under 5</c:v>
                </c:pt>
                <c:pt idx="1">
                  <c:v>5 to 14</c:v>
                </c:pt>
                <c:pt idx="2">
                  <c:v>15+</c:v>
                </c:pt>
                <c:pt idx="3">
                  <c:v>Non-dependent</c:v>
                </c:pt>
              </c:strCache>
            </c:strRef>
          </c:cat>
          <c:val>
            <c:numRef>
              <c:f>'H-hold Composition'!$F$8:$I$8</c:f>
              <c:numCache>
                <c:formatCode>#,##0.00</c:formatCode>
                <c:ptCount val="4"/>
                <c:pt idx="0">
                  <c:v>56.169999999999995</c:v>
                </c:pt>
                <c:pt idx="1">
                  <c:v>69.5</c:v>
                </c:pt>
                <c:pt idx="2">
                  <c:v>72.789999999999992</c:v>
                </c:pt>
                <c:pt idx="3">
                  <c:v>84.59</c:v>
                </c:pt>
              </c:numCache>
            </c:numRef>
          </c:val>
          <c:extLst xmlns:c16r2="http://schemas.microsoft.com/office/drawing/2015/06/chart">
            <c:ext xmlns:c16="http://schemas.microsoft.com/office/drawing/2014/chart" uri="{C3380CC4-5D6E-409C-BE32-E72D297353CC}">
              <c16:uniqueId val="{00000000-3FD1-4BFA-994B-440A897B98E7}"/>
            </c:ext>
          </c:extLst>
        </c:ser>
        <c:dLbls>
          <c:showLegendKey val="0"/>
          <c:showVal val="0"/>
          <c:showCatName val="0"/>
          <c:showSerName val="0"/>
          <c:showPercent val="0"/>
          <c:showBubbleSize val="0"/>
        </c:dLbls>
        <c:gapWidth val="219"/>
        <c:overlap val="-27"/>
        <c:axId val="131596288"/>
        <c:axId val="131598208"/>
      </c:barChart>
      <c:catAx>
        <c:axId val="131596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of Youngest Child</a:t>
                </a:r>
              </a:p>
            </c:rich>
          </c:tx>
          <c:layout>
            <c:manualLayout>
              <c:xMode val="edge"/>
              <c:yMode val="edge"/>
              <c:x val="0.26470139356847683"/>
              <c:y val="0.9099651861024790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598208"/>
        <c:crosses val="autoZero"/>
        <c:auto val="1"/>
        <c:lblAlgn val="ctr"/>
        <c:lblOffset val="20"/>
        <c:noMultiLvlLbl val="0"/>
      </c:catAx>
      <c:valAx>
        <c:axId val="131598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per week</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59628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122703412073491E-2"/>
          <c:y val="5.6584362139917695E-2"/>
          <c:w val="0.87232174103237092"/>
          <c:h val="0.64483814523184602"/>
        </c:manualLayout>
      </c:layout>
      <c:barChart>
        <c:barDir val="col"/>
        <c:grouping val="percentStacked"/>
        <c:varyColors val="0"/>
        <c:ser>
          <c:idx val="0"/>
          <c:order val="0"/>
          <c:tx>
            <c:v>Equipment</c:v>
          </c:tx>
          <c:spPr>
            <a:solidFill>
              <a:schemeClr val="accent1"/>
            </a:solidFill>
            <a:ln>
              <a:noFill/>
            </a:ln>
            <a:effectLst/>
          </c:spPr>
          <c:invertIfNegative val="0"/>
          <c:cat>
            <c:strRef>
              <c:f>'Housing Tenure'!$F$5:$I$5</c:f>
              <c:strCache>
                <c:ptCount val="4"/>
                <c:pt idx="0">
                  <c:v>Owner without a mortgage</c:v>
                </c:pt>
                <c:pt idx="1">
                  <c:v>Owner with a mortgage</c:v>
                </c:pt>
                <c:pt idx="2">
                  <c:v>State/territory housing 
authority </c:v>
                </c:pt>
                <c:pt idx="3">
                  <c:v>Private landlord</c:v>
                </c:pt>
              </c:strCache>
            </c:strRef>
          </c:cat>
          <c:val>
            <c:numRef>
              <c:f>'Housing Tenure'!$F$43:$I$43</c:f>
              <c:numCache>
                <c:formatCode>0.0</c:formatCode>
                <c:ptCount val="4"/>
                <c:pt idx="0">
                  <c:v>17.313991576977074</c:v>
                </c:pt>
                <c:pt idx="1">
                  <c:v>19.08020369191598</c:v>
                </c:pt>
                <c:pt idx="2">
                  <c:v>16.039744499645138</c:v>
                </c:pt>
                <c:pt idx="3">
                  <c:v>23.383923552557615</c:v>
                </c:pt>
              </c:numCache>
            </c:numRef>
          </c:val>
          <c:extLst xmlns:c16r2="http://schemas.microsoft.com/office/drawing/2015/06/chart">
            <c:ext xmlns:c16="http://schemas.microsoft.com/office/drawing/2014/chart" uri="{C3380CC4-5D6E-409C-BE32-E72D297353CC}">
              <c16:uniqueId val="{00000000-416C-4292-80D1-A6D6CF744CC4}"/>
            </c:ext>
          </c:extLst>
        </c:ser>
        <c:ser>
          <c:idx val="1"/>
          <c:order val="1"/>
          <c:tx>
            <c:v>Charges</c:v>
          </c:tx>
          <c:spPr>
            <a:solidFill>
              <a:schemeClr val="tx1">
                <a:lumMod val="65000"/>
                <a:lumOff val="35000"/>
              </a:schemeClr>
            </a:solidFill>
            <a:ln>
              <a:noFill/>
            </a:ln>
            <a:effectLst/>
          </c:spPr>
          <c:invertIfNegative val="0"/>
          <c:cat>
            <c:strRef>
              <c:f>'Housing Tenure'!$F$5:$I$5</c:f>
              <c:strCache>
                <c:ptCount val="4"/>
                <c:pt idx="0">
                  <c:v>Owner without a mortgage</c:v>
                </c:pt>
                <c:pt idx="1">
                  <c:v>Owner with a mortgage</c:v>
                </c:pt>
                <c:pt idx="2">
                  <c:v>State/territory housing 
authority </c:v>
                </c:pt>
                <c:pt idx="3">
                  <c:v>Private landlord</c:v>
                </c:pt>
              </c:strCache>
            </c:strRef>
          </c:cat>
          <c:val>
            <c:numRef>
              <c:f>'Housing Tenure'!$F$44:$I$44</c:f>
              <c:numCache>
                <c:formatCode>0.0</c:formatCode>
                <c:ptCount val="4"/>
                <c:pt idx="0">
                  <c:v>82.686008423022926</c:v>
                </c:pt>
                <c:pt idx="1">
                  <c:v>80.919796308084017</c:v>
                </c:pt>
                <c:pt idx="2">
                  <c:v>83.960255500354862</c:v>
                </c:pt>
                <c:pt idx="3">
                  <c:v>76.616076447442381</c:v>
                </c:pt>
              </c:numCache>
            </c:numRef>
          </c:val>
          <c:extLst xmlns:c16r2="http://schemas.microsoft.com/office/drawing/2015/06/chart">
            <c:ext xmlns:c16="http://schemas.microsoft.com/office/drawing/2014/chart" uri="{C3380CC4-5D6E-409C-BE32-E72D297353CC}">
              <c16:uniqueId val="{00000001-416C-4292-80D1-A6D6CF744CC4}"/>
            </c:ext>
          </c:extLst>
        </c:ser>
        <c:dLbls>
          <c:showLegendKey val="0"/>
          <c:showVal val="0"/>
          <c:showCatName val="0"/>
          <c:showSerName val="0"/>
          <c:showPercent val="0"/>
          <c:showBubbleSize val="0"/>
        </c:dLbls>
        <c:gapWidth val="150"/>
        <c:overlap val="100"/>
        <c:axId val="131638400"/>
        <c:axId val="131639936"/>
      </c:barChart>
      <c:catAx>
        <c:axId val="13163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639936"/>
        <c:crosses val="autoZero"/>
        <c:auto val="1"/>
        <c:lblAlgn val="ctr"/>
        <c:lblOffset val="100"/>
        <c:noMultiLvlLbl val="0"/>
      </c:catAx>
      <c:valAx>
        <c:axId val="131639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6384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Average Household</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'Time - Lowest Y Q'!$S$4:$U$4</c:f>
              <c:strCache>
                <c:ptCount val="3"/>
                <c:pt idx="0">
                  <c:v>2003-04</c:v>
                </c:pt>
                <c:pt idx="1">
                  <c:v>2009-10</c:v>
                </c:pt>
                <c:pt idx="2">
                  <c:v>2015-16</c:v>
                </c:pt>
              </c:strCache>
            </c:strRef>
          </c:cat>
          <c:val>
            <c:numRef>
              <c:f>'Time - Lowest Y Q'!$O$7:$Q$7</c:f>
              <c:numCache>
                <c:formatCode>General</c:formatCode>
                <c:ptCount val="3"/>
                <c:pt idx="0">
                  <c:v>51.83</c:v>
                </c:pt>
                <c:pt idx="1">
                  <c:v>56.35</c:v>
                </c:pt>
                <c:pt idx="2" formatCode="#,##0.00">
                  <c:v>52.74</c:v>
                </c:pt>
              </c:numCache>
            </c:numRef>
          </c:val>
          <c:extLst xmlns:c16r2="http://schemas.microsoft.com/office/drawing/2015/06/chart">
            <c:ext xmlns:c16="http://schemas.microsoft.com/office/drawing/2014/chart" uri="{C3380CC4-5D6E-409C-BE32-E72D297353CC}">
              <c16:uniqueId val="{00000000-6649-4F99-8753-B53A31D7D195}"/>
            </c:ext>
          </c:extLst>
        </c:ser>
        <c:ser>
          <c:idx val="1"/>
          <c:order val="1"/>
          <c:tx>
            <c:v>Lowest Income Quintile</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'Time - Lowest Y Q'!$S$4:$U$4</c:f>
              <c:strCache>
                <c:ptCount val="3"/>
                <c:pt idx="0">
                  <c:v>2003-04</c:v>
                </c:pt>
                <c:pt idx="1">
                  <c:v>2009-10</c:v>
                </c:pt>
                <c:pt idx="2">
                  <c:v>2015-16</c:v>
                </c:pt>
              </c:strCache>
            </c:strRef>
          </c:cat>
          <c:val>
            <c:numRef>
              <c:f>'Time - Lowest Y Q'!$W$7:$Y$7</c:f>
              <c:numCache>
                <c:formatCode>General</c:formatCode>
                <c:ptCount val="3"/>
                <c:pt idx="0">
                  <c:v>25.86</c:v>
                </c:pt>
                <c:pt idx="1">
                  <c:v>28.48</c:v>
                </c:pt>
                <c:pt idx="2" formatCode="#,##0.00">
                  <c:v>28.49</c:v>
                </c:pt>
              </c:numCache>
            </c:numRef>
          </c:val>
          <c:extLst xmlns:c16r2="http://schemas.microsoft.com/office/drawing/2015/06/chart">
            <c:ext xmlns:c16="http://schemas.microsoft.com/office/drawing/2014/chart" uri="{C3380CC4-5D6E-409C-BE32-E72D297353CC}">
              <c16:uniqueId val="{00000001-6649-4F99-8753-B53A31D7D195}"/>
            </c:ext>
          </c:extLst>
        </c:ser>
        <c:dLbls>
          <c:dLblPos val="outEnd"/>
          <c:showLegendKey val="0"/>
          <c:showVal val="1"/>
          <c:showCatName val="0"/>
          <c:showSerName val="0"/>
          <c:showPercent val="0"/>
          <c:showBubbleSize val="0"/>
        </c:dLbls>
        <c:gapWidth val="150"/>
        <c:axId val="131703552"/>
        <c:axId val="131705088"/>
      </c:barChart>
      <c:catAx>
        <c:axId val="13170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705088"/>
        <c:crosses val="autoZero"/>
        <c:auto val="1"/>
        <c:lblAlgn val="ctr"/>
        <c:lblOffset val="100"/>
        <c:noMultiLvlLbl val="0"/>
      </c:catAx>
      <c:valAx>
        <c:axId val="131705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Real (2016) $ per week</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70355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DE76A-82CD-4E25-8516-E03A5046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ACCAN Research Scheme report template.dot</Template>
  <TotalTime>18</TotalTime>
  <Pages>18</Pages>
  <Words>3280</Words>
  <Characters>18699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Ogle</dc:creator>
  <cp:lastModifiedBy>Tanya Karliychuk</cp:lastModifiedBy>
  <cp:revision>6</cp:revision>
  <cp:lastPrinted>2017-11-14T04:31:00Z</cp:lastPrinted>
  <dcterms:created xsi:type="dcterms:W3CDTF">2017-11-14T01:12:00Z</dcterms:created>
  <dcterms:modified xsi:type="dcterms:W3CDTF">2017-11-14T04:33:00Z</dcterms:modified>
</cp:coreProperties>
</file>