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42" w:type="dxa"/>
        <w:jc w:val="center"/>
        <w:tblLayout w:type="fixed"/>
        <w:tblCellMar>
          <w:left w:w="115" w:type="dxa"/>
          <w:right w:w="115" w:type="dxa"/>
        </w:tblCellMar>
        <w:tblLook w:val="0400" w:firstRow="0" w:lastRow="0" w:firstColumn="0" w:lastColumn="0" w:noHBand="0" w:noVBand="1"/>
      </w:tblPr>
      <w:tblGrid>
        <w:gridCol w:w="369"/>
        <w:gridCol w:w="8705"/>
        <w:gridCol w:w="168"/>
      </w:tblGrid>
      <w:tr w:rsidR="006C0912" w:rsidTr="006C0912">
        <w:trPr>
          <w:trHeight w:val="3415"/>
          <w:jc w:val="center"/>
        </w:trPr>
        <w:tc>
          <w:tcPr>
            <w:tcW w:w="9242" w:type="dxa"/>
            <w:gridSpan w:val="3"/>
            <w:shd w:val="clear" w:color="auto" w:fill="auto"/>
          </w:tcPr>
          <w:p w:rsidR="006C0912" w:rsidRDefault="006C0912" w:rsidP="006C0912"/>
        </w:tc>
      </w:tr>
      <w:tr w:rsidR="006C0912" w:rsidTr="006C0912">
        <w:trPr>
          <w:trHeight w:val="837"/>
          <w:jc w:val="center"/>
        </w:trPr>
        <w:tc>
          <w:tcPr>
            <w:tcW w:w="9242" w:type="dxa"/>
            <w:gridSpan w:val="3"/>
            <w:shd w:val="clear" w:color="auto" w:fill="auto"/>
            <w:vAlign w:val="center"/>
          </w:tcPr>
          <w:p w:rsidR="006C0912" w:rsidRPr="00305B0E" w:rsidRDefault="006C0912" w:rsidP="006C0912">
            <w:pPr>
              <w:pStyle w:val="TITLE1"/>
              <w:jc w:val="center"/>
              <w:rPr>
                <w:rFonts w:ascii="Trebuchet MS" w:hAnsi="Trebuchet MS"/>
              </w:rPr>
            </w:pPr>
            <w:r w:rsidRPr="006C0912">
              <w:t>The future of the Universal Service Obligation (USO)</w:t>
            </w:r>
          </w:p>
        </w:tc>
      </w:tr>
      <w:tr w:rsidR="006C0912" w:rsidTr="006C0912">
        <w:trPr>
          <w:gridBefore w:val="1"/>
          <w:gridAfter w:val="1"/>
          <w:wBefore w:w="369" w:type="dxa"/>
          <w:wAfter w:w="168" w:type="dxa"/>
          <w:trHeight w:val="1873"/>
          <w:jc w:val="center"/>
        </w:trPr>
        <w:tc>
          <w:tcPr>
            <w:tcW w:w="8705" w:type="dxa"/>
            <w:shd w:val="clear" w:color="auto" w:fill="auto"/>
            <w:vAlign w:val="center"/>
          </w:tcPr>
          <w:p w:rsidR="006C0912" w:rsidRPr="000B20CA" w:rsidRDefault="006C0912" w:rsidP="006C0912">
            <w:pPr>
              <w:pStyle w:val="TITLE2"/>
            </w:pPr>
          </w:p>
        </w:tc>
      </w:tr>
      <w:tr w:rsidR="006C0912" w:rsidTr="006C0912">
        <w:trPr>
          <w:trHeight w:val="251"/>
          <w:jc w:val="center"/>
        </w:trPr>
        <w:tc>
          <w:tcPr>
            <w:tcW w:w="9242" w:type="dxa"/>
            <w:gridSpan w:val="3"/>
            <w:shd w:val="clear" w:color="auto" w:fill="auto"/>
            <w:vAlign w:val="center"/>
          </w:tcPr>
          <w:p w:rsidR="006C0912" w:rsidRPr="00D70CAA" w:rsidRDefault="006C0912" w:rsidP="006C0912">
            <w:pPr>
              <w:jc w:val="center"/>
              <w:rPr>
                <w:b/>
              </w:rPr>
            </w:pPr>
            <w:r>
              <w:rPr>
                <w:b/>
              </w:rPr>
              <w:t>John de Ridder</w:t>
            </w:r>
          </w:p>
        </w:tc>
      </w:tr>
      <w:tr w:rsidR="006C0912" w:rsidTr="006C0912">
        <w:trPr>
          <w:trHeight w:val="251"/>
          <w:jc w:val="center"/>
        </w:trPr>
        <w:tc>
          <w:tcPr>
            <w:tcW w:w="9242" w:type="dxa"/>
            <w:gridSpan w:val="3"/>
            <w:shd w:val="clear" w:color="auto" w:fill="auto"/>
            <w:vAlign w:val="center"/>
          </w:tcPr>
          <w:p w:rsidR="006C0912" w:rsidRPr="00D70CAA" w:rsidRDefault="006C0912" w:rsidP="006C0912">
            <w:pPr>
              <w:jc w:val="center"/>
              <w:rPr>
                <w:b/>
              </w:rPr>
            </w:pPr>
            <w:r>
              <w:rPr>
                <w:b/>
                <w:noProof/>
              </w:rPr>
              <w:drawing>
                <wp:anchor distT="0" distB="0" distL="114300" distR="114300" simplePos="0" relativeHeight="251660800" behindDoc="0" locked="0" layoutInCell="1" allowOverlap="1">
                  <wp:simplePos x="0" y="0"/>
                  <wp:positionH relativeFrom="page">
                    <wp:posOffset>4493895</wp:posOffset>
                  </wp:positionH>
                  <wp:positionV relativeFrom="page">
                    <wp:posOffset>2626995</wp:posOffset>
                  </wp:positionV>
                  <wp:extent cx="1375410" cy="594360"/>
                  <wp:effectExtent l="0" t="0" r="0" b="0"/>
                  <wp:wrapThrough wrapText="bothSides">
                    <wp:wrapPolygon edited="0">
                      <wp:start x="7180" y="0"/>
                      <wp:lineTo x="898" y="3462"/>
                      <wp:lineTo x="0" y="4846"/>
                      <wp:lineTo x="0" y="17308"/>
                      <wp:lineTo x="7479" y="20769"/>
                      <wp:lineTo x="9274" y="20769"/>
                      <wp:lineTo x="21241" y="17308"/>
                      <wp:lineTo x="21241" y="3462"/>
                      <wp:lineTo x="9274" y="0"/>
                      <wp:lineTo x="718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41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November, 2015</w:t>
            </w:r>
          </w:p>
        </w:tc>
      </w:tr>
    </w:tbl>
    <w:p w:rsidR="008771CF" w:rsidRDefault="008771CF" w:rsidP="00DA4A69">
      <w:pPr>
        <w:pStyle w:val="Heading1"/>
        <w:sectPr w:rsidR="008771CF" w:rsidSect="00026835">
          <w:footerReference w:type="default" r:id="rId10"/>
          <w:pgSz w:w="11906" w:h="16838"/>
          <w:pgMar w:top="1440" w:right="1440" w:bottom="1440" w:left="1440" w:header="708" w:footer="708" w:gutter="0"/>
          <w:cols w:space="708"/>
          <w:docGrid w:linePitch="360"/>
        </w:sectPr>
      </w:pPr>
    </w:p>
    <w:p w:rsidR="00CA673A" w:rsidRPr="004E682E" w:rsidRDefault="00CA673A" w:rsidP="00CA673A">
      <w:r>
        <w:lastRenderedPageBreak/>
        <w:t xml:space="preserve">Occasional Papers are essays or reports which ACCAN considers contributions to the debate on specific issues related to communications in Australia. Occasional Papers published by ACCAN may be based on work carried out by external experts or other activities organised or supported by ACCAN. Occasional Papers reflect the views of their authors. </w:t>
      </w:r>
    </w:p>
    <w:p w:rsidR="008771CF" w:rsidRPr="004E682E" w:rsidRDefault="008771CF" w:rsidP="00CA673A">
      <w:r w:rsidRPr="004E682E">
        <w:t>“</w:t>
      </w:r>
      <w:r w:rsidRPr="006C0912">
        <w:t>The future of the Universal Service Obligation (USO)</w:t>
      </w:r>
      <w:r w:rsidRPr="008771CF">
        <w:t>”</w:t>
      </w:r>
    </w:p>
    <w:p w:rsidR="008771CF" w:rsidRPr="004E682E" w:rsidRDefault="008771CF" w:rsidP="008771CF">
      <w:r w:rsidRPr="008771CF">
        <w:t>Authored by John de Ridder</w:t>
      </w:r>
    </w:p>
    <w:p w:rsidR="008771CF" w:rsidRDefault="008771CF" w:rsidP="008771CF">
      <w:r w:rsidRPr="004E682E">
        <w:t xml:space="preserve">Published in </w:t>
      </w:r>
      <w:r>
        <w:t>2015</w:t>
      </w:r>
    </w:p>
    <w:p w:rsidR="008771CF" w:rsidRPr="008771CF" w:rsidRDefault="008771CF" w:rsidP="008771CF">
      <w:r w:rsidRPr="004E682E">
        <w:t xml:space="preserve">The operation of the Australian Communications Consumer Action Network is made possible by funding provided by the Commonwealth of Australia under section 593 of the </w:t>
      </w:r>
      <w:r w:rsidRPr="004E682E">
        <w:rPr>
          <w:i/>
        </w:rPr>
        <w:t>Telecommunications Act 1997</w:t>
      </w:r>
      <w:r w:rsidRPr="004E682E">
        <w:t xml:space="preserve">. This funding is recovered from charges on </w:t>
      </w:r>
      <w:r w:rsidRPr="008771CF">
        <w:t>telecommunications carriers.</w:t>
      </w:r>
    </w:p>
    <w:p w:rsidR="008771CF" w:rsidRPr="00DB0F6B" w:rsidRDefault="008771CF" w:rsidP="008771CF">
      <w:pPr>
        <w:rPr>
          <w:color w:val="1F497D"/>
        </w:rPr>
      </w:pPr>
      <w:r w:rsidRPr="000139C7">
        <w:t>De Ridder Consulting Pty Ltd</w:t>
      </w:r>
      <w:r w:rsidRPr="000139C7">
        <w:br/>
        <w:t>Website: www.deridder.com.au</w:t>
      </w:r>
      <w:r w:rsidRPr="000139C7">
        <w:br/>
      </w:r>
      <w:r w:rsidRPr="00DB0F6B">
        <w:t xml:space="preserve">Email: </w:t>
      </w:r>
      <w:hyperlink r:id="rId11" w:history="1">
        <w:r w:rsidR="00DB0F6B" w:rsidRPr="00DB0F6B">
          <w:rPr>
            <w:rStyle w:val="Hyperlink"/>
          </w:rPr>
          <w:t>deridder@bigpond.com</w:t>
        </w:r>
      </w:hyperlink>
      <w:r w:rsidR="00DB0F6B" w:rsidRPr="00DB0F6B">
        <w:rPr>
          <w:color w:val="1F497D"/>
        </w:rPr>
        <w:t xml:space="preserve"> </w:t>
      </w:r>
      <w:r w:rsidRPr="00DB0F6B">
        <w:br/>
      </w:r>
      <w:r w:rsidRPr="000139C7">
        <w:t xml:space="preserve">Telephone: +61 409 804 278 </w:t>
      </w:r>
    </w:p>
    <w:p w:rsidR="008771CF" w:rsidRPr="000139C7" w:rsidRDefault="008771CF" w:rsidP="008771CF">
      <w:r w:rsidRPr="000139C7">
        <w:t>Australian Communications Consumer Action Network</w:t>
      </w:r>
      <w:r w:rsidRPr="000139C7">
        <w:br/>
        <w:t>Website: www.accan.org.au</w:t>
      </w:r>
      <w:r w:rsidRPr="000139C7">
        <w:br/>
        <w:t xml:space="preserve">Email: </w:t>
      </w:r>
      <w:r w:rsidR="00F1781D" w:rsidRPr="000139C7">
        <w:t>research</w:t>
      </w:r>
      <w:r w:rsidRPr="000139C7">
        <w:t>@accan.org.au</w:t>
      </w:r>
      <w:r w:rsidRPr="000139C7">
        <w:br/>
        <w:t>Telephone: 02 9288 4000</w:t>
      </w:r>
      <w:r w:rsidRPr="000139C7">
        <w:br/>
        <w:t>TTY: 02 9281 5322</w:t>
      </w:r>
    </w:p>
    <w:p w:rsidR="008771CF" w:rsidRPr="000139C7" w:rsidRDefault="008771CF" w:rsidP="008771CF">
      <w:r w:rsidRPr="000139C7">
        <w:t xml:space="preserve">ISBN: </w:t>
      </w:r>
      <w:r w:rsidR="00CE355D" w:rsidRPr="000139C7">
        <w:t>978-1-921974-35-9</w:t>
      </w:r>
      <w:r w:rsidRPr="000139C7">
        <w:br/>
        <w:t>Cover:</w:t>
      </w:r>
      <w:r w:rsidR="00E85657">
        <w:t xml:space="preserve"> Richard </w:t>
      </w:r>
      <w:r w:rsidR="008B3063">
        <w:t>V</w:t>
      </w:r>
      <w:r w:rsidR="00E85657">
        <w:t xml:space="preserve">an </w:t>
      </w:r>
      <w:r w:rsidR="008B3063">
        <w:t>D</w:t>
      </w:r>
      <w:r w:rsidR="00E85657">
        <w:t>e</w:t>
      </w:r>
      <w:r w:rsidR="008B3063">
        <w:t>r</w:t>
      </w:r>
      <w:r w:rsidR="00E85657">
        <w:t xml:space="preserve"> Male. I</w:t>
      </w:r>
      <w:r w:rsidR="00E85657" w:rsidRPr="000139C7">
        <w:t>mage</w:t>
      </w:r>
      <w:r w:rsidR="00E85657">
        <w:t xml:space="preserve">: </w:t>
      </w:r>
      <w:proofErr w:type="spellStart"/>
      <w:r w:rsidR="003A0DC7" w:rsidRPr="000139C7">
        <w:t>Shutterstock</w:t>
      </w:r>
      <w:proofErr w:type="spellEnd"/>
      <w:r w:rsidR="003A0DC7" w:rsidRPr="000139C7">
        <w:t>, 2015</w:t>
      </w:r>
    </w:p>
    <w:p w:rsidR="008771CF" w:rsidRDefault="008771CF" w:rsidP="008771CF">
      <w:r>
        <w:rPr>
          <w:noProof/>
        </w:rPr>
        <w:drawing>
          <wp:inline distT="0" distB="0" distL="0" distR="0">
            <wp:extent cx="1121410" cy="396875"/>
            <wp:effectExtent l="0" t="0" r="2540" b="3175"/>
            <wp:docPr id="7" name="Picture 7"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04.png" title="Creative Commons logo"/>
                    <pic:cNvPicPr preferRelativeResize="0"/>
                  </pic:nvPicPr>
                  <pic:blipFill>
                    <a:blip r:embed="rId12"/>
                    <a:srcRect/>
                    <a:stretch>
                      <a:fillRect/>
                    </a:stretch>
                  </pic:blipFill>
                  <pic:spPr>
                    <a:xfrm>
                      <a:off x="0" y="0"/>
                      <a:ext cx="1121410" cy="396875"/>
                    </a:xfrm>
                    <a:prstGeom prst="rect">
                      <a:avLst/>
                    </a:prstGeom>
                    <a:ln/>
                  </pic:spPr>
                </pic:pic>
              </a:graphicData>
            </a:graphic>
          </wp:inline>
        </w:drawing>
      </w:r>
    </w:p>
    <w:p w:rsidR="008771CF" w:rsidRPr="004E682E" w:rsidRDefault="008771CF" w:rsidP="008771CF">
      <w:r w:rsidRPr="004E682E">
        <w:t xml:space="preserve">This work is copyright, licensed under the Creative Commons Attribution 3.0 Australia Licence. You are free to </w:t>
      </w:r>
      <w:proofErr w:type="gramStart"/>
      <w:r w:rsidRPr="004E682E">
        <w:t>cite,</w:t>
      </w:r>
      <w:proofErr w:type="gramEnd"/>
      <w:r w:rsidRPr="004E682E">
        <w:t xml:space="preserve"> copy, communicate and adapt this work, so long as you attribute “</w:t>
      </w:r>
      <w:r w:rsidR="00F1781D">
        <w:t>John de Ridder</w:t>
      </w:r>
      <w:r w:rsidRPr="004E682E">
        <w:t xml:space="preserve"> </w:t>
      </w:r>
      <w:r>
        <w:t>and</w:t>
      </w:r>
      <w:r w:rsidRPr="004E682E">
        <w:t xml:space="preserve"> the Australian Communications Consumer Action Network</w:t>
      </w:r>
      <w:r w:rsidR="00B8568C">
        <w:t xml:space="preserve"> (ACCAN</w:t>
      </w:r>
      <w:r>
        <w:t>)</w:t>
      </w:r>
      <w:r w:rsidRPr="004E682E">
        <w:t>”. To view a copy of this licen</w:t>
      </w:r>
      <w:r>
        <w:t>c</w:t>
      </w:r>
      <w:r w:rsidRPr="004E682E">
        <w:t>e, visit http://creativecommons.org/licenses/by/3.0/au/</w:t>
      </w:r>
    </w:p>
    <w:p w:rsidR="008771CF" w:rsidRDefault="008771CF" w:rsidP="008771CF">
      <w:pPr>
        <w:sectPr w:rsidR="008771CF" w:rsidSect="00F1781D">
          <w:headerReference w:type="default" r:id="rId13"/>
          <w:pgSz w:w="11906" w:h="16838"/>
          <w:pgMar w:top="1701" w:right="1701" w:bottom="2698" w:left="1701" w:header="720" w:footer="0" w:gutter="0"/>
          <w:pgNumType w:start="1"/>
          <w:cols w:space="720"/>
          <w:docGrid w:linePitch="299"/>
        </w:sectPr>
      </w:pPr>
      <w:bookmarkStart w:id="0" w:name="h.gjdgxs" w:colFirst="0" w:colLast="0"/>
      <w:bookmarkEnd w:id="0"/>
      <w:r w:rsidRPr="004E682E">
        <w:t xml:space="preserve">This work can be cited as: </w:t>
      </w:r>
      <w:r w:rsidR="00F1781D">
        <w:t>“</w:t>
      </w:r>
      <w:r w:rsidR="00F1781D" w:rsidRPr="00F1781D">
        <w:t>De Ridder</w:t>
      </w:r>
      <w:r w:rsidRPr="00F1781D">
        <w:t xml:space="preserve">, </w:t>
      </w:r>
      <w:r w:rsidR="00F1781D" w:rsidRPr="00F1781D">
        <w:t>John</w:t>
      </w:r>
      <w:r w:rsidRPr="00F1781D">
        <w:t xml:space="preserve">. 2015, </w:t>
      </w:r>
      <w:proofErr w:type="gramStart"/>
      <w:r w:rsidR="00F1781D" w:rsidRPr="00F1781D">
        <w:rPr>
          <w:i/>
        </w:rPr>
        <w:t>The</w:t>
      </w:r>
      <w:proofErr w:type="gramEnd"/>
      <w:r w:rsidR="00F1781D" w:rsidRPr="00F1781D">
        <w:rPr>
          <w:i/>
        </w:rPr>
        <w:t xml:space="preserve"> future of the Universal Service Obligation (USO)</w:t>
      </w:r>
      <w:r w:rsidR="00F1781D" w:rsidRPr="00F1781D">
        <w:t>”</w:t>
      </w:r>
      <w:r w:rsidRPr="00F1781D">
        <w:t>, A</w:t>
      </w:r>
      <w:r w:rsidRPr="004E682E">
        <w:t xml:space="preserve">ustralian Communications </w:t>
      </w:r>
      <w:r>
        <w:t>Consumer Action Network,</w:t>
      </w:r>
      <w:r w:rsidRPr="004E682E">
        <w:t xml:space="preserve"> Sydney.</w:t>
      </w:r>
    </w:p>
    <w:p w:rsidR="008771CF" w:rsidRPr="00746ED0" w:rsidRDefault="008771CF" w:rsidP="008771CF">
      <w:pPr>
        <w:pStyle w:val="Heading1"/>
      </w:pPr>
      <w:bookmarkStart w:id="1" w:name="h.30j0zll" w:colFirst="0" w:colLast="0"/>
      <w:bookmarkStart w:id="2" w:name="_Toc417397004"/>
      <w:bookmarkStart w:id="3" w:name="_Toc436046720"/>
      <w:bookmarkStart w:id="4" w:name="_Toc436048480"/>
      <w:bookmarkStart w:id="5" w:name="_Toc436056590"/>
      <w:bookmarkStart w:id="6" w:name="_Toc436121931"/>
      <w:bookmarkEnd w:id="1"/>
      <w:r w:rsidRPr="00746ED0">
        <w:lastRenderedPageBreak/>
        <w:t>Table of Cont</w:t>
      </w:r>
      <w:r w:rsidRPr="00240AA7">
        <w:t>ent</w:t>
      </w:r>
      <w:r w:rsidRPr="00746ED0">
        <w:t>s</w:t>
      </w:r>
      <w:bookmarkEnd w:id="2"/>
      <w:bookmarkEnd w:id="3"/>
      <w:bookmarkEnd w:id="4"/>
      <w:bookmarkEnd w:id="5"/>
      <w:bookmarkEnd w:id="6"/>
    </w:p>
    <w:p w:rsidR="00323414" w:rsidRDefault="00AE529A">
      <w:pPr>
        <w:pStyle w:val="TOC1"/>
        <w:tabs>
          <w:tab w:val="right" w:leader="dot" w:pos="9016"/>
        </w:tabs>
        <w:rPr>
          <w:rFonts w:asciiTheme="minorHAnsi" w:eastAsiaTheme="minorEastAsia" w:hAnsiTheme="minorHAnsi" w:cstheme="minorBidi"/>
          <w:noProof/>
          <w:szCs w:val="22"/>
        </w:rPr>
      </w:pPr>
      <w:r>
        <w:fldChar w:fldCharType="begin"/>
      </w:r>
      <w:r>
        <w:instrText xml:space="preserve"> TOC \o "1-2" \h \z \u </w:instrText>
      </w:r>
      <w:r>
        <w:fldChar w:fldCharType="separate"/>
      </w:r>
    </w:p>
    <w:p w:rsidR="00323414" w:rsidRDefault="00323414">
      <w:pPr>
        <w:pStyle w:val="TOC1"/>
        <w:tabs>
          <w:tab w:val="left" w:pos="440"/>
          <w:tab w:val="right" w:leader="dot" w:pos="9016"/>
        </w:tabs>
        <w:rPr>
          <w:rFonts w:asciiTheme="minorHAnsi" w:eastAsiaTheme="minorEastAsia" w:hAnsiTheme="minorHAnsi" w:cstheme="minorBidi"/>
          <w:noProof/>
          <w:szCs w:val="22"/>
        </w:rPr>
      </w:pPr>
      <w:hyperlink w:anchor="_Toc436121932" w:history="1">
        <w:r w:rsidRPr="00591A54">
          <w:rPr>
            <w:rStyle w:val="Hyperlink"/>
            <w:noProof/>
          </w:rPr>
          <w:t>1</w:t>
        </w:r>
        <w:r>
          <w:rPr>
            <w:rFonts w:asciiTheme="minorHAnsi" w:eastAsiaTheme="minorEastAsia" w:hAnsiTheme="minorHAnsi" w:cstheme="minorBidi"/>
            <w:noProof/>
            <w:szCs w:val="22"/>
          </w:rPr>
          <w:tab/>
        </w:r>
        <w:r w:rsidRPr="00591A54">
          <w:rPr>
            <w:rStyle w:val="Hyperlink"/>
            <w:noProof/>
          </w:rPr>
          <w:t>Summary</w:t>
        </w:r>
        <w:r>
          <w:rPr>
            <w:noProof/>
            <w:webHidden/>
          </w:rPr>
          <w:tab/>
        </w:r>
        <w:r>
          <w:rPr>
            <w:noProof/>
            <w:webHidden/>
          </w:rPr>
          <w:fldChar w:fldCharType="begin"/>
        </w:r>
        <w:r>
          <w:rPr>
            <w:noProof/>
            <w:webHidden/>
          </w:rPr>
          <w:instrText xml:space="preserve"> PAGEREF _Toc436121932 \h </w:instrText>
        </w:r>
        <w:r>
          <w:rPr>
            <w:noProof/>
            <w:webHidden/>
          </w:rPr>
        </w:r>
        <w:r>
          <w:rPr>
            <w:noProof/>
            <w:webHidden/>
          </w:rPr>
          <w:fldChar w:fldCharType="separate"/>
        </w:r>
        <w:r w:rsidR="00C6590E">
          <w:rPr>
            <w:noProof/>
            <w:webHidden/>
          </w:rPr>
          <w:t>2</w:t>
        </w:r>
        <w:r>
          <w:rPr>
            <w:noProof/>
            <w:webHidden/>
          </w:rPr>
          <w:fldChar w:fldCharType="end"/>
        </w:r>
      </w:hyperlink>
    </w:p>
    <w:p w:rsidR="00323414" w:rsidRDefault="00323414">
      <w:pPr>
        <w:pStyle w:val="TOC1"/>
        <w:tabs>
          <w:tab w:val="left" w:pos="440"/>
          <w:tab w:val="right" w:leader="dot" w:pos="9016"/>
        </w:tabs>
        <w:rPr>
          <w:rFonts w:asciiTheme="minorHAnsi" w:eastAsiaTheme="minorEastAsia" w:hAnsiTheme="minorHAnsi" w:cstheme="minorBidi"/>
          <w:noProof/>
          <w:szCs w:val="22"/>
        </w:rPr>
      </w:pPr>
      <w:hyperlink w:anchor="_Toc436121933" w:history="1">
        <w:r w:rsidRPr="00591A54">
          <w:rPr>
            <w:rStyle w:val="Hyperlink"/>
            <w:noProof/>
          </w:rPr>
          <w:t>2</w:t>
        </w:r>
        <w:r>
          <w:rPr>
            <w:rFonts w:asciiTheme="minorHAnsi" w:eastAsiaTheme="minorEastAsia" w:hAnsiTheme="minorHAnsi" w:cstheme="minorBidi"/>
            <w:noProof/>
            <w:szCs w:val="22"/>
          </w:rPr>
          <w:tab/>
        </w:r>
        <w:r w:rsidRPr="00591A54">
          <w:rPr>
            <w:rStyle w:val="Hyperlink"/>
            <w:noProof/>
          </w:rPr>
          <w:t>“Broken Concepts”</w:t>
        </w:r>
        <w:r>
          <w:rPr>
            <w:noProof/>
            <w:webHidden/>
          </w:rPr>
          <w:tab/>
        </w:r>
        <w:r>
          <w:rPr>
            <w:noProof/>
            <w:webHidden/>
          </w:rPr>
          <w:fldChar w:fldCharType="begin"/>
        </w:r>
        <w:r>
          <w:rPr>
            <w:noProof/>
            <w:webHidden/>
          </w:rPr>
          <w:instrText xml:space="preserve"> PAGEREF _Toc436121933 \h </w:instrText>
        </w:r>
        <w:r>
          <w:rPr>
            <w:noProof/>
            <w:webHidden/>
          </w:rPr>
        </w:r>
        <w:r>
          <w:rPr>
            <w:noProof/>
            <w:webHidden/>
          </w:rPr>
          <w:fldChar w:fldCharType="separate"/>
        </w:r>
        <w:r w:rsidR="00C6590E">
          <w:rPr>
            <w:noProof/>
            <w:webHidden/>
          </w:rPr>
          <w:t>4</w:t>
        </w:r>
        <w:r>
          <w:rPr>
            <w:noProof/>
            <w:webHidden/>
          </w:rPr>
          <w:fldChar w:fldCharType="end"/>
        </w:r>
      </w:hyperlink>
    </w:p>
    <w:p w:rsidR="00323414" w:rsidRDefault="00323414">
      <w:pPr>
        <w:pStyle w:val="TOC1"/>
        <w:tabs>
          <w:tab w:val="left" w:pos="440"/>
          <w:tab w:val="right" w:leader="dot" w:pos="9016"/>
        </w:tabs>
        <w:rPr>
          <w:rFonts w:asciiTheme="minorHAnsi" w:eastAsiaTheme="minorEastAsia" w:hAnsiTheme="minorHAnsi" w:cstheme="minorBidi"/>
          <w:noProof/>
          <w:szCs w:val="22"/>
        </w:rPr>
      </w:pPr>
      <w:hyperlink w:anchor="_Toc436121934" w:history="1">
        <w:r w:rsidRPr="00591A54">
          <w:rPr>
            <w:rStyle w:val="Hyperlink"/>
            <w:noProof/>
            <w:lang w:val="en-GB"/>
          </w:rPr>
          <w:t>3</w:t>
        </w:r>
        <w:r>
          <w:rPr>
            <w:rFonts w:asciiTheme="minorHAnsi" w:eastAsiaTheme="minorEastAsia" w:hAnsiTheme="minorHAnsi" w:cstheme="minorBidi"/>
            <w:noProof/>
            <w:szCs w:val="22"/>
          </w:rPr>
          <w:tab/>
        </w:r>
        <w:r w:rsidRPr="00591A54">
          <w:rPr>
            <w:rStyle w:val="Hyperlink"/>
            <w:noProof/>
            <w:lang w:val="en-GB"/>
          </w:rPr>
          <w:t>What Are We Solving For?</w:t>
        </w:r>
        <w:r>
          <w:rPr>
            <w:noProof/>
            <w:webHidden/>
          </w:rPr>
          <w:tab/>
        </w:r>
        <w:r>
          <w:rPr>
            <w:noProof/>
            <w:webHidden/>
          </w:rPr>
          <w:fldChar w:fldCharType="begin"/>
        </w:r>
        <w:r>
          <w:rPr>
            <w:noProof/>
            <w:webHidden/>
          </w:rPr>
          <w:instrText xml:space="preserve"> PAGEREF _Toc436121934 \h </w:instrText>
        </w:r>
        <w:r>
          <w:rPr>
            <w:noProof/>
            <w:webHidden/>
          </w:rPr>
        </w:r>
        <w:r>
          <w:rPr>
            <w:noProof/>
            <w:webHidden/>
          </w:rPr>
          <w:fldChar w:fldCharType="separate"/>
        </w:r>
        <w:r w:rsidR="00C6590E">
          <w:rPr>
            <w:noProof/>
            <w:webHidden/>
          </w:rPr>
          <w:t>7</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35" w:history="1">
        <w:r w:rsidRPr="00591A54">
          <w:rPr>
            <w:rStyle w:val="Hyperlink"/>
            <w:noProof/>
          </w:rPr>
          <w:t xml:space="preserve">3.1 </w:t>
        </w:r>
        <w:r>
          <w:rPr>
            <w:rFonts w:asciiTheme="minorHAnsi" w:eastAsiaTheme="minorEastAsia" w:hAnsiTheme="minorHAnsi" w:cstheme="minorBidi"/>
            <w:noProof/>
            <w:szCs w:val="22"/>
          </w:rPr>
          <w:tab/>
        </w:r>
        <w:r w:rsidRPr="00591A54">
          <w:rPr>
            <w:rStyle w:val="Hyperlink"/>
            <w:noProof/>
          </w:rPr>
          <w:t>Universal availability</w:t>
        </w:r>
        <w:r>
          <w:rPr>
            <w:noProof/>
            <w:webHidden/>
          </w:rPr>
          <w:tab/>
        </w:r>
        <w:r>
          <w:rPr>
            <w:noProof/>
            <w:webHidden/>
          </w:rPr>
          <w:fldChar w:fldCharType="begin"/>
        </w:r>
        <w:r>
          <w:rPr>
            <w:noProof/>
            <w:webHidden/>
          </w:rPr>
          <w:instrText xml:space="preserve"> PAGEREF _Toc436121935 \h </w:instrText>
        </w:r>
        <w:r>
          <w:rPr>
            <w:noProof/>
            <w:webHidden/>
          </w:rPr>
        </w:r>
        <w:r>
          <w:rPr>
            <w:noProof/>
            <w:webHidden/>
          </w:rPr>
          <w:fldChar w:fldCharType="separate"/>
        </w:r>
        <w:r w:rsidR="00C6590E">
          <w:rPr>
            <w:noProof/>
            <w:webHidden/>
          </w:rPr>
          <w:t>9</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36" w:history="1">
        <w:r w:rsidRPr="00591A54">
          <w:rPr>
            <w:rStyle w:val="Hyperlink"/>
            <w:noProof/>
          </w:rPr>
          <w:t>3.2</w:t>
        </w:r>
        <w:r>
          <w:rPr>
            <w:rFonts w:asciiTheme="minorHAnsi" w:eastAsiaTheme="minorEastAsia" w:hAnsiTheme="minorHAnsi" w:cstheme="minorBidi"/>
            <w:noProof/>
            <w:szCs w:val="22"/>
          </w:rPr>
          <w:tab/>
        </w:r>
        <w:r w:rsidRPr="00591A54">
          <w:rPr>
            <w:rStyle w:val="Hyperlink"/>
            <w:noProof/>
          </w:rPr>
          <w:t>Universal accessibility</w:t>
        </w:r>
        <w:r>
          <w:rPr>
            <w:noProof/>
            <w:webHidden/>
          </w:rPr>
          <w:tab/>
        </w:r>
        <w:r>
          <w:rPr>
            <w:noProof/>
            <w:webHidden/>
          </w:rPr>
          <w:fldChar w:fldCharType="begin"/>
        </w:r>
        <w:r>
          <w:rPr>
            <w:noProof/>
            <w:webHidden/>
          </w:rPr>
          <w:instrText xml:space="preserve"> PAGEREF _Toc436121936 \h </w:instrText>
        </w:r>
        <w:r>
          <w:rPr>
            <w:noProof/>
            <w:webHidden/>
          </w:rPr>
        </w:r>
        <w:r>
          <w:rPr>
            <w:noProof/>
            <w:webHidden/>
          </w:rPr>
          <w:fldChar w:fldCharType="separate"/>
        </w:r>
        <w:r w:rsidR="00C6590E">
          <w:rPr>
            <w:noProof/>
            <w:webHidden/>
          </w:rPr>
          <w:t>11</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37" w:history="1">
        <w:r w:rsidRPr="00591A54">
          <w:rPr>
            <w:rStyle w:val="Hyperlink"/>
            <w:noProof/>
          </w:rPr>
          <w:t>3.3</w:t>
        </w:r>
        <w:r>
          <w:rPr>
            <w:rFonts w:asciiTheme="minorHAnsi" w:eastAsiaTheme="minorEastAsia" w:hAnsiTheme="minorHAnsi" w:cstheme="minorBidi"/>
            <w:noProof/>
            <w:szCs w:val="22"/>
          </w:rPr>
          <w:tab/>
        </w:r>
        <w:r w:rsidRPr="00591A54">
          <w:rPr>
            <w:rStyle w:val="Hyperlink"/>
            <w:noProof/>
          </w:rPr>
          <w:t>Universal affordability</w:t>
        </w:r>
        <w:r>
          <w:rPr>
            <w:noProof/>
            <w:webHidden/>
          </w:rPr>
          <w:tab/>
        </w:r>
        <w:r>
          <w:rPr>
            <w:noProof/>
            <w:webHidden/>
          </w:rPr>
          <w:fldChar w:fldCharType="begin"/>
        </w:r>
        <w:r>
          <w:rPr>
            <w:noProof/>
            <w:webHidden/>
          </w:rPr>
          <w:instrText xml:space="preserve"> PAGEREF _Toc436121937 \h </w:instrText>
        </w:r>
        <w:r>
          <w:rPr>
            <w:noProof/>
            <w:webHidden/>
          </w:rPr>
        </w:r>
        <w:r>
          <w:rPr>
            <w:noProof/>
            <w:webHidden/>
          </w:rPr>
          <w:fldChar w:fldCharType="separate"/>
        </w:r>
        <w:r w:rsidR="00C6590E">
          <w:rPr>
            <w:noProof/>
            <w:webHidden/>
          </w:rPr>
          <w:t>14</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38" w:history="1">
        <w:r w:rsidRPr="00591A54">
          <w:rPr>
            <w:rStyle w:val="Hyperlink"/>
            <w:noProof/>
          </w:rPr>
          <w:t>3.4</w:t>
        </w:r>
        <w:r>
          <w:rPr>
            <w:rFonts w:asciiTheme="minorHAnsi" w:eastAsiaTheme="minorEastAsia" w:hAnsiTheme="minorHAnsi" w:cstheme="minorBidi"/>
            <w:noProof/>
            <w:szCs w:val="22"/>
          </w:rPr>
          <w:tab/>
        </w:r>
        <w:r w:rsidRPr="00591A54">
          <w:rPr>
            <w:rStyle w:val="Hyperlink"/>
            <w:noProof/>
          </w:rPr>
          <w:t>Are there other “Universals”?</w:t>
        </w:r>
        <w:r>
          <w:rPr>
            <w:noProof/>
            <w:webHidden/>
          </w:rPr>
          <w:tab/>
        </w:r>
        <w:r>
          <w:rPr>
            <w:noProof/>
            <w:webHidden/>
          </w:rPr>
          <w:fldChar w:fldCharType="begin"/>
        </w:r>
        <w:r>
          <w:rPr>
            <w:noProof/>
            <w:webHidden/>
          </w:rPr>
          <w:instrText xml:space="preserve"> PAGEREF _Toc436121938 \h </w:instrText>
        </w:r>
        <w:r>
          <w:rPr>
            <w:noProof/>
            <w:webHidden/>
          </w:rPr>
        </w:r>
        <w:r>
          <w:rPr>
            <w:noProof/>
            <w:webHidden/>
          </w:rPr>
          <w:fldChar w:fldCharType="separate"/>
        </w:r>
        <w:r w:rsidR="00C6590E">
          <w:rPr>
            <w:noProof/>
            <w:webHidden/>
          </w:rPr>
          <w:t>22</w:t>
        </w:r>
        <w:r>
          <w:rPr>
            <w:noProof/>
            <w:webHidden/>
          </w:rPr>
          <w:fldChar w:fldCharType="end"/>
        </w:r>
      </w:hyperlink>
    </w:p>
    <w:p w:rsidR="00323414" w:rsidRDefault="00323414">
      <w:pPr>
        <w:pStyle w:val="TOC1"/>
        <w:tabs>
          <w:tab w:val="left" w:pos="440"/>
          <w:tab w:val="right" w:leader="dot" w:pos="9016"/>
        </w:tabs>
        <w:rPr>
          <w:rFonts w:asciiTheme="minorHAnsi" w:eastAsiaTheme="minorEastAsia" w:hAnsiTheme="minorHAnsi" w:cstheme="minorBidi"/>
          <w:noProof/>
          <w:szCs w:val="22"/>
        </w:rPr>
      </w:pPr>
      <w:hyperlink w:anchor="_Toc436121939" w:history="1">
        <w:r w:rsidRPr="00591A54">
          <w:rPr>
            <w:rStyle w:val="Hyperlink"/>
            <w:noProof/>
          </w:rPr>
          <w:t>4</w:t>
        </w:r>
        <w:r>
          <w:rPr>
            <w:rFonts w:asciiTheme="minorHAnsi" w:eastAsiaTheme="minorEastAsia" w:hAnsiTheme="minorHAnsi" w:cstheme="minorBidi"/>
            <w:noProof/>
            <w:szCs w:val="22"/>
          </w:rPr>
          <w:tab/>
        </w:r>
        <w:r w:rsidRPr="00591A54">
          <w:rPr>
            <w:rStyle w:val="Hyperlink"/>
            <w:noProof/>
          </w:rPr>
          <w:t>Who Are You Going To Call?</w:t>
        </w:r>
        <w:r>
          <w:rPr>
            <w:noProof/>
            <w:webHidden/>
          </w:rPr>
          <w:tab/>
        </w:r>
        <w:r>
          <w:rPr>
            <w:noProof/>
            <w:webHidden/>
          </w:rPr>
          <w:fldChar w:fldCharType="begin"/>
        </w:r>
        <w:r>
          <w:rPr>
            <w:noProof/>
            <w:webHidden/>
          </w:rPr>
          <w:instrText xml:space="preserve"> PAGEREF _Toc436121939 \h </w:instrText>
        </w:r>
        <w:r>
          <w:rPr>
            <w:noProof/>
            <w:webHidden/>
          </w:rPr>
        </w:r>
        <w:r>
          <w:rPr>
            <w:noProof/>
            <w:webHidden/>
          </w:rPr>
          <w:fldChar w:fldCharType="separate"/>
        </w:r>
        <w:r w:rsidR="00C6590E">
          <w:rPr>
            <w:noProof/>
            <w:webHidden/>
          </w:rPr>
          <w:t>25</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0" w:history="1">
        <w:r w:rsidRPr="00591A54">
          <w:rPr>
            <w:rStyle w:val="Hyperlink"/>
            <w:noProof/>
          </w:rPr>
          <w:t>4.1</w:t>
        </w:r>
        <w:r>
          <w:rPr>
            <w:rFonts w:asciiTheme="minorHAnsi" w:eastAsiaTheme="minorEastAsia" w:hAnsiTheme="minorHAnsi" w:cstheme="minorBidi"/>
            <w:noProof/>
            <w:szCs w:val="22"/>
          </w:rPr>
          <w:tab/>
        </w:r>
        <w:r w:rsidRPr="00591A54">
          <w:rPr>
            <w:rStyle w:val="Hyperlink"/>
            <w:noProof/>
          </w:rPr>
          <w:t>Option 1</w:t>
        </w:r>
        <w:r>
          <w:rPr>
            <w:noProof/>
            <w:webHidden/>
          </w:rPr>
          <w:tab/>
        </w:r>
        <w:r>
          <w:rPr>
            <w:noProof/>
            <w:webHidden/>
          </w:rPr>
          <w:fldChar w:fldCharType="begin"/>
        </w:r>
        <w:r>
          <w:rPr>
            <w:noProof/>
            <w:webHidden/>
          </w:rPr>
          <w:instrText xml:space="preserve"> PAGEREF _Toc436121940 \h </w:instrText>
        </w:r>
        <w:r>
          <w:rPr>
            <w:noProof/>
            <w:webHidden/>
          </w:rPr>
        </w:r>
        <w:r>
          <w:rPr>
            <w:noProof/>
            <w:webHidden/>
          </w:rPr>
          <w:fldChar w:fldCharType="separate"/>
        </w:r>
        <w:r w:rsidR="00C6590E">
          <w:rPr>
            <w:noProof/>
            <w:webHidden/>
          </w:rPr>
          <w:t>28</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1" w:history="1">
        <w:r w:rsidRPr="00591A54">
          <w:rPr>
            <w:rStyle w:val="Hyperlink"/>
            <w:noProof/>
          </w:rPr>
          <w:t>4.2</w:t>
        </w:r>
        <w:r>
          <w:rPr>
            <w:rFonts w:asciiTheme="minorHAnsi" w:eastAsiaTheme="minorEastAsia" w:hAnsiTheme="minorHAnsi" w:cstheme="minorBidi"/>
            <w:noProof/>
            <w:szCs w:val="22"/>
          </w:rPr>
          <w:tab/>
        </w:r>
        <w:r w:rsidRPr="00591A54">
          <w:rPr>
            <w:rStyle w:val="Hyperlink"/>
            <w:noProof/>
          </w:rPr>
          <w:t>Option 2</w:t>
        </w:r>
        <w:r>
          <w:rPr>
            <w:noProof/>
            <w:webHidden/>
          </w:rPr>
          <w:tab/>
        </w:r>
        <w:r>
          <w:rPr>
            <w:noProof/>
            <w:webHidden/>
          </w:rPr>
          <w:fldChar w:fldCharType="begin"/>
        </w:r>
        <w:r>
          <w:rPr>
            <w:noProof/>
            <w:webHidden/>
          </w:rPr>
          <w:instrText xml:space="preserve"> PAGEREF _Toc436121941 \h </w:instrText>
        </w:r>
        <w:r>
          <w:rPr>
            <w:noProof/>
            <w:webHidden/>
          </w:rPr>
        </w:r>
        <w:r>
          <w:rPr>
            <w:noProof/>
            <w:webHidden/>
          </w:rPr>
          <w:fldChar w:fldCharType="separate"/>
        </w:r>
        <w:r w:rsidR="00C6590E">
          <w:rPr>
            <w:noProof/>
            <w:webHidden/>
          </w:rPr>
          <w:t>29</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2" w:history="1">
        <w:r w:rsidRPr="00591A54">
          <w:rPr>
            <w:rStyle w:val="Hyperlink"/>
            <w:noProof/>
          </w:rPr>
          <w:t>4.3</w:t>
        </w:r>
        <w:r>
          <w:rPr>
            <w:rFonts w:asciiTheme="minorHAnsi" w:eastAsiaTheme="minorEastAsia" w:hAnsiTheme="minorHAnsi" w:cstheme="minorBidi"/>
            <w:noProof/>
            <w:szCs w:val="22"/>
          </w:rPr>
          <w:tab/>
        </w:r>
        <w:r w:rsidRPr="00591A54">
          <w:rPr>
            <w:rStyle w:val="Hyperlink"/>
            <w:noProof/>
          </w:rPr>
          <w:t>Option 3</w:t>
        </w:r>
        <w:r>
          <w:rPr>
            <w:noProof/>
            <w:webHidden/>
          </w:rPr>
          <w:tab/>
        </w:r>
        <w:r>
          <w:rPr>
            <w:noProof/>
            <w:webHidden/>
          </w:rPr>
          <w:fldChar w:fldCharType="begin"/>
        </w:r>
        <w:r>
          <w:rPr>
            <w:noProof/>
            <w:webHidden/>
          </w:rPr>
          <w:instrText xml:space="preserve"> PAGEREF _Toc436121942 \h </w:instrText>
        </w:r>
        <w:r>
          <w:rPr>
            <w:noProof/>
            <w:webHidden/>
          </w:rPr>
        </w:r>
        <w:r>
          <w:rPr>
            <w:noProof/>
            <w:webHidden/>
          </w:rPr>
          <w:fldChar w:fldCharType="separate"/>
        </w:r>
        <w:r w:rsidR="00C6590E">
          <w:rPr>
            <w:noProof/>
            <w:webHidden/>
          </w:rPr>
          <w:t>30</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3" w:history="1">
        <w:r w:rsidRPr="00591A54">
          <w:rPr>
            <w:rStyle w:val="Hyperlink"/>
            <w:noProof/>
          </w:rPr>
          <w:t>4.4</w:t>
        </w:r>
        <w:r>
          <w:rPr>
            <w:rFonts w:asciiTheme="minorHAnsi" w:eastAsiaTheme="minorEastAsia" w:hAnsiTheme="minorHAnsi" w:cstheme="minorBidi"/>
            <w:noProof/>
            <w:szCs w:val="22"/>
          </w:rPr>
          <w:tab/>
        </w:r>
        <w:r w:rsidRPr="00591A54">
          <w:rPr>
            <w:rStyle w:val="Hyperlink"/>
            <w:noProof/>
          </w:rPr>
          <w:t>Option 4</w:t>
        </w:r>
        <w:r>
          <w:rPr>
            <w:noProof/>
            <w:webHidden/>
          </w:rPr>
          <w:tab/>
        </w:r>
        <w:r>
          <w:rPr>
            <w:noProof/>
            <w:webHidden/>
          </w:rPr>
          <w:fldChar w:fldCharType="begin"/>
        </w:r>
        <w:r>
          <w:rPr>
            <w:noProof/>
            <w:webHidden/>
          </w:rPr>
          <w:instrText xml:space="preserve"> PAGEREF _Toc436121943 \h </w:instrText>
        </w:r>
        <w:r>
          <w:rPr>
            <w:noProof/>
            <w:webHidden/>
          </w:rPr>
        </w:r>
        <w:r>
          <w:rPr>
            <w:noProof/>
            <w:webHidden/>
          </w:rPr>
          <w:fldChar w:fldCharType="separate"/>
        </w:r>
        <w:r w:rsidR="00C6590E">
          <w:rPr>
            <w:noProof/>
            <w:webHidden/>
          </w:rPr>
          <w:t>31</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4" w:history="1">
        <w:r w:rsidRPr="00591A54">
          <w:rPr>
            <w:rStyle w:val="Hyperlink"/>
            <w:noProof/>
          </w:rPr>
          <w:t>4.5</w:t>
        </w:r>
        <w:r>
          <w:rPr>
            <w:rFonts w:asciiTheme="minorHAnsi" w:eastAsiaTheme="minorEastAsia" w:hAnsiTheme="minorHAnsi" w:cstheme="minorBidi"/>
            <w:noProof/>
            <w:szCs w:val="22"/>
          </w:rPr>
          <w:tab/>
        </w:r>
        <w:r w:rsidRPr="00591A54">
          <w:rPr>
            <w:rStyle w:val="Hyperlink"/>
            <w:noProof/>
          </w:rPr>
          <w:t>Option 5</w:t>
        </w:r>
        <w:r>
          <w:rPr>
            <w:noProof/>
            <w:webHidden/>
          </w:rPr>
          <w:tab/>
        </w:r>
        <w:r>
          <w:rPr>
            <w:noProof/>
            <w:webHidden/>
          </w:rPr>
          <w:fldChar w:fldCharType="begin"/>
        </w:r>
        <w:r>
          <w:rPr>
            <w:noProof/>
            <w:webHidden/>
          </w:rPr>
          <w:instrText xml:space="preserve"> PAGEREF _Toc436121944 \h </w:instrText>
        </w:r>
        <w:r>
          <w:rPr>
            <w:noProof/>
            <w:webHidden/>
          </w:rPr>
        </w:r>
        <w:r>
          <w:rPr>
            <w:noProof/>
            <w:webHidden/>
          </w:rPr>
          <w:fldChar w:fldCharType="separate"/>
        </w:r>
        <w:r w:rsidR="00C6590E">
          <w:rPr>
            <w:noProof/>
            <w:webHidden/>
          </w:rPr>
          <w:t>32</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5" w:history="1">
        <w:r w:rsidRPr="00591A54">
          <w:rPr>
            <w:rStyle w:val="Hyperlink"/>
            <w:noProof/>
          </w:rPr>
          <w:t>4.6</w:t>
        </w:r>
        <w:r>
          <w:rPr>
            <w:rFonts w:asciiTheme="minorHAnsi" w:eastAsiaTheme="minorEastAsia" w:hAnsiTheme="minorHAnsi" w:cstheme="minorBidi"/>
            <w:noProof/>
            <w:szCs w:val="22"/>
          </w:rPr>
          <w:tab/>
        </w:r>
        <w:r w:rsidRPr="00591A54">
          <w:rPr>
            <w:rStyle w:val="Hyperlink"/>
            <w:noProof/>
          </w:rPr>
          <w:t>Option 6</w:t>
        </w:r>
        <w:r>
          <w:rPr>
            <w:noProof/>
            <w:webHidden/>
          </w:rPr>
          <w:tab/>
        </w:r>
        <w:r>
          <w:rPr>
            <w:noProof/>
            <w:webHidden/>
          </w:rPr>
          <w:fldChar w:fldCharType="begin"/>
        </w:r>
        <w:r>
          <w:rPr>
            <w:noProof/>
            <w:webHidden/>
          </w:rPr>
          <w:instrText xml:space="preserve"> PAGEREF _Toc436121945 \h </w:instrText>
        </w:r>
        <w:r>
          <w:rPr>
            <w:noProof/>
            <w:webHidden/>
          </w:rPr>
        </w:r>
        <w:r>
          <w:rPr>
            <w:noProof/>
            <w:webHidden/>
          </w:rPr>
          <w:fldChar w:fldCharType="separate"/>
        </w:r>
        <w:r w:rsidR="00C6590E">
          <w:rPr>
            <w:noProof/>
            <w:webHidden/>
          </w:rPr>
          <w:t>32</w:t>
        </w:r>
        <w:r>
          <w:rPr>
            <w:noProof/>
            <w:webHidden/>
          </w:rPr>
          <w:fldChar w:fldCharType="end"/>
        </w:r>
      </w:hyperlink>
    </w:p>
    <w:p w:rsidR="00323414" w:rsidRDefault="00323414">
      <w:pPr>
        <w:pStyle w:val="TOC2"/>
        <w:tabs>
          <w:tab w:val="left" w:pos="880"/>
          <w:tab w:val="right" w:leader="dot" w:pos="9016"/>
        </w:tabs>
        <w:rPr>
          <w:rFonts w:asciiTheme="minorHAnsi" w:eastAsiaTheme="minorEastAsia" w:hAnsiTheme="minorHAnsi" w:cstheme="minorBidi"/>
          <w:noProof/>
          <w:szCs w:val="22"/>
        </w:rPr>
      </w:pPr>
      <w:hyperlink w:anchor="_Toc436121946" w:history="1">
        <w:r w:rsidRPr="00591A54">
          <w:rPr>
            <w:rStyle w:val="Hyperlink"/>
            <w:noProof/>
          </w:rPr>
          <w:t>4.7</w:t>
        </w:r>
        <w:r>
          <w:rPr>
            <w:rFonts w:asciiTheme="minorHAnsi" w:eastAsiaTheme="minorEastAsia" w:hAnsiTheme="minorHAnsi" w:cstheme="minorBidi"/>
            <w:noProof/>
            <w:szCs w:val="22"/>
          </w:rPr>
          <w:tab/>
        </w:r>
        <w:r w:rsidRPr="00591A54">
          <w:rPr>
            <w:rStyle w:val="Hyperlink"/>
            <w:noProof/>
          </w:rPr>
          <w:t>Best pick options</w:t>
        </w:r>
        <w:r>
          <w:rPr>
            <w:noProof/>
            <w:webHidden/>
          </w:rPr>
          <w:tab/>
        </w:r>
        <w:r>
          <w:rPr>
            <w:noProof/>
            <w:webHidden/>
          </w:rPr>
          <w:fldChar w:fldCharType="begin"/>
        </w:r>
        <w:r>
          <w:rPr>
            <w:noProof/>
            <w:webHidden/>
          </w:rPr>
          <w:instrText xml:space="preserve"> PAGEREF _Toc436121946 \h </w:instrText>
        </w:r>
        <w:r>
          <w:rPr>
            <w:noProof/>
            <w:webHidden/>
          </w:rPr>
        </w:r>
        <w:r>
          <w:rPr>
            <w:noProof/>
            <w:webHidden/>
          </w:rPr>
          <w:fldChar w:fldCharType="separate"/>
        </w:r>
        <w:r w:rsidR="00C6590E">
          <w:rPr>
            <w:noProof/>
            <w:webHidden/>
          </w:rPr>
          <w:t>33</w:t>
        </w:r>
        <w:r>
          <w:rPr>
            <w:noProof/>
            <w:webHidden/>
          </w:rPr>
          <w:fldChar w:fldCharType="end"/>
        </w:r>
      </w:hyperlink>
    </w:p>
    <w:p w:rsidR="00323414" w:rsidRDefault="00323414">
      <w:pPr>
        <w:pStyle w:val="TOC1"/>
        <w:tabs>
          <w:tab w:val="right" w:leader="dot" w:pos="9016"/>
        </w:tabs>
        <w:rPr>
          <w:rFonts w:asciiTheme="minorHAnsi" w:eastAsiaTheme="minorEastAsia" w:hAnsiTheme="minorHAnsi" w:cstheme="minorBidi"/>
          <w:noProof/>
          <w:szCs w:val="22"/>
        </w:rPr>
      </w:pPr>
      <w:hyperlink w:anchor="_Toc436121947" w:history="1">
        <w:r w:rsidRPr="00591A54">
          <w:rPr>
            <w:rStyle w:val="Hyperlink"/>
            <w:noProof/>
          </w:rPr>
          <w:t>References</w:t>
        </w:r>
        <w:r>
          <w:rPr>
            <w:noProof/>
            <w:webHidden/>
          </w:rPr>
          <w:tab/>
        </w:r>
        <w:r>
          <w:rPr>
            <w:noProof/>
            <w:webHidden/>
          </w:rPr>
          <w:fldChar w:fldCharType="begin"/>
        </w:r>
        <w:r>
          <w:rPr>
            <w:noProof/>
            <w:webHidden/>
          </w:rPr>
          <w:instrText xml:space="preserve"> PAGEREF _Toc436121947 \h </w:instrText>
        </w:r>
        <w:r>
          <w:rPr>
            <w:noProof/>
            <w:webHidden/>
          </w:rPr>
        </w:r>
        <w:r>
          <w:rPr>
            <w:noProof/>
            <w:webHidden/>
          </w:rPr>
          <w:fldChar w:fldCharType="separate"/>
        </w:r>
        <w:r w:rsidR="00C6590E">
          <w:rPr>
            <w:noProof/>
            <w:webHidden/>
          </w:rPr>
          <w:t>35</w:t>
        </w:r>
        <w:r>
          <w:rPr>
            <w:noProof/>
            <w:webHidden/>
          </w:rPr>
          <w:fldChar w:fldCharType="end"/>
        </w:r>
      </w:hyperlink>
    </w:p>
    <w:p w:rsidR="00323414" w:rsidRDefault="00323414">
      <w:pPr>
        <w:pStyle w:val="TOC1"/>
        <w:tabs>
          <w:tab w:val="right" w:leader="dot" w:pos="9016"/>
        </w:tabs>
        <w:rPr>
          <w:rFonts w:asciiTheme="minorHAnsi" w:eastAsiaTheme="minorEastAsia" w:hAnsiTheme="minorHAnsi" w:cstheme="minorBidi"/>
          <w:noProof/>
          <w:szCs w:val="22"/>
        </w:rPr>
      </w:pPr>
      <w:hyperlink w:anchor="_Toc436121948" w:history="1">
        <w:r w:rsidRPr="00591A54">
          <w:rPr>
            <w:rStyle w:val="Hyperlink"/>
            <w:noProof/>
          </w:rPr>
          <w:t>About</w:t>
        </w:r>
        <w:r>
          <w:rPr>
            <w:noProof/>
            <w:webHidden/>
          </w:rPr>
          <w:tab/>
        </w:r>
        <w:r>
          <w:rPr>
            <w:noProof/>
            <w:webHidden/>
          </w:rPr>
          <w:fldChar w:fldCharType="begin"/>
        </w:r>
        <w:r>
          <w:rPr>
            <w:noProof/>
            <w:webHidden/>
          </w:rPr>
          <w:instrText xml:space="preserve"> PAGEREF _Toc436121948 \h </w:instrText>
        </w:r>
        <w:r>
          <w:rPr>
            <w:noProof/>
            <w:webHidden/>
          </w:rPr>
        </w:r>
        <w:r>
          <w:rPr>
            <w:noProof/>
            <w:webHidden/>
          </w:rPr>
          <w:fldChar w:fldCharType="separate"/>
        </w:r>
        <w:r w:rsidR="00C6590E">
          <w:rPr>
            <w:noProof/>
            <w:webHidden/>
          </w:rPr>
          <w:t>37</w:t>
        </w:r>
        <w:r>
          <w:rPr>
            <w:noProof/>
            <w:webHidden/>
          </w:rPr>
          <w:fldChar w:fldCharType="end"/>
        </w:r>
      </w:hyperlink>
    </w:p>
    <w:p w:rsidR="00323414" w:rsidRDefault="00323414">
      <w:pPr>
        <w:pStyle w:val="TOC2"/>
        <w:tabs>
          <w:tab w:val="right" w:leader="dot" w:pos="9016"/>
        </w:tabs>
        <w:rPr>
          <w:rFonts w:asciiTheme="minorHAnsi" w:eastAsiaTheme="minorEastAsia" w:hAnsiTheme="minorHAnsi" w:cstheme="minorBidi"/>
          <w:noProof/>
          <w:szCs w:val="22"/>
        </w:rPr>
      </w:pPr>
      <w:hyperlink w:anchor="_Toc436121949" w:history="1">
        <w:r w:rsidRPr="00591A54">
          <w:rPr>
            <w:rStyle w:val="Hyperlink"/>
            <w:noProof/>
          </w:rPr>
          <w:t>John de Ridder</w:t>
        </w:r>
        <w:r>
          <w:rPr>
            <w:noProof/>
            <w:webHidden/>
          </w:rPr>
          <w:tab/>
        </w:r>
        <w:r>
          <w:rPr>
            <w:noProof/>
            <w:webHidden/>
          </w:rPr>
          <w:fldChar w:fldCharType="begin"/>
        </w:r>
        <w:r>
          <w:rPr>
            <w:noProof/>
            <w:webHidden/>
          </w:rPr>
          <w:instrText xml:space="preserve"> PAGEREF _Toc436121949 \h </w:instrText>
        </w:r>
        <w:r>
          <w:rPr>
            <w:noProof/>
            <w:webHidden/>
          </w:rPr>
        </w:r>
        <w:r>
          <w:rPr>
            <w:noProof/>
            <w:webHidden/>
          </w:rPr>
          <w:fldChar w:fldCharType="separate"/>
        </w:r>
        <w:r w:rsidR="00C6590E">
          <w:rPr>
            <w:noProof/>
            <w:webHidden/>
          </w:rPr>
          <w:t>37</w:t>
        </w:r>
        <w:r>
          <w:rPr>
            <w:noProof/>
            <w:webHidden/>
          </w:rPr>
          <w:fldChar w:fldCharType="end"/>
        </w:r>
      </w:hyperlink>
    </w:p>
    <w:p w:rsidR="00323414" w:rsidRDefault="00323414">
      <w:pPr>
        <w:pStyle w:val="TOC2"/>
        <w:tabs>
          <w:tab w:val="right" w:leader="dot" w:pos="9016"/>
        </w:tabs>
        <w:rPr>
          <w:rStyle w:val="Hyperlink"/>
          <w:noProof/>
        </w:rPr>
      </w:pPr>
      <w:hyperlink w:anchor="_Toc436121950" w:history="1">
        <w:r w:rsidRPr="00591A54">
          <w:rPr>
            <w:rStyle w:val="Hyperlink"/>
            <w:noProof/>
          </w:rPr>
          <w:t>ACCAN</w:t>
        </w:r>
        <w:r>
          <w:rPr>
            <w:noProof/>
            <w:webHidden/>
          </w:rPr>
          <w:tab/>
        </w:r>
        <w:r>
          <w:rPr>
            <w:noProof/>
            <w:webHidden/>
          </w:rPr>
          <w:fldChar w:fldCharType="begin"/>
        </w:r>
        <w:r>
          <w:rPr>
            <w:noProof/>
            <w:webHidden/>
          </w:rPr>
          <w:instrText xml:space="preserve"> PAGEREF _Toc436121950 \h </w:instrText>
        </w:r>
        <w:r>
          <w:rPr>
            <w:noProof/>
            <w:webHidden/>
          </w:rPr>
        </w:r>
        <w:r>
          <w:rPr>
            <w:noProof/>
            <w:webHidden/>
          </w:rPr>
          <w:fldChar w:fldCharType="separate"/>
        </w:r>
        <w:r w:rsidR="00C6590E">
          <w:rPr>
            <w:noProof/>
            <w:webHidden/>
          </w:rPr>
          <w:t>37</w:t>
        </w:r>
        <w:r>
          <w:rPr>
            <w:noProof/>
            <w:webHidden/>
          </w:rPr>
          <w:fldChar w:fldCharType="end"/>
        </w:r>
      </w:hyperlink>
    </w:p>
    <w:p w:rsidR="00323414" w:rsidRDefault="00323414" w:rsidP="00323414">
      <w:pPr>
        <w:sectPr w:rsidR="00323414" w:rsidSect="00323414">
          <w:type w:val="continuous"/>
          <w:pgSz w:w="11906" w:h="16838"/>
          <w:pgMar w:top="1440" w:right="1440" w:bottom="1440" w:left="1440" w:header="708" w:footer="708" w:gutter="0"/>
          <w:pgNumType w:start="1"/>
          <w:cols w:space="708"/>
          <w:docGrid w:linePitch="360"/>
        </w:sectPr>
      </w:pPr>
    </w:p>
    <w:p w:rsidR="00323414" w:rsidRPr="00323414" w:rsidRDefault="00323414" w:rsidP="00323414"/>
    <w:p w:rsidR="00DA563B" w:rsidRPr="00DA4A69" w:rsidRDefault="00AE529A" w:rsidP="00DA4A69">
      <w:pPr>
        <w:pStyle w:val="Heading1"/>
      </w:pPr>
      <w:r>
        <w:rPr>
          <w:rFonts w:eastAsia="Cambria" w:cs="Cambria"/>
          <w:color w:val="auto"/>
          <w:spacing w:val="0"/>
          <w:kern w:val="0"/>
          <w:sz w:val="22"/>
          <w:szCs w:val="20"/>
          <w:lang w:val="en-AU" w:eastAsia="en-AU"/>
        </w:rPr>
        <w:lastRenderedPageBreak/>
        <w:fldChar w:fldCharType="end"/>
      </w:r>
      <w:bookmarkStart w:id="7" w:name="_Toc436121932"/>
      <w:r w:rsidR="00DA563B">
        <w:t>1</w:t>
      </w:r>
      <w:r w:rsidR="00DA563B">
        <w:tab/>
      </w:r>
      <w:r w:rsidR="00DA563B" w:rsidRPr="00DA4A69">
        <w:t>Summary</w:t>
      </w:r>
      <w:bookmarkEnd w:id="7"/>
    </w:p>
    <w:p w:rsidR="00DA563B" w:rsidRDefault="00DA563B" w:rsidP="00451896">
      <w:pPr>
        <w:rPr>
          <w:rFonts w:ascii="Calibri" w:hAnsi="Calibri"/>
          <w:i/>
          <w:szCs w:val="22"/>
        </w:rPr>
      </w:pPr>
      <w:r w:rsidRPr="00451896">
        <w:rPr>
          <w:rFonts w:ascii="Calibri" w:hAnsi="Calibri"/>
          <w:szCs w:val="22"/>
          <w:lang w:val="en-GB"/>
        </w:rPr>
        <w:t xml:space="preserve">It seems clear that </w:t>
      </w:r>
      <w:r w:rsidRPr="00451896">
        <w:rPr>
          <w:rFonts w:ascii="Calibri" w:hAnsi="Calibri"/>
          <w:i/>
          <w:szCs w:val="22"/>
          <w:lang w:val="en-GB"/>
        </w:rPr>
        <w:t>“</w:t>
      </w:r>
      <w:r w:rsidRPr="00451896">
        <w:rPr>
          <w:rFonts w:ascii="Calibri" w:hAnsi="Calibri"/>
          <w:i/>
          <w:szCs w:val="22"/>
        </w:rPr>
        <w:t>the USO is a twentieth century legislative instrument operating in a very different twenty-first century digital environment - an environment in which access to a fixed line home phone cannot provide the connectivity necessary for full economic, social and community participation. Access to an affordable fixed line telephone service no longer provides a level of connectivity considered essential”</w:t>
      </w:r>
      <w:r w:rsidRPr="00451896">
        <w:rPr>
          <w:rFonts w:ascii="Calibri" w:hAnsi="Calibri"/>
          <w:i/>
          <w:szCs w:val="22"/>
          <w:vertAlign w:val="superscript"/>
        </w:rPr>
        <w:footnoteReference w:id="1"/>
      </w:r>
      <w:r w:rsidRPr="00451896">
        <w:rPr>
          <w:rFonts w:ascii="Calibri" w:hAnsi="Calibri"/>
          <w:i/>
          <w:szCs w:val="22"/>
        </w:rPr>
        <w:t>.</w:t>
      </w:r>
    </w:p>
    <w:p w:rsidR="00DA563B" w:rsidRDefault="0008189A" w:rsidP="00521219">
      <w:pPr>
        <w:rPr>
          <w:rFonts w:ascii="Calibri" w:hAnsi="Calibri"/>
          <w:szCs w:val="22"/>
        </w:rPr>
      </w:pPr>
      <w:r>
        <w:rPr>
          <w:rFonts w:ascii="Calibri" w:hAnsi="Calibri"/>
          <w:szCs w:val="22"/>
        </w:rPr>
        <w:t>S</w:t>
      </w:r>
      <w:r w:rsidR="009F5B65">
        <w:rPr>
          <w:rFonts w:ascii="Calibri" w:hAnsi="Calibri"/>
          <w:szCs w:val="22"/>
        </w:rPr>
        <w:t>e</w:t>
      </w:r>
      <w:r w:rsidR="005D69E2">
        <w:rPr>
          <w:rFonts w:ascii="Calibri" w:hAnsi="Calibri"/>
          <w:szCs w:val="22"/>
        </w:rPr>
        <w:t xml:space="preserve">ction </w:t>
      </w:r>
      <w:r w:rsidR="00990CA1">
        <w:rPr>
          <w:rFonts w:ascii="Calibri" w:hAnsi="Calibri"/>
          <w:szCs w:val="22"/>
        </w:rPr>
        <w:t>2</w:t>
      </w:r>
      <w:r>
        <w:rPr>
          <w:rFonts w:ascii="Calibri" w:hAnsi="Calibri"/>
          <w:szCs w:val="22"/>
        </w:rPr>
        <w:t xml:space="preserve">, </w:t>
      </w:r>
      <w:proofErr w:type="gramStart"/>
      <w:r w:rsidR="005D69E2" w:rsidRPr="0008189A">
        <w:rPr>
          <w:rFonts w:ascii="Calibri" w:hAnsi="Calibri"/>
          <w:i/>
          <w:szCs w:val="22"/>
        </w:rPr>
        <w:t>Broken</w:t>
      </w:r>
      <w:proofErr w:type="gramEnd"/>
      <w:r w:rsidRPr="0008189A">
        <w:rPr>
          <w:rFonts w:ascii="Calibri" w:hAnsi="Calibri"/>
          <w:i/>
          <w:szCs w:val="22"/>
        </w:rPr>
        <w:t xml:space="preserve"> </w:t>
      </w:r>
      <w:r>
        <w:rPr>
          <w:rFonts w:ascii="Calibri" w:hAnsi="Calibri"/>
          <w:i/>
          <w:szCs w:val="22"/>
        </w:rPr>
        <w:t>c</w:t>
      </w:r>
      <w:r w:rsidR="009F5B65" w:rsidRPr="0008189A">
        <w:rPr>
          <w:rFonts w:ascii="Calibri" w:hAnsi="Calibri"/>
          <w:i/>
          <w:szCs w:val="22"/>
        </w:rPr>
        <w:t>oncepts</w:t>
      </w:r>
      <w:r w:rsidR="009F5B65">
        <w:rPr>
          <w:rFonts w:ascii="Calibri" w:hAnsi="Calibri"/>
          <w:szCs w:val="22"/>
        </w:rPr>
        <w:t>, explains why t</w:t>
      </w:r>
      <w:r w:rsidR="00DA563B" w:rsidRPr="00521219">
        <w:rPr>
          <w:rFonts w:ascii="Calibri" w:hAnsi="Calibri"/>
          <w:szCs w:val="22"/>
        </w:rPr>
        <w:t xml:space="preserve">he current USO arrangements have been overtaken by many changes that force a </w:t>
      </w:r>
      <w:r w:rsidR="00DA563B">
        <w:rPr>
          <w:rFonts w:ascii="Calibri" w:hAnsi="Calibri"/>
          <w:szCs w:val="22"/>
        </w:rPr>
        <w:t>review of the future of the</w:t>
      </w:r>
      <w:r w:rsidR="00295067">
        <w:rPr>
          <w:rFonts w:ascii="Calibri" w:hAnsi="Calibri"/>
          <w:szCs w:val="22"/>
        </w:rPr>
        <w:t xml:space="preserve"> USO. It is clear that the USO should</w:t>
      </w:r>
      <w:r w:rsidR="00DA563B">
        <w:rPr>
          <w:rFonts w:ascii="Calibri" w:hAnsi="Calibri"/>
          <w:szCs w:val="22"/>
        </w:rPr>
        <w:t xml:space="preserve"> not </w:t>
      </w:r>
      <w:r w:rsidR="00295067">
        <w:rPr>
          <w:rFonts w:ascii="Calibri" w:hAnsi="Calibri"/>
          <w:szCs w:val="22"/>
        </w:rPr>
        <w:t xml:space="preserve">be </w:t>
      </w:r>
      <w:r w:rsidR="00DA563B">
        <w:rPr>
          <w:rFonts w:ascii="Calibri" w:hAnsi="Calibri"/>
          <w:szCs w:val="22"/>
        </w:rPr>
        <w:t>just about voice</w:t>
      </w:r>
      <w:r w:rsidR="00D45693">
        <w:rPr>
          <w:rFonts w:ascii="Calibri" w:hAnsi="Calibri"/>
          <w:szCs w:val="22"/>
        </w:rPr>
        <w:t>,</w:t>
      </w:r>
      <w:r w:rsidR="00DA563B">
        <w:rPr>
          <w:rFonts w:ascii="Calibri" w:hAnsi="Calibri"/>
          <w:szCs w:val="22"/>
        </w:rPr>
        <w:t xml:space="preserve"> </w:t>
      </w:r>
      <w:r w:rsidR="00736782">
        <w:rPr>
          <w:rFonts w:ascii="Calibri" w:hAnsi="Calibri"/>
          <w:szCs w:val="22"/>
        </w:rPr>
        <w:t xml:space="preserve">as </w:t>
      </w:r>
      <w:r w:rsidR="00DA563B">
        <w:rPr>
          <w:rFonts w:ascii="Calibri" w:hAnsi="Calibri"/>
          <w:szCs w:val="22"/>
        </w:rPr>
        <w:t xml:space="preserve">mobiles </w:t>
      </w:r>
      <w:r w:rsidR="00295067">
        <w:rPr>
          <w:rFonts w:ascii="Calibri" w:hAnsi="Calibri"/>
          <w:szCs w:val="22"/>
        </w:rPr>
        <w:t xml:space="preserve">and data services have </w:t>
      </w:r>
      <w:r w:rsidR="00DA563B">
        <w:rPr>
          <w:rFonts w:ascii="Calibri" w:hAnsi="Calibri"/>
          <w:szCs w:val="22"/>
        </w:rPr>
        <w:t>significant role</w:t>
      </w:r>
      <w:r w:rsidR="00295067">
        <w:rPr>
          <w:rFonts w:ascii="Calibri" w:hAnsi="Calibri"/>
          <w:szCs w:val="22"/>
        </w:rPr>
        <w:t>s</w:t>
      </w:r>
      <w:r w:rsidR="00DA563B">
        <w:rPr>
          <w:rFonts w:ascii="Calibri" w:hAnsi="Calibri"/>
          <w:szCs w:val="22"/>
        </w:rPr>
        <w:t xml:space="preserve"> to play in the future.</w:t>
      </w:r>
    </w:p>
    <w:p w:rsidR="00DA563B" w:rsidRDefault="009F5B65" w:rsidP="009B7F1A">
      <w:pPr>
        <w:rPr>
          <w:rFonts w:ascii="Calibri" w:hAnsi="Calibri"/>
          <w:szCs w:val="22"/>
        </w:rPr>
      </w:pPr>
      <w:r>
        <w:rPr>
          <w:rFonts w:ascii="Calibri" w:hAnsi="Calibri"/>
          <w:szCs w:val="22"/>
        </w:rPr>
        <w:t xml:space="preserve">Section </w:t>
      </w:r>
      <w:r w:rsidR="00990CA1">
        <w:rPr>
          <w:rFonts w:ascii="Calibri" w:hAnsi="Calibri"/>
          <w:szCs w:val="22"/>
        </w:rPr>
        <w:t>3</w:t>
      </w:r>
      <w:r w:rsidR="0008189A">
        <w:rPr>
          <w:rFonts w:ascii="Calibri" w:hAnsi="Calibri"/>
          <w:szCs w:val="22"/>
        </w:rPr>
        <w:t xml:space="preserve">, </w:t>
      </w:r>
      <w:r w:rsidR="005D69E2" w:rsidRPr="0008189A">
        <w:rPr>
          <w:rFonts w:ascii="Calibri" w:hAnsi="Calibri"/>
          <w:i/>
          <w:szCs w:val="22"/>
        </w:rPr>
        <w:t xml:space="preserve">What are </w:t>
      </w:r>
      <w:r w:rsidR="0008189A" w:rsidRPr="0008189A">
        <w:rPr>
          <w:rFonts w:ascii="Calibri" w:hAnsi="Calibri"/>
          <w:i/>
          <w:szCs w:val="22"/>
        </w:rPr>
        <w:t xml:space="preserve">we </w:t>
      </w:r>
      <w:r w:rsidR="0008189A">
        <w:rPr>
          <w:rFonts w:ascii="Calibri" w:hAnsi="Calibri"/>
          <w:i/>
          <w:szCs w:val="22"/>
        </w:rPr>
        <w:t>solving for</w:t>
      </w:r>
      <w:proofErr w:type="gramStart"/>
      <w:r w:rsidR="0008189A">
        <w:rPr>
          <w:rFonts w:ascii="Calibri" w:hAnsi="Calibri"/>
          <w:i/>
          <w:szCs w:val="22"/>
        </w:rPr>
        <w:t>?,</w:t>
      </w:r>
      <w:proofErr w:type="gramEnd"/>
      <w:r w:rsidR="0008189A">
        <w:rPr>
          <w:rFonts w:ascii="Calibri" w:hAnsi="Calibri"/>
          <w:i/>
          <w:szCs w:val="22"/>
        </w:rPr>
        <w:t xml:space="preserve"> </w:t>
      </w:r>
      <w:r w:rsidR="00580EC5">
        <w:rPr>
          <w:rFonts w:ascii="Calibri" w:hAnsi="Calibri"/>
          <w:szCs w:val="22"/>
        </w:rPr>
        <w:t>revisits the objectives of universal policy and possib</w:t>
      </w:r>
      <w:r w:rsidR="0011791C">
        <w:rPr>
          <w:rFonts w:ascii="Calibri" w:hAnsi="Calibri"/>
          <w:szCs w:val="22"/>
        </w:rPr>
        <w:t xml:space="preserve">le extensions. It concludes that a </w:t>
      </w:r>
      <w:r w:rsidR="00295067" w:rsidRPr="00295067">
        <w:rPr>
          <w:rFonts w:ascii="Calibri" w:hAnsi="Calibri"/>
          <w:szCs w:val="22"/>
        </w:rPr>
        <w:t xml:space="preserve">future USO would need to address the current deficiencies </w:t>
      </w:r>
      <w:r w:rsidR="00DA563B" w:rsidRPr="00AC6FFD">
        <w:rPr>
          <w:rFonts w:ascii="Calibri" w:hAnsi="Calibri"/>
          <w:szCs w:val="22"/>
        </w:rPr>
        <w:t>provid</w:t>
      </w:r>
      <w:r w:rsidR="00295067">
        <w:rPr>
          <w:rFonts w:ascii="Calibri" w:hAnsi="Calibri"/>
          <w:szCs w:val="22"/>
        </w:rPr>
        <w:t>ing</w:t>
      </w:r>
      <w:r w:rsidR="00DA563B" w:rsidRPr="00AC6FFD">
        <w:rPr>
          <w:rFonts w:ascii="Calibri" w:hAnsi="Calibri"/>
          <w:szCs w:val="22"/>
        </w:rPr>
        <w:t xml:space="preserve"> every adult</w:t>
      </w:r>
      <w:r w:rsidR="005D69E2">
        <w:rPr>
          <w:rStyle w:val="FootnoteReference"/>
          <w:rFonts w:ascii="Calibri" w:hAnsi="Calibri"/>
          <w:szCs w:val="22"/>
        </w:rPr>
        <w:footnoteReference w:id="2"/>
      </w:r>
      <w:r w:rsidR="00DA563B" w:rsidRPr="00AC6FFD">
        <w:rPr>
          <w:rFonts w:ascii="Calibri" w:hAnsi="Calibri"/>
          <w:szCs w:val="22"/>
        </w:rPr>
        <w:t xml:space="preserve"> with</w:t>
      </w:r>
      <w:r w:rsidR="00DA563B">
        <w:rPr>
          <w:rFonts w:ascii="Calibri" w:hAnsi="Calibri"/>
          <w:szCs w:val="22"/>
        </w:rPr>
        <w:t xml:space="preserve"> universally available, accessible, affordable and </w:t>
      </w:r>
      <w:r w:rsidR="002038B5">
        <w:rPr>
          <w:rFonts w:ascii="Calibri" w:hAnsi="Calibri"/>
          <w:szCs w:val="22"/>
        </w:rPr>
        <w:t>empowering</w:t>
      </w:r>
      <w:r w:rsidR="00DA563B">
        <w:rPr>
          <w:rFonts w:ascii="Calibri" w:hAnsi="Calibri"/>
          <w:szCs w:val="22"/>
        </w:rPr>
        <w:t xml:space="preserve"> communications:</w:t>
      </w:r>
    </w:p>
    <w:p w:rsidR="00DA563B" w:rsidRPr="00437B6D" w:rsidRDefault="00DA563B" w:rsidP="009B7F1A">
      <w:pPr>
        <w:numPr>
          <w:ilvl w:val="0"/>
          <w:numId w:val="21"/>
        </w:numPr>
        <w:rPr>
          <w:rFonts w:ascii="Calibri" w:hAnsi="Calibri"/>
          <w:szCs w:val="22"/>
        </w:rPr>
      </w:pPr>
      <w:r w:rsidRPr="00437B6D">
        <w:rPr>
          <w:rFonts w:ascii="Calibri" w:hAnsi="Calibri"/>
          <w:szCs w:val="22"/>
        </w:rPr>
        <w:t xml:space="preserve">Availability </w:t>
      </w:r>
      <w:r w:rsidR="00B12B54">
        <w:rPr>
          <w:rFonts w:ascii="Calibri" w:hAnsi="Calibri"/>
          <w:szCs w:val="22"/>
        </w:rPr>
        <w:t xml:space="preserve">(coverage) </w:t>
      </w:r>
      <w:r w:rsidRPr="00437B6D">
        <w:rPr>
          <w:rFonts w:ascii="Calibri" w:hAnsi="Calibri"/>
          <w:szCs w:val="22"/>
        </w:rPr>
        <w:t xml:space="preserve">of </w:t>
      </w:r>
      <w:r>
        <w:rPr>
          <w:rFonts w:ascii="Calibri" w:hAnsi="Calibri"/>
          <w:szCs w:val="22"/>
        </w:rPr>
        <w:t>voice and broadband services</w:t>
      </w:r>
      <w:r w:rsidR="00B12B54">
        <w:rPr>
          <w:rFonts w:ascii="Calibri" w:hAnsi="Calibri"/>
          <w:szCs w:val="22"/>
        </w:rPr>
        <w:t xml:space="preserve"> should be enhanced</w:t>
      </w:r>
      <w:r>
        <w:rPr>
          <w:rFonts w:ascii="Calibri" w:hAnsi="Calibri"/>
          <w:szCs w:val="22"/>
        </w:rPr>
        <w:t xml:space="preserve"> th</w:t>
      </w:r>
      <w:r w:rsidR="0008189A">
        <w:rPr>
          <w:rFonts w:ascii="Calibri" w:hAnsi="Calibri"/>
          <w:szCs w:val="22"/>
        </w:rPr>
        <w:t xml:space="preserve">rough the implementation of the </w:t>
      </w:r>
      <w:r w:rsidR="00BF68F1">
        <w:rPr>
          <w:rFonts w:ascii="Calibri" w:hAnsi="Calibri"/>
          <w:szCs w:val="22"/>
        </w:rPr>
        <w:t xml:space="preserve">national broadband network </w:t>
      </w:r>
      <w:r w:rsidR="0008189A">
        <w:rPr>
          <w:rFonts w:ascii="Calibri" w:hAnsi="Calibri"/>
          <w:szCs w:val="22"/>
        </w:rPr>
        <w:t>(</w:t>
      </w:r>
      <w:r>
        <w:rPr>
          <w:rFonts w:ascii="Calibri" w:hAnsi="Calibri"/>
          <w:szCs w:val="22"/>
        </w:rPr>
        <w:t>NBN</w:t>
      </w:r>
      <w:r w:rsidR="0008189A">
        <w:rPr>
          <w:rFonts w:ascii="Calibri" w:hAnsi="Calibri"/>
          <w:szCs w:val="22"/>
        </w:rPr>
        <w:t>)</w:t>
      </w:r>
      <w:r>
        <w:rPr>
          <w:rFonts w:ascii="Calibri" w:hAnsi="Calibri"/>
          <w:szCs w:val="22"/>
        </w:rPr>
        <w:t xml:space="preserve"> and subsidies to extend mobile services</w:t>
      </w:r>
      <w:r w:rsidRPr="00437B6D">
        <w:rPr>
          <w:rFonts w:ascii="Calibri" w:hAnsi="Calibri"/>
          <w:szCs w:val="22"/>
        </w:rPr>
        <w:t>;</w:t>
      </w:r>
    </w:p>
    <w:p w:rsidR="00DA563B" w:rsidRDefault="00DA563B" w:rsidP="009B7F1A">
      <w:pPr>
        <w:numPr>
          <w:ilvl w:val="0"/>
          <w:numId w:val="21"/>
        </w:numPr>
        <w:rPr>
          <w:rFonts w:ascii="Calibri" w:hAnsi="Calibri"/>
          <w:szCs w:val="22"/>
        </w:rPr>
      </w:pPr>
      <w:r w:rsidRPr="00437B6D">
        <w:rPr>
          <w:rFonts w:ascii="Calibri" w:hAnsi="Calibri"/>
          <w:szCs w:val="22"/>
        </w:rPr>
        <w:t xml:space="preserve">Accessibility (usability) </w:t>
      </w:r>
      <w:r>
        <w:rPr>
          <w:rFonts w:ascii="Calibri" w:hAnsi="Calibri"/>
          <w:szCs w:val="22"/>
        </w:rPr>
        <w:t xml:space="preserve">for </w:t>
      </w:r>
      <w:r w:rsidR="00B12B54">
        <w:rPr>
          <w:rFonts w:ascii="Calibri" w:hAnsi="Calibri"/>
          <w:szCs w:val="22"/>
        </w:rPr>
        <w:t xml:space="preserve">both </w:t>
      </w:r>
      <w:r>
        <w:rPr>
          <w:rFonts w:ascii="Calibri" w:hAnsi="Calibri"/>
          <w:szCs w:val="22"/>
        </w:rPr>
        <w:t xml:space="preserve">voice </w:t>
      </w:r>
      <w:r w:rsidR="00B12B54">
        <w:rPr>
          <w:rFonts w:ascii="Calibri" w:hAnsi="Calibri"/>
          <w:szCs w:val="22"/>
        </w:rPr>
        <w:t xml:space="preserve">and data services may be </w:t>
      </w:r>
      <w:r>
        <w:rPr>
          <w:rFonts w:ascii="Calibri" w:hAnsi="Calibri"/>
          <w:szCs w:val="22"/>
        </w:rPr>
        <w:t>enhanced by appli</w:t>
      </w:r>
      <w:r w:rsidR="00B12B54">
        <w:rPr>
          <w:rFonts w:ascii="Calibri" w:hAnsi="Calibri"/>
          <w:szCs w:val="22"/>
        </w:rPr>
        <w:t>cations enabled by digitisation</w:t>
      </w:r>
      <w:r w:rsidR="00FE76F4">
        <w:rPr>
          <w:rFonts w:ascii="Calibri" w:hAnsi="Calibri"/>
          <w:szCs w:val="22"/>
        </w:rPr>
        <w:t xml:space="preserve"> but</w:t>
      </w:r>
      <w:r w:rsidR="00B12B54">
        <w:rPr>
          <w:rFonts w:ascii="Calibri" w:hAnsi="Calibri"/>
          <w:szCs w:val="22"/>
        </w:rPr>
        <w:t xml:space="preserve"> will need to be supplemented with new obligations;</w:t>
      </w:r>
    </w:p>
    <w:p w:rsidR="00DA563B" w:rsidRPr="00437B6D" w:rsidRDefault="00DA563B" w:rsidP="009B7F1A">
      <w:pPr>
        <w:numPr>
          <w:ilvl w:val="0"/>
          <w:numId w:val="21"/>
        </w:numPr>
        <w:rPr>
          <w:rFonts w:ascii="Calibri" w:hAnsi="Calibri"/>
          <w:szCs w:val="22"/>
        </w:rPr>
      </w:pPr>
      <w:r w:rsidRPr="00437B6D">
        <w:rPr>
          <w:rFonts w:ascii="Calibri" w:hAnsi="Calibri"/>
          <w:szCs w:val="22"/>
        </w:rPr>
        <w:t xml:space="preserve">Affordability </w:t>
      </w:r>
      <w:r>
        <w:rPr>
          <w:rFonts w:ascii="Calibri" w:hAnsi="Calibri"/>
          <w:szCs w:val="22"/>
        </w:rPr>
        <w:t>of both fixed and mobile services needs to be addressed; and</w:t>
      </w:r>
    </w:p>
    <w:p w:rsidR="00DA563B" w:rsidRPr="007E7589" w:rsidRDefault="002038B5" w:rsidP="009B7F1A">
      <w:pPr>
        <w:numPr>
          <w:ilvl w:val="0"/>
          <w:numId w:val="21"/>
        </w:numPr>
        <w:rPr>
          <w:rFonts w:ascii="Calibri" w:hAnsi="Calibri"/>
          <w:szCs w:val="22"/>
          <w:lang w:val="en-GB"/>
        </w:rPr>
      </w:pPr>
      <w:r>
        <w:rPr>
          <w:rFonts w:ascii="Calibri" w:hAnsi="Calibri"/>
          <w:szCs w:val="22"/>
        </w:rPr>
        <w:t>Empowering (content/apps</w:t>
      </w:r>
      <w:r w:rsidR="003A2654">
        <w:rPr>
          <w:rFonts w:ascii="Calibri" w:hAnsi="Calibri"/>
          <w:szCs w:val="22"/>
        </w:rPr>
        <w:t xml:space="preserve"> [</w:t>
      </w:r>
      <w:r w:rsidR="003A2654">
        <w:rPr>
          <w:rFonts w:ascii="Calibri" w:hAnsi="Calibri"/>
        </w:rPr>
        <w:t>applications]</w:t>
      </w:r>
      <w:r>
        <w:rPr>
          <w:rFonts w:ascii="Calibri" w:hAnsi="Calibri"/>
          <w:szCs w:val="22"/>
        </w:rPr>
        <w:t xml:space="preserve">) </w:t>
      </w:r>
      <w:r w:rsidR="00DA563B">
        <w:rPr>
          <w:rFonts w:ascii="Calibri" w:hAnsi="Calibri"/>
          <w:szCs w:val="22"/>
        </w:rPr>
        <w:t>could start with government providing access to e-services</w:t>
      </w:r>
      <w:r w:rsidR="00DA563B" w:rsidRPr="00437B6D">
        <w:rPr>
          <w:rFonts w:ascii="Calibri" w:hAnsi="Calibri"/>
          <w:szCs w:val="22"/>
        </w:rPr>
        <w:t>.</w:t>
      </w:r>
    </w:p>
    <w:p w:rsidR="00B12B54" w:rsidRDefault="005D69E2" w:rsidP="004A0FEF">
      <w:pPr>
        <w:rPr>
          <w:rFonts w:ascii="Calibri" w:hAnsi="Calibri"/>
          <w:szCs w:val="22"/>
        </w:rPr>
      </w:pPr>
      <w:r>
        <w:rPr>
          <w:rFonts w:ascii="Calibri" w:hAnsi="Calibri"/>
          <w:szCs w:val="22"/>
        </w:rPr>
        <w:t xml:space="preserve">Each of these is addressed in sub-sections: </w:t>
      </w:r>
    </w:p>
    <w:p w:rsidR="0010166A" w:rsidRDefault="00DA563B" w:rsidP="004A0FEF">
      <w:pPr>
        <w:rPr>
          <w:rFonts w:ascii="Calibri" w:hAnsi="Calibri"/>
          <w:szCs w:val="22"/>
        </w:rPr>
      </w:pPr>
      <w:r>
        <w:rPr>
          <w:rFonts w:ascii="Calibri" w:hAnsi="Calibri"/>
          <w:szCs w:val="22"/>
        </w:rPr>
        <w:t xml:space="preserve">Availability </w:t>
      </w:r>
      <w:r w:rsidR="0010166A">
        <w:rPr>
          <w:rFonts w:ascii="Calibri" w:hAnsi="Calibri"/>
          <w:szCs w:val="22"/>
        </w:rPr>
        <w:t xml:space="preserve">(Section 3.1) </w:t>
      </w:r>
      <w:r>
        <w:rPr>
          <w:rFonts w:ascii="Calibri" w:hAnsi="Calibri"/>
          <w:szCs w:val="22"/>
        </w:rPr>
        <w:t xml:space="preserve">has been the main focus of policy and </w:t>
      </w:r>
      <w:r w:rsidR="00783BF4">
        <w:rPr>
          <w:rFonts w:ascii="Calibri" w:hAnsi="Calibri"/>
          <w:szCs w:val="22"/>
        </w:rPr>
        <w:t>it may be</w:t>
      </w:r>
      <w:r w:rsidR="00FE76F4" w:rsidRPr="00FE76F4">
        <w:rPr>
          <w:rFonts w:ascii="Calibri" w:hAnsi="Calibri"/>
          <w:szCs w:val="22"/>
        </w:rPr>
        <w:t xml:space="preserve"> solved </w:t>
      </w:r>
      <w:r w:rsidR="005D69E2">
        <w:rPr>
          <w:rFonts w:ascii="Calibri" w:hAnsi="Calibri"/>
          <w:szCs w:val="22"/>
        </w:rPr>
        <w:t xml:space="preserve">soon </w:t>
      </w:r>
      <w:r>
        <w:rPr>
          <w:rFonts w:ascii="Calibri" w:hAnsi="Calibri"/>
          <w:szCs w:val="22"/>
        </w:rPr>
        <w:t xml:space="preserve">with the execution of the NBN. </w:t>
      </w:r>
      <w:r w:rsidR="0010166A" w:rsidRPr="0010166A">
        <w:rPr>
          <w:rFonts w:ascii="Calibri" w:hAnsi="Calibri"/>
          <w:szCs w:val="22"/>
        </w:rPr>
        <w:t>However, the NBN may not be the most efficient way of addressing availability. Given consumer preference for mobiles, a key question for USO policy is how far mobile coverage overlaps the NBN’s footprints, because mobile voice and data could become the preferred platform for users seeking service.</w:t>
      </w:r>
    </w:p>
    <w:p w:rsidR="00DA563B" w:rsidRPr="002022B9" w:rsidRDefault="0010166A" w:rsidP="004A0FEF">
      <w:pPr>
        <w:rPr>
          <w:rFonts w:ascii="Calibri" w:hAnsi="Calibri"/>
          <w:szCs w:val="22"/>
        </w:rPr>
      </w:pPr>
      <w:r>
        <w:rPr>
          <w:rFonts w:ascii="Calibri" w:hAnsi="Calibri"/>
          <w:szCs w:val="22"/>
        </w:rPr>
        <w:t>Also</w:t>
      </w:r>
      <w:r w:rsidR="00DA563B">
        <w:rPr>
          <w:rFonts w:ascii="Calibri" w:hAnsi="Calibri"/>
          <w:szCs w:val="22"/>
        </w:rPr>
        <w:t xml:space="preserve">, </w:t>
      </w:r>
      <w:r w:rsidR="00473BBA">
        <w:rPr>
          <w:rFonts w:ascii="Calibri" w:hAnsi="Calibri"/>
          <w:szCs w:val="22"/>
        </w:rPr>
        <w:t>the NBN does not solve for the other targets above</w:t>
      </w:r>
      <w:r w:rsidR="00767D04">
        <w:rPr>
          <w:rFonts w:ascii="Calibri" w:hAnsi="Calibri"/>
          <w:szCs w:val="22"/>
        </w:rPr>
        <w:t>. O</w:t>
      </w:r>
      <w:r w:rsidR="00473BBA">
        <w:rPr>
          <w:rFonts w:ascii="Calibri" w:hAnsi="Calibri"/>
          <w:szCs w:val="22"/>
        </w:rPr>
        <w:t xml:space="preserve">ther </w:t>
      </w:r>
      <w:r w:rsidR="005D69E2">
        <w:rPr>
          <w:rFonts w:ascii="Calibri" w:hAnsi="Calibri"/>
          <w:szCs w:val="22"/>
        </w:rPr>
        <w:t xml:space="preserve">policy </w:t>
      </w:r>
      <w:r w:rsidR="00473BBA">
        <w:rPr>
          <w:rFonts w:ascii="Calibri" w:hAnsi="Calibri"/>
          <w:szCs w:val="22"/>
        </w:rPr>
        <w:t xml:space="preserve">instruments </w:t>
      </w:r>
      <w:r w:rsidR="005D69E2">
        <w:rPr>
          <w:rFonts w:ascii="Calibri" w:hAnsi="Calibri"/>
          <w:szCs w:val="22"/>
        </w:rPr>
        <w:t xml:space="preserve">apart from the roll-out of the NBN </w:t>
      </w:r>
      <w:r w:rsidR="00473BBA">
        <w:rPr>
          <w:rFonts w:ascii="Calibri" w:hAnsi="Calibri"/>
          <w:szCs w:val="22"/>
        </w:rPr>
        <w:t xml:space="preserve">are needed. </w:t>
      </w:r>
      <w:r>
        <w:rPr>
          <w:rFonts w:ascii="Calibri" w:hAnsi="Calibri"/>
          <w:szCs w:val="22"/>
        </w:rPr>
        <w:t xml:space="preserve"> </w:t>
      </w:r>
    </w:p>
    <w:p w:rsidR="00DA563B" w:rsidRPr="002022B9" w:rsidRDefault="00DC17AC" w:rsidP="004A0FEF">
      <w:pPr>
        <w:rPr>
          <w:rFonts w:ascii="Calibri" w:hAnsi="Calibri"/>
          <w:szCs w:val="22"/>
        </w:rPr>
      </w:pPr>
      <w:r>
        <w:rPr>
          <w:rFonts w:ascii="Calibri" w:hAnsi="Calibri"/>
          <w:bCs/>
          <w:szCs w:val="22"/>
        </w:rPr>
        <w:t xml:space="preserve">Accessibility </w:t>
      </w:r>
      <w:r w:rsidR="0010166A">
        <w:rPr>
          <w:rFonts w:ascii="Calibri" w:hAnsi="Calibri"/>
          <w:bCs/>
          <w:szCs w:val="22"/>
        </w:rPr>
        <w:t xml:space="preserve">(Section 3.2) </w:t>
      </w:r>
      <w:r>
        <w:rPr>
          <w:rFonts w:ascii="Calibri" w:hAnsi="Calibri"/>
          <w:bCs/>
          <w:szCs w:val="22"/>
        </w:rPr>
        <w:t xml:space="preserve">has been focussed on </w:t>
      </w:r>
      <w:r w:rsidR="00DA563B" w:rsidRPr="002022B9">
        <w:rPr>
          <w:rFonts w:ascii="Calibri" w:hAnsi="Calibri"/>
          <w:bCs/>
          <w:szCs w:val="22"/>
        </w:rPr>
        <w:t xml:space="preserve">voice services and the obligations to meet special </w:t>
      </w:r>
      <w:r w:rsidR="00DA563B">
        <w:rPr>
          <w:rFonts w:ascii="Calibri" w:hAnsi="Calibri"/>
          <w:bCs/>
          <w:szCs w:val="22"/>
        </w:rPr>
        <w:t>needs have fallen largely on a</w:t>
      </w:r>
      <w:r w:rsidR="00DA563B" w:rsidRPr="002022B9">
        <w:rPr>
          <w:rFonts w:ascii="Calibri" w:hAnsi="Calibri"/>
          <w:bCs/>
          <w:szCs w:val="22"/>
        </w:rPr>
        <w:t xml:space="preserve"> single universal service provider (USP). </w:t>
      </w:r>
      <w:r w:rsidR="00DA563B">
        <w:rPr>
          <w:rFonts w:ascii="Calibri" w:hAnsi="Calibri"/>
          <w:bCs/>
          <w:szCs w:val="22"/>
        </w:rPr>
        <w:t>With digitisation, some</w:t>
      </w:r>
      <w:r w:rsidR="00DA563B" w:rsidRPr="002022B9">
        <w:rPr>
          <w:rFonts w:ascii="Calibri" w:hAnsi="Calibri"/>
          <w:szCs w:val="22"/>
        </w:rPr>
        <w:t xml:space="preserve"> solutions will be provided spontaneously from the market. Others may need government support while others could be realised through </w:t>
      </w:r>
      <w:r w:rsidR="00DA563B">
        <w:rPr>
          <w:rFonts w:ascii="Calibri" w:hAnsi="Calibri"/>
          <w:szCs w:val="22"/>
        </w:rPr>
        <w:t xml:space="preserve">imposing </w:t>
      </w:r>
      <w:r w:rsidR="00DA563B" w:rsidRPr="002022B9">
        <w:rPr>
          <w:rFonts w:ascii="Calibri" w:hAnsi="Calibri"/>
          <w:szCs w:val="22"/>
        </w:rPr>
        <w:t xml:space="preserve">carrier </w:t>
      </w:r>
      <w:r w:rsidR="00DA563B">
        <w:rPr>
          <w:rFonts w:ascii="Calibri" w:hAnsi="Calibri"/>
          <w:szCs w:val="22"/>
        </w:rPr>
        <w:t>obligations</w:t>
      </w:r>
      <w:r w:rsidR="00DA563B" w:rsidRPr="002022B9">
        <w:rPr>
          <w:rFonts w:ascii="Calibri" w:hAnsi="Calibri"/>
          <w:szCs w:val="22"/>
        </w:rPr>
        <w:t>.</w:t>
      </w:r>
    </w:p>
    <w:p w:rsidR="001A6C00" w:rsidRDefault="00DA563B" w:rsidP="00293AD9">
      <w:pPr>
        <w:rPr>
          <w:rFonts w:ascii="Calibri" w:hAnsi="Calibri"/>
          <w:szCs w:val="22"/>
        </w:rPr>
      </w:pPr>
      <w:r>
        <w:rPr>
          <w:rFonts w:ascii="Calibri" w:hAnsi="Calibri"/>
          <w:szCs w:val="22"/>
        </w:rPr>
        <w:lastRenderedPageBreak/>
        <w:t>A</w:t>
      </w:r>
      <w:r w:rsidRPr="002022B9">
        <w:rPr>
          <w:rFonts w:ascii="Calibri" w:hAnsi="Calibri"/>
          <w:szCs w:val="22"/>
        </w:rPr>
        <w:t>ffordability</w:t>
      </w:r>
      <w:r>
        <w:rPr>
          <w:rFonts w:ascii="Calibri" w:hAnsi="Calibri"/>
          <w:szCs w:val="22"/>
        </w:rPr>
        <w:t xml:space="preserve"> </w:t>
      </w:r>
      <w:r w:rsidR="0010166A">
        <w:rPr>
          <w:rFonts w:ascii="Calibri" w:hAnsi="Calibri"/>
          <w:szCs w:val="22"/>
        </w:rPr>
        <w:t>(Se</w:t>
      </w:r>
      <w:r w:rsidR="00D40AD8">
        <w:rPr>
          <w:rFonts w:ascii="Calibri" w:hAnsi="Calibri"/>
          <w:szCs w:val="22"/>
        </w:rPr>
        <w:t>c</w:t>
      </w:r>
      <w:r w:rsidR="0010166A">
        <w:rPr>
          <w:rFonts w:ascii="Calibri" w:hAnsi="Calibri"/>
          <w:szCs w:val="22"/>
        </w:rPr>
        <w:t xml:space="preserve">tion3.3) </w:t>
      </w:r>
      <w:r>
        <w:rPr>
          <w:rFonts w:ascii="Calibri" w:hAnsi="Calibri"/>
          <w:szCs w:val="22"/>
        </w:rPr>
        <w:t>has not received enough attention</w:t>
      </w:r>
      <w:r w:rsidR="0010166A">
        <w:rPr>
          <w:rFonts w:ascii="Calibri" w:hAnsi="Calibri"/>
          <w:szCs w:val="22"/>
        </w:rPr>
        <w:t xml:space="preserve"> and so it is the longest section in this paper</w:t>
      </w:r>
      <w:r>
        <w:rPr>
          <w:rFonts w:ascii="Calibri" w:hAnsi="Calibri"/>
          <w:szCs w:val="22"/>
        </w:rPr>
        <w:t xml:space="preserve">. </w:t>
      </w:r>
      <w:r w:rsidR="00D40AD8">
        <w:rPr>
          <w:rFonts w:ascii="Calibri" w:hAnsi="Calibri"/>
          <w:szCs w:val="22"/>
        </w:rPr>
        <w:t xml:space="preserve">The market for </w:t>
      </w:r>
      <w:r w:rsidR="0026691A">
        <w:rPr>
          <w:rFonts w:ascii="Calibri" w:hAnsi="Calibri"/>
          <w:szCs w:val="22"/>
        </w:rPr>
        <w:t xml:space="preserve">affordability support (Section 3.3.1) </w:t>
      </w:r>
      <w:r w:rsidR="0061551F">
        <w:rPr>
          <w:rFonts w:ascii="Calibri" w:hAnsi="Calibri"/>
          <w:szCs w:val="22"/>
        </w:rPr>
        <w:t>could be up to</w:t>
      </w:r>
      <w:r w:rsidR="0026691A">
        <w:rPr>
          <w:rFonts w:ascii="Calibri" w:hAnsi="Calibri"/>
          <w:szCs w:val="22"/>
        </w:rPr>
        <w:t xml:space="preserve"> one million</w:t>
      </w:r>
      <w:r w:rsidR="0061551F">
        <w:rPr>
          <w:rFonts w:ascii="Calibri" w:hAnsi="Calibri"/>
          <w:szCs w:val="22"/>
        </w:rPr>
        <w:t xml:space="preserve"> households; around half the households who rely on government pensions or allowances as their main source of income. Then Section 3.3.2 (</w:t>
      </w:r>
      <w:r w:rsidR="0061551F" w:rsidRPr="00BF68F1">
        <w:rPr>
          <w:rFonts w:ascii="Calibri" w:hAnsi="Calibri"/>
          <w:i/>
          <w:szCs w:val="22"/>
        </w:rPr>
        <w:t>Targets for social tariffs</w:t>
      </w:r>
      <w:r w:rsidR="00B5321A" w:rsidRPr="00BF68F1">
        <w:rPr>
          <w:rFonts w:ascii="Calibri" w:hAnsi="Calibri"/>
          <w:i/>
          <w:szCs w:val="22"/>
        </w:rPr>
        <w:t xml:space="preserve"> as a means of improving affordability</w:t>
      </w:r>
      <w:r w:rsidR="0061551F">
        <w:rPr>
          <w:rFonts w:ascii="Calibri" w:hAnsi="Calibri"/>
          <w:szCs w:val="22"/>
        </w:rPr>
        <w:t xml:space="preserve">) explores what fixed network pricing </w:t>
      </w:r>
      <w:r w:rsidR="00BE26D0">
        <w:rPr>
          <w:rFonts w:ascii="Calibri" w:hAnsi="Calibri"/>
          <w:szCs w:val="22"/>
        </w:rPr>
        <w:t>could be considered affordable.</w:t>
      </w:r>
      <w:r w:rsidR="00BE26D0">
        <w:rPr>
          <w:rStyle w:val="FootnoteReference"/>
          <w:rFonts w:ascii="Calibri" w:hAnsi="Calibri"/>
          <w:szCs w:val="22"/>
        </w:rPr>
        <w:footnoteReference w:id="3"/>
      </w:r>
      <w:r w:rsidR="0061551F">
        <w:rPr>
          <w:rFonts w:ascii="Calibri" w:hAnsi="Calibri"/>
          <w:szCs w:val="22"/>
        </w:rPr>
        <w:t xml:space="preserve"> </w:t>
      </w:r>
      <w:r w:rsidR="00293AD9">
        <w:rPr>
          <w:rFonts w:ascii="Calibri" w:hAnsi="Calibri"/>
          <w:szCs w:val="22"/>
        </w:rPr>
        <w:t>It proposes that large</w:t>
      </w:r>
      <w:r w:rsidR="00293AD9" w:rsidRPr="00293AD9">
        <w:rPr>
          <w:rFonts w:ascii="Calibri" w:hAnsi="Calibri"/>
          <w:szCs w:val="22"/>
        </w:rPr>
        <w:t xml:space="preserve"> carriers could be required to offer a broadband social tariff which is no more than, say, 0.</w:t>
      </w:r>
      <w:r w:rsidR="00BE7CB6">
        <w:rPr>
          <w:rFonts w:ascii="Calibri" w:hAnsi="Calibri"/>
          <w:szCs w:val="22"/>
        </w:rPr>
        <w:t>6</w:t>
      </w:r>
      <w:r w:rsidR="00293AD9" w:rsidRPr="00293AD9">
        <w:rPr>
          <w:rFonts w:ascii="Calibri" w:hAnsi="Calibri"/>
          <w:szCs w:val="22"/>
        </w:rPr>
        <w:t xml:space="preserve">% of </w:t>
      </w:r>
      <w:r w:rsidR="00BE7CB6">
        <w:rPr>
          <w:rFonts w:ascii="Calibri" w:hAnsi="Calibri"/>
          <w:szCs w:val="22"/>
        </w:rPr>
        <w:t>median</w:t>
      </w:r>
      <w:r w:rsidR="00BE7CB6" w:rsidRPr="00293AD9">
        <w:rPr>
          <w:rFonts w:ascii="Calibri" w:hAnsi="Calibri"/>
          <w:szCs w:val="22"/>
        </w:rPr>
        <w:t xml:space="preserve"> </w:t>
      </w:r>
      <w:r w:rsidR="00293AD9" w:rsidRPr="00293AD9">
        <w:rPr>
          <w:rFonts w:ascii="Calibri" w:hAnsi="Calibri"/>
          <w:szCs w:val="22"/>
        </w:rPr>
        <w:t>disposable income. The cheapest retail plans for a basic broadband service on the NBN are three times higher than what we need for low income affordability.</w:t>
      </w:r>
    </w:p>
    <w:p w:rsidR="00293AD9" w:rsidRPr="00293AD9" w:rsidRDefault="00293AD9" w:rsidP="00293AD9">
      <w:pPr>
        <w:rPr>
          <w:rFonts w:ascii="Calibri" w:hAnsi="Calibri"/>
          <w:szCs w:val="22"/>
        </w:rPr>
      </w:pPr>
      <w:r w:rsidRPr="00293AD9">
        <w:rPr>
          <w:rFonts w:ascii="Calibri" w:hAnsi="Calibri"/>
          <w:szCs w:val="22"/>
        </w:rPr>
        <w:t xml:space="preserve">Mobile voice and data is not considered a problem for affordability at this time. Competition has ensured that cheap and affordable </w:t>
      </w:r>
      <w:r w:rsidR="00BE7CB6">
        <w:rPr>
          <w:rFonts w:ascii="Calibri" w:hAnsi="Calibri"/>
          <w:szCs w:val="22"/>
        </w:rPr>
        <w:t xml:space="preserve">mobile </w:t>
      </w:r>
      <w:r w:rsidRPr="00293AD9">
        <w:rPr>
          <w:rFonts w:ascii="Calibri" w:hAnsi="Calibri"/>
          <w:szCs w:val="22"/>
        </w:rPr>
        <w:t xml:space="preserve">services are available. </w:t>
      </w:r>
    </w:p>
    <w:p w:rsidR="00767D04" w:rsidRDefault="00B5321A" w:rsidP="002022B9">
      <w:pPr>
        <w:rPr>
          <w:rFonts w:ascii="Calibri" w:hAnsi="Calibri"/>
          <w:szCs w:val="22"/>
        </w:rPr>
      </w:pPr>
      <w:r w:rsidRPr="00990CA1">
        <w:rPr>
          <w:rFonts w:ascii="Calibri" w:hAnsi="Calibri"/>
          <w:i/>
          <w:szCs w:val="22"/>
        </w:rPr>
        <w:t>Implementing affordable broadband</w:t>
      </w:r>
      <w:r>
        <w:rPr>
          <w:rFonts w:ascii="Calibri" w:hAnsi="Calibri"/>
          <w:szCs w:val="22"/>
        </w:rPr>
        <w:t xml:space="preserve"> (Section 3.3.3)</w:t>
      </w:r>
      <w:r w:rsidR="009A4AA3">
        <w:rPr>
          <w:rFonts w:ascii="Calibri" w:hAnsi="Calibri"/>
          <w:szCs w:val="22"/>
        </w:rPr>
        <w:t xml:space="preserve"> discusses</w:t>
      </w:r>
      <w:r>
        <w:rPr>
          <w:rFonts w:ascii="Calibri" w:hAnsi="Calibri"/>
          <w:szCs w:val="22"/>
        </w:rPr>
        <w:t xml:space="preserve"> four options for </w:t>
      </w:r>
      <w:r w:rsidR="009A4AA3">
        <w:rPr>
          <w:rFonts w:ascii="Calibri" w:hAnsi="Calibri"/>
          <w:szCs w:val="22"/>
        </w:rPr>
        <w:t>making</w:t>
      </w:r>
      <w:r>
        <w:rPr>
          <w:rFonts w:ascii="Calibri" w:hAnsi="Calibri"/>
          <w:szCs w:val="22"/>
        </w:rPr>
        <w:t xml:space="preserve"> social tariffs</w:t>
      </w:r>
      <w:r w:rsidR="009A4AA3">
        <w:rPr>
          <w:rFonts w:ascii="Calibri" w:hAnsi="Calibri"/>
          <w:szCs w:val="22"/>
        </w:rPr>
        <w:t xml:space="preserve"> available</w:t>
      </w:r>
      <w:r>
        <w:rPr>
          <w:rFonts w:ascii="Calibri" w:hAnsi="Calibri"/>
          <w:szCs w:val="22"/>
        </w:rPr>
        <w:t xml:space="preserve"> to those in most need. </w:t>
      </w:r>
      <w:r w:rsidR="009A4AA3">
        <w:rPr>
          <w:rFonts w:ascii="Calibri" w:hAnsi="Calibri"/>
          <w:szCs w:val="22"/>
        </w:rPr>
        <w:t>The first is to piggy-back existing benefits. Another is to focus on social housing. The third is to impose a social tariff obligation on carriers. And, the fourth</w:t>
      </w:r>
      <w:r w:rsidR="00990CA1">
        <w:rPr>
          <w:rFonts w:ascii="Calibri" w:hAnsi="Calibri"/>
          <w:szCs w:val="22"/>
        </w:rPr>
        <w:t xml:space="preserve"> is to fix NBN wholesale prices,</w:t>
      </w:r>
      <w:r w:rsidR="009A4AA3">
        <w:rPr>
          <w:rFonts w:ascii="Calibri" w:hAnsi="Calibri"/>
          <w:szCs w:val="22"/>
        </w:rPr>
        <w:t xml:space="preserve"> which are part of the affordability problem now.</w:t>
      </w:r>
      <w:r w:rsidR="00293AD9">
        <w:rPr>
          <w:rFonts w:ascii="Calibri" w:hAnsi="Calibri"/>
          <w:szCs w:val="22"/>
        </w:rPr>
        <w:t xml:space="preserve"> </w:t>
      </w:r>
    </w:p>
    <w:p w:rsidR="00DA563B" w:rsidRPr="002022B9" w:rsidRDefault="00843AE3" w:rsidP="002022B9">
      <w:pPr>
        <w:rPr>
          <w:rFonts w:ascii="Calibri" w:hAnsi="Calibri"/>
          <w:szCs w:val="22"/>
        </w:rPr>
      </w:pPr>
      <w:r>
        <w:rPr>
          <w:rFonts w:ascii="Calibri" w:hAnsi="Calibri"/>
          <w:szCs w:val="22"/>
        </w:rPr>
        <w:t>The affordability section concludes by noting that w</w:t>
      </w:r>
      <w:r w:rsidR="00DA563B" w:rsidRPr="002022B9">
        <w:rPr>
          <w:rFonts w:ascii="Calibri" w:hAnsi="Calibri"/>
          <w:szCs w:val="22"/>
        </w:rPr>
        <w:t xml:space="preserve">ork </w:t>
      </w:r>
      <w:r w:rsidR="00767D04">
        <w:rPr>
          <w:rFonts w:ascii="Calibri" w:hAnsi="Calibri"/>
          <w:szCs w:val="22"/>
        </w:rPr>
        <w:t>could</w:t>
      </w:r>
      <w:r w:rsidR="00DA563B" w:rsidRPr="002022B9">
        <w:rPr>
          <w:rFonts w:ascii="Calibri" w:hAnsi="Calibri"/>
          <w:szCs w:val="22"/>
        </w:rPr>
        <w:t xml:space="preserve"> </w:t>
      </w:r>
      <w:r w:rsidR="00DA563B">
        <w:rPr>
          <w:rFonts w:ascii="Calibri" w:hAnsi="Calibri"/>
          <w:szCs w:val="22"/>
        </w:rPr>
        <w:t xml:space="preserve">be </w:t>
      </w:r>
      <w:r w:rsidR="00DA563B" w:rsidRPr="002022B9">
        <w:rPr>
          <w:rFonts w:ascii="Calibri" w:hAnsi="Calibri"/>
          <w:szCs w:val="22"/>
        </w:rPr>
        <w:t>done on how to st</w:t>
      </w:r>
      <w:r w:rsidR="00DA563B">
        <w:rPr>
          <w:rFonts w:ascii="Calibri" w:hAnsi="Calibri"/>
          <w:szCs w:val="22"/>
        </w:rPr>
        <w:t xml:space="preserve">ructure </w:t>
      </w:r>
      <w:r w:rsidR="00DA563B" w:rsidRPr="002022B9">
        <w:rPr>
          <w:rFonts w:ascii="Calibri" w:hAnsi="Calibri"/>
          <w:szCs w:val="22"/>
        </w:rPr>
        <w:t xml:space="preserve">social </w:t>
      </w:r>
      <w:r w:rsidR="00DA563B">
        <w:rPr>
          <w:rFonts w:ascii="Calibri" w:hAnsi="Calibri"/>
          <w:szCs w:val="22"/>
        </w:rPr>
        <w:t>tariffs</w:t>
      </w:r>
      <w:r>
        <w:rPr>
          <w:rFonts w:ascii="Calibri" w:hAnsi="Calibri"/>
          <w:szCs w:val="22"/>
        </w:rPr>
        <w:t xml:space="preserve">. The </w:t>
      </w:r>
      <w:r w:rsidR="00DA563B">
        <w:rPr>
          <w:rFonts w:ascii="Calibri" w:hAnsi="Calibri"/>
          <w:szCs w:val="22"/>
        </w:rPr>
        <w:t xml:space="preserve">regressive </w:t>
      </w:r>
      <w:r w:rsidR="00DA563B" w:rsidRPr="002022B9">
        <w:rPr>
          <w:rFonts w:ascii="Calibri" w:hAnsi="Calibri"/>
          <w:szCs w:val="22"/>
        </w:rPr>
        <w:t xml:space="preserve">nature of </w:t>
      </w:r>
      <w:r w:rsidR="009E2F3B">
        <w:rPr>
          <w:rFonts w:ascii="Calibri" w:hAnsi="Calibri"/>
          <w:szCs w:val="22"/>
        </w:rPr>
        <w:t xml:space="preserve">spending on </w:t>
      </w:r>
      <w:r w:rsidR="00DA563B" w:rsidRPr="002022B9">
        <w:rPr>
          <w:rFonts w:ascii="Calibri" w:hAnsi="Calibri"/>
          <w:szCs w:val="22"/>
        </w:rPr>
        <w:t>communication</w:t>
      </w:r>
      <w:r w:rsidR="009E2F3B">
        <w:rPr>
          <w:rFonts w:ascii="Calibri" w:hAnsi="Calibri"/>
          <w:szCs w:val="22"/>
        </w:rPr>
        <w:t>s</w:t>
      </w:r>
      <w:r w:rsidR="00DA563B" w:rsidRPr="002022B9">
        <w:rPr>
          <w:rFonts w:ascii="Calibri" w:hAnsi="Calibri"/>
          <w:szCs w:val="22"/>
        </w:rPr>
        <w:t xml:space="preserve"> </w:t>
      </w:r>
      <w:r w:rsidR="009E2F3B">
        <w:rPr>
          <w:rFonts w:ascii="Calibri" w:hAnsi="Calibri"/>
          <w:szCs w:val="22"/>
        </w:rPr>
        <w:t>i</w:t>
      </w:r>
      <w:r w:rsidR="00DA563B" w:rsidRPr="002022B9">
        <w:rPr>
          <w:rFonts w:ascii="Calibri" w:hAnsi="Calibri"/>
          <w:szCs w:val="22"/>
        </w:rPr>
        <w:t>s exacerbated by the “poverty premium” which arises through the way low income consumers pay for services</w:t>
      </w:r>
      <w:r w:rsidR="00DA563B">
        <w:rPr>
          <w:rFonts w:ascii="Calibri" w:hAnsi="Calibri"/>
          <w:szCs w:val="22"/>
        </w:rPr>
        <w:t xml:space="preserve">. </w:t>
      </w:r>
    </w:p>
    <w:p w:rsidR="00843AE3" w:rsidRDefault="00843AE3" w:rsidP="00EC5C1C">
      <w:pPr>
        <w:rPr>
          <w:rFonts w:ascii="Calibri" w:hAnsi="Calibri"/>
          <w:szCs w:val="22"/>
        </w:rPr>
      </w:pPr>
      <w:r>
        <w:rPr>
          <w:rFonts w:ascii="Calibri" w:hAnsi="Calibri"/>
          <w:szCs w:val="22"/>
        </w:rPr>
        <w:t>Section 3.4 (</w:t>
      </w:r>
      <w:r w:rsidRPr="00990CA1">
        <w:rPr>
          <w:rFonts w:ascii="Calibri" w:hAnsi="Calibri"/>
          <w:i/>
          <w:szCs w:val="22"/>
        </w:rPr>
        <w:t>Are there other universals?</w:t>
      </w:r>
      <w:r w:rsidRPr="00990CA1">
        <w:rPr>
          <w:rFonts w:ascii="Calibri" w:hAnsi="Calibri"/>
          <w:szCs w:val="22"/>
        </w:rPr>
        <w:t xml:space="preserve">) </w:t>
      </w:r>
      <w:r>
        <w:rPr>
          <w:rFonts w:ascii="Calibri" w:hAnsi="Calibri"/>
          <w:szCs w:val="22"/>
        </w:rPr>
        <w:t>suggests that the universal principles of availability, accessibility and affordability are not enough to satisfy the aspirations of universal service policy.</w:t>
      </w:r>
      <w:r w:rsidR="00344516">
        <w:rPr>
          <w:rFonts w:ascii="Calibri" w:hAnsi="Calibri"/>
          <w:szCs w:val="22"/>
        </w:rPr>
        <w:t xml:space="preserve"> They are essentially about carriage issues. Content or increasing the utility of the networks for social inclusion is important too.</w:t>
      </w:r>
      <w:r w:rsidR="0097521B">
        <w:rPr>
          <w:rFonts w:ascii="Calibri" w:hAnsi="Calibri"/>
          <w:szCs w:val="22"/>
        </w:rPr>
        <w:t xml:space="preserve"> Access to </w:t>
      </w:r>
      <w:r w:rsidR="0097521B" w:rsidRPr="0097521B">
        <w:rPr>
          <w:rFonts w:ascii="Calibri" w:hAnsi="Calibri"/>
          <w:szCs w:val="22"/>
        </w:rPr>
        <w:t xml:space="preserve">e-government could be facilitated with a government portal app that provides free access to government services and the Emergency+ app should be pre-loaded on all smartphones. </w:t>
      </w:r>
      <w:r w:rsidR="00344516">
        <w:rPr>
          <w:rFonts w:ascii="Calibri" w:hAnsi="Calibri"/>
          <w:szCs w:val="22"/>
        </w:rPr>
        <w:t>But, the section also cautions against over-reach. Many useful content and applications services will become available without policy intervention.</w:t>
      </w:r>
    </w:p>
    <w:p w:rsidR="008F2718" w:rsidRDefault="0097521B" w:rsidP="00EC5C1C">
      <w:pPr>
        <w:rPr>
          <w:rFonts w:ascii="Calibri" w:hAnsi="Calibri"/>
          <w:szCs w:val="22"/>
        </w:rPr>
      </w:pPr>
      <w:r>
        <w:rPr>
          <w:rFonts w:ascii="Calibri" w:hAnsi="Calibri"/>
          <w:szCs w:val="22"/>
        </w:rPr>
        <w:t>Section 4 (</w:t>
      </w:r>
      <w:r w:rsidRPr="00990CA1">
        <w:rPr>
          <w:rFonts w:ascii="Calibri" w:hAnsi="Calibri"/>
          <w:i/>
          <w:szCs w:val="22"/>
        </w:rPr>
        <w:t>Who are you going to call?</w:t>
      </w:r>
      <w:r>
        <w:rPr>
          <w:rFonts w:ascii="Calibri" w:hAnsi="Calibri"/>
          <w:szCs w:val="22"/>
        </w:rPr>
        <w:t>)</w:t>
      </w:r>
      <w:r w:rsidR="002231BF">
        <w:rPr>
          <w:rFonts w:ascii="Calibri" w:hAnsi="Calibri"/>
          <w:szCs w:val="22"/>
        </w:rPr>
        <w:t xml:space="preserve"> tests six</w:t>
      </w:r>
      <w:r w:rsidR="00767D04">
        <w:rPr>
          <w:rFonts w:ascii="Calibri" w:hAnsi="Calibri"/>
          <w:szCs w:val="22"/>
        </w:rPr>
        <w:t xml:space="preserve"> options </w:t>
      </w:r>
      <w:r w:rsidR="002231BF">
        <w:rPr>
          <w:rFonts w:ascii="Calibri" w:hAnsi="Calibri"/>
          <w:szCs w:val="22"/>
        </w:rPr>
        <w:t xml:space="preserve">for </w:t>
      </w:r>
      <w:r w:rsidR="00767D04">
        <w:rPr>
          <w:rFonts w:ascii="Calibri" w:hAnsi="Calibri"/>
          <w:szCs w:val="22"/>
        </w:rPr>
        <w:t>realising these four policy objectives. There are two compelling options. The first is not to nominate any default retail USO provider (Option 2</w:t>
      </w:r>
      <w:r w:rsidR="008F2718">
        <w:rPr>
          <w:rFonts w:ascii="Calibri" w:hAnsi="Calibri"/>
          <w:szCs w:val="22"/>
        </w:rPr>
        <w:t xml:space="preserve">). This would require </w:t>
      </w:r>
      <w:r w:rsidR="002231BF">
        <w:rPr>
          <w:rFonts w:ascii="Calibri" w:hAnsi="Calibri"/>
          <w:szCs w:val="22"/>
        </w:rPr>
        <w:t xml:space="preserve">only </w:t>
      </w:r>
      <w:r w:rsidR="008F2718">
        <w:rPr>
          <w:rFonts w:ascii="Calibri" w:hAnsi="Calibri"/>
          <w:szCs w:val="22"/>
        </w:rPr>
        <w:t>the extension of existing codes and standards by the</w:t>
      </w:r>
      <w:r w:rsidR="00736782">
        <w:rPr>
          <w:rFonts w:ascii="Calibri" w:hAnsi="Calibri"/>
          <w:szCs w:val="22"/>
        </w:rPr>
        <w:t xml:space="preserve"> Australian Communications and Media Authority</w:t>
      </w:r>
      <w:r w:rsidR="008F2718">
        <w:rPr>
          <w:rFonts w:ascii="Calibri" w:hAnsi="Calibri"/>
          <w:szCs w:val="22"/>
        </w:rPr>
        <w:t xml:space="preserve"> ACMA to reflect the new fixed broadband, mobile voice and data environment. </w:t>
      </w:r>
    </w:p>
    <w:p w:rsidR="00217B8B" w:rsidRDefault="008F2718" w:rsidP="00EC5C1C">
      <w:pPr>
        <w:rPr>
          <w:rFonts w:ascii="Calibri" w:hAnsi="Calibri"/>
          <w:szCs w:val="22"/>
        </w:rPr>
      </w:pPr>
      <w:r>
        <w:rPr>
          <w:rFonts w:ascii="Calibri" w:hAnsi="Calibri"/>
          <w:szCs w:val="22"/>
        </w:rPr>
        <w:t>The other option is to extend Telstra’s USO obligations into mobiles and data while giving it freedom to choose delivery options (Option 6). This would be easier to implement without leading to extra costs. It is considered the safer option.</w:t>
      </w:r>
    </w:p>
    <w:p w:rsidR="00DA563B" w:rsidRPr="00A36885" w:rsidRDefault="00DA563B" w:rsidP="00DA4A69">
      <w:pPr>
        <w:pStyle w:val="Heading1"/>
        <w:rPr>
          <w:b/>
        </w:rPr>
      </w:pPr>
      <w:bookmarkStart w:id="8" w:name="_Toc436121933"/>
      <w:r>
        <w:lastRenderedPageBreak/>
        <w:t>2</w:t>
      </w:r>
      <w:r>
        <w:tab/>
        <w:t xml:space="preserve">“Broken </w:t>
      </w:r>
      <w:r w:rsidR="00AE529A">
        <w:t>C</w:t>
      </w:r>
      <w:r>
        <w:t>oncepts”</w:t>
      </w:r>
      <w:r>
        <w:rPr>
          <w:rStyle w:val="FootnoteReference"/>
        </w:rPr>
        <w:footnoteReference w:id="4"/>
      </w:r>
      <w:bookmarkEnd w:id="8"/>
    </w:p>
    <w:p w:rsidR="00DA563B" w:rsidRDefault="002A03B0" w:rsidP="005C47B7">
      <w:pPr>
        <w:rPr>
          <w:rFonts w:ascii="Calibri" w:hAnsi="Calibri"/>
          <w:szCs w:val="22"/>
        </w:rPr>
      </w:pPr>
      <w:r>
        <w:rPr>
          <w:noProof/>
        </w:rPr>
        <w:drawing>
          <wp:anchor distT="0" distB="0" distL="114300" distR="114300" simplePos="0" relativeHeight="251657728" behindDoc="1" locked="0" layoutInCell="1" allowOverlap="1" wp14:anchorId="178458BE" wp14:editId="4B4D2C4B">
            <wp:simplePos x="0" y="0"/>
            <wp:positionH relativeFrom="column">
              <wp:posOffset>3550920</wp:posOffset>
            </wp:positionH>
            <wp:positionV relativeFrom="paragraph">
              <wp:posOffset>236855</wp:posOffset>
            </wp:positionV>
            <wp:extent cx="2395855" cy="1664335"/>
            <wp:effectExtent l="19050" t="0" r="4445" b="0"/>
            <wp:wrapTight wrapText="bothSides">
              <wp:wrapPolygon edited="0">
                <wp:start x="-172" y="0"/>
                <wp:lineTo x="-172" y="21262"/>
                <wp:lineTo x="21640" y="21262"/>
                <wp:lineTo x="21640" y="0"/>
                <wp:lineTo x="-172"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395855" cy="1664335"/>
                    </a:xfrm>
                    <a:prstGeom prst="rect">
                      <a:avLst/>
                    </a:prstGeom>
                    <a:noFill/>
                  </pic:spPr>
                </pic:pic>
              </a:graphicData>
            </a:graphic>
          </wp:anchor>
        </w:drawing>
      </w:r>
      <w:r w:rsidR="00DA563B" w:rsidRPr="005C47B7">
        <w:rPr>
          <w:rFonts w:ascii="Calibri" w:hAnsi="Calibri"/>
          <w:szCs w:val="22"/>
        </w:rPr>
        <w:t xml:space="preserve">The USO (or Community Service Obligation, as it was once called) goes back a long way. It was defined in Section 6 of the </w:t>
      </w:r>
      <w:r w:rsidR="00DA563B" w:rsidRPr="005C47B7">
        <w:rPr>
          <w:rFonts w:ascii="Calibri" w:hAnsi="Calibri"/>
          <w:i/>
          <w:szCs w:val="22"/>
        </w:rPr>
        <w:t xml:space="preserve">Telecommunications Act 1975 </w:t>
      </w:r>
      <w:r w:rsidR="00DA563B" w:rsidRPr="005C47B7">
        <w:rPr>
          <w:rFonts w:ascii="Calibri" w:hAnsi="Calibri"/>
          <w:szCs w:val="22"/>
        </w:rPr>
        <w:t xml:space="preserve">and expressed in Telecom Australia Annual reports as the obligation to </w:t>
      </w:r>
      <w:r w:rsidR="00DA563B" w:rsidRPr="005C47B7">
        <w:rPr>
          <w:rFonts w:ascii="Calibri" w:hAnsi="Calibri"/>
          <w:i/>
          <w:szCs w:val="22"/>
        </w:rPr>
        <w:t>“provide every household with the opportunity of obtaining a telephone at an affordable price”</w:t>
      </w:r>
      <w:r w:rsidR="00DA563B" w:rsidRPr="005C47B7">
        <w:rPr>
          <w:rFonts w:ascii="Calibri" w:hAnsi="Calibri"/>
          <w:szCs w:val="22"/>
        </w:rPr>
        <w:t xml:space="preserve">.  </w:t>
      </w:r>
    </w:p>
    <w:p w:rsidR="00DA563B" w:rsidRPr="00DD7CAA" w:rsidRDefault="00DA563B" w:rsidP="00DD7CAA">
      <w:pPr>
        <w:rPr>
          <w:rFonts w:ascii="Calibri" w:hAnsi="Calibri"/>
          <w:szCs w:val="22"/>
        </w:rPr>
      </w:pPr>
      <w:r w:rsidRPr="00DD7CAA">
        <w:rPr>
          <w:rFonts w:ascii="Calibri" w:hAnsi="Calibri"/>
          <w:szCs w:val="22"/>
        </w:rPr>
        <w:t xml:space="preserve">The standard telephone service (STS) is the deliverable in the USO and is </w:t>
      </w:r>
      <w:r>
        <w:rPr>
          <w:rFonts w:ascii="Calibri" w:hAnsi="Calibri"/>
          <w:szCs w:val="22"/>
        </w:rPr>
        <w:t xml:space="preserve">now </w:t>
      </w:r>
      <w:r w:rsidRPr="00DD7CAA">
        <w:rPr>
          <w:rFonts w:ascii="Calibri" w:hAnsi="Calibri"/>
          <w:szCs w:val="22"/>
        </w:rPr>
        <w:t xml:space="preserve">defined in Section 6 of the </w:t>
      </w:r>
      <w:hyperlink r:id="rId15" w:tgtFrame="_top" w:history="1">
        <w:r w:rsidRPr="00DD7CAA">
          <w:rPr>
            <w:rStyle w:val="Hyperlink"/>
            <w:rFonts w:ascii="Calibri" w:hAnsi="Calibri"/>
            <w:i/>
            <w:iCs/>
            <w:szCs w:val="22"/>
          </w:rPr>
          <w:t>Telecommunications (Consumer Protection and Service Standards) Act 1999</w:t>
        </w:r>
      </w:hyperlink>
      <w:r w:rsidRPr="00DD7CAA">
        <w:rPr>
          <w:rFonts w:ascii="Calibri" w:hAnsi="Calibri"/>
          <w:szCs w:val="22"/>
        </w:rPr>
        <w:t xml:space="preserve"> as:</w:t>
      </w:r>
    </w:p>
    <w:p w:rsidR="00DA563B" w:rsidRPr="00DD7CAA" w:rsidRDefault="00DA563B" w:rsidP="00DD7CAA">
      <w:pPr>
        <w:numPr>
          <w:ilvl w:val="0"/>
          <w:numId w:val="13"/>
        </w:numPr>
        <w:rPr>
          <w:rFonts w:ascii="Calibri" w:hAnsi="Calibri"/>
          <w:szCs w:val="22"/>
        </w:rPr>
      </w:pPr>
      <w:r w:rsidRPr="00DD7CAA">
        <w:rPr>
          <w:rFonts w:ascii="Calibri" w:hAnsi="Calibri"/>
          <w:szCs w:val="22"/>
        </w:rPr>
        <w:t xml:space="preserve">a telephone service fit for the purpose of voice telephony </w:t>
      </w:r>
    </w:p>
    <w:p w:rsidR="00DA563B" w:rsidRPr="00DD7CAA" w:rsidRDefault="00DA563B" w:rsidP="00DD7CAA">
      <w:pPr>
        <w:numPr>
          <w:ilvl w:val="0"/>
          <w:numId w:val="13"/>
        </w:numPr>
        <w:rPr>
          <w:rFonts w:ascii="Calibri" w:hAnsi="Calibri"/>
          <w:szCs w:val="22"/>
        </w:rPr>
      </w:pPr>
      <w:proofErr w:type="gramStart"/>
      <w:r w:rsidRPr="00DD7CAA">
        <w:rPr>
          <w:rFonts w:ascii="Calibri" w:hAnsi="Calibri"/>
          <w:szCs w:val="22"/>
        </w:rPr>
        <w:t>if</w:t>
      </w:r>
      <w:proofErr w:type="gramEnd"/>
      <w:r w:rsidRPr="00DD7CAA">
        <w:rPr>
          <w:rFonts w:ascii="Calibri" w:hAnsi="Calibri"/>
          <w:szCs w:val="22"/>
        </w:rPr>
        <w:t xml:space="preserve"> voice telephony is impractical for a person with a disability, a form of communication that is equivalent to voice telephony.</w:t>
      </w:r>
    </w:p>
    <w:p w:rsidR="00DA563B" w:rsidRPr="00DD7CAA" w:rsidRDefault="00DA563B" w:rsidP="00DD7CAA">
      <w:pPr>
        <w:rPr>
          <w:rFonts w:ascii="Calibri" w:hAnsi="Calibri"/>
          <w:szCs w:val="22"/>
        </w:rPr>
      </w:pPr>
      <w:r w:rsidRPr="00DD7CAA">
        <w:rPr>
          <w:rFonts w:ascii="Calibri" w:hAnsi="Calibri"/>
          <w:szCs w:val="22"/>
        </w:rPr>
        <w:t xml:space="preserve">But, the exact meanings are given expression in Telstra’s 11 </w:t>
      </w:r>
      <w:proofErr w:type="gramStart"/>
      <w:r w:rsidRPr="00DD7CAA">
        <w:rPr>
          <w:rFonts w:ascii="Calibri" w:hAnsi="Calibri"/>
          <w:szCs w:val="22"/>
        </w:rPr>
        <w:t>page</w:t>
      </w:r>
      <w:proofErr w:type="gramEnd"/>
      <w:r w:rsidRPr="00DD7CAA">
        <w:rPr>
          <w:rFonts w:ascii="Calibri" w:hAnsi="Calibri"/>
          <w:szCs w:val="22"/>
        </w:rPr>
        <w:t xml:space="preserve"> </w:t>
      </w:r>
      <w:hyperlink r:id="rId16" w:history="1">
        <w:r w:rsidRPr="00DD7CAA">
          <w:rPr>
            <w:rStyle w:val="Hyperlink"/>
            <w:rFonts w:ascii="Calibri" w:hAnsi="Calibri"/>
            <w:szCs w:val="22"/>
          </w:rPr>
          <w:t>USO Policy Statement</w:t>
        </w:r>
      </w:hyperlink>
      <w:r w:rsidRPr="00DD7CAA">
        <w:rPr>
          <w:rFonts w:ascii="Calibri" w:hAnsi="Calibri"/>
          <w:szCs w:val="22"/>
        </w:rPr>
        <w:t xml:space="preserve"> and 71 page </w:t>
      </w:r>
      <w:hyperlink r:id="rId17" w:history="1">
        <w:r w:rsidRPr="00DD7CAA">
          <w:rPr>
            <w:rStyle w:val="Hyperlink"/>
            <w:rFonts w:ascii="Calibri" w:hAnsi="Calibri"/>
            <w:szCs w:val="22"/>
          </w:rPr>
          <w:t>USO Marketing Plan</w:t>
        </w:r>
      </w:hyperlink>
      <w:r w:rsidRPr="00DD7CAA">
        <w:rPr>
          <w:rFonts w:ascii="Calibri" w:hAnsi="Calibri"/>
          <w:szCs w:val="22"/>
        </w:rPr>
        <w:t>; both updated and approved by the ACMA in November 2005.</w:t>
      </w:r>
    </w:p>
    <w:p w:rsidR="00DA563B" w:rsidRPr="00DD7CAA" w:rsidRDefault="00DA563B" w:rsidP="00DD7CAA">
      <w:pPr>
        <w:rPr>
          <w:rFonts w:ascii="Calibri" w:hAnsi="Calibri"/>
          <w:szCs w:val="22"/>
        </w:rPr>
      </w:pPr>
      <w:r w:rsidRPr="00DD7CAA">
        <w:rPr>
          <w:rFonts w:ascii="Calibri" w:hAnsi="Calibri"/>
          <w:szCs w:val="22"/>
        </w:rPr>
        <w:t>For most people, the STS means a basic fixed line telephone used to speak with people in other locations. All telephone companies are required to provide the STS with access to:</w:t>
      </w:r>
    </w:p>
    <w:p w:rsidR="00DA563B" w:rsidRPr="00DD7CAA" w:rsidRDefault="00DA563B" w:rsidP="00DD7CAA">
      <w:pPr>
        <w:numPr>
          <w:ilvl w:val="0"/>
          <w:numId w:val="14"/>
        </w:numPr>
        <w:rPr>
          <w:rFonts w:ascii="Calibri" w:hAnsi="Calibri"/>
          <w:szCs w:val="22"/>
        </w:rPr>
      </w:pPr>
      <w:r w:rsidRPr="00DD7CAA">
        <w:rPr>
          <w:rFonts w:ascii="Calibri" w:hAnsi="Calibri"/>
          <w:szCs w:val="22"/>
        </w:rPr>
        <w:t xml:space="preserve">local, national and international calls </w:t>
      </w:r>
    </w:p>
    <w:p w:rsidR="00DA563B" w:rsidRPr="00DD7CAA" w:rsidRDefault="00DA563B" w:rsidP="00DD7CAA">
      <w:pPr>
        <w:numPr>
          <w:ilvl w:val="0"/>
          <w:numId w:val="14"/>
        </w:numPr>
        <w:rPr>
          <w:rFonts w:ascii="Calibri" w:hAnsi="Calibri"/>
          <w:szCs w:val="22"/>
        </w:rPr>
      </w:pPr>
      <w:r w:rsidRPr="00DD7CAA">
        <w:rPr>
          <w:rFonts w:ascii="Calibri" w:hAnsi="Calibri"/>
          <w:szCs w:val="22"/>
        </w:rPr>
        <w:t>24 hour free access to emergency service numbers</w:t>
      </w:r>
    </w:p>
    <w:p w:rsidR="00DA563B" w:rsidRPr="00DD7CAA" w:rsidRDefault="00DA563B" w:rsidP="00DD7CAA">
      <w:pPr>
        <w:numPr>
          <w:ilvl w:val="0"/>
          <w:numId w:val="14"/>
        </w:numPr>
        <w:rPr>
          <w:rFonts w:ascii="Calibri" w:hAnsi="Calibri"/>
          <w:szCs w:val="22"/>
        </w:rPr>
      </w:pPr>
      <w:r w:rsidRPr="00DD7CAA">
        <w:rPr>
          <w:rFonts w:ascii="Calibri" w:hAnsi="Calibri"/>
          <w:szCs w:val="22"/>
        </w:rPr>
        <w:t xml:space="preserve">a unique telephone number with a directory listing, unless the customer requests otherwise </w:t>
      </w:r>
    </w:p>
    <w:p w:rsidR="00DA563B" w:rsidRPr="00DD7CAA" w:rsidRDefault="00DA563B" w:rsidP="00DD7CAA">
      <w:pPr>
        <w:numPr>
          <w:ilvl w:val="0"/>
          <w:numId w:val="14"/>
        </w:numPr>
        <w:rPr>
          <w:rFonts w:ascii="Calibri" w:hAnsi="Calibri"/>
          <w:szCs w:val="22"/>
        </w:rPr>
      </w:pPr>
      <w:r w:rsidRPr="00DD7CAA">
        <w:rPr>
          <w:rFonts w:ascii="Calibri" w:hAnsi="Calibri"/>
          <w:szCs w:val="22"/>
        </w:rPr>
        <w:t>operator assisted services</w:t>
      </w:r>
    </w:p>
    <w:p w:rsidR="00DA563B" w:rsidRPr="00DD7CAA" w:rsidRDefault="00DA563B" w:rsidP="00DD7CAA">
      <w:pPr>
        <w:numPr>
          <w:ilvl w:val="0"/>
          <w:numId w:val="14"/>
        </w:numPr>
        <w:rPr>
          <w:rFonts w:ascii="Calibri" w:hAnsi="Calibri"/>
          <w:szCs w:val="22"/>
        </w:rPr>
      </w:pPr>
      <w:r w:rsidRPr="00DD7CAA">
        <w:rPr>
          <w:rFonts w:ascii="Calibri" w:hAnsi="Calibri"/>
          <w:szCs w:val="22"/>
        </w:rPr>
        <w:t xml:space="preserve">directory assistance </w:t>
      </w:r>
    </w:p>
    <w:p w:rsidR="00DA563B" w:rsidRPr="00DD7CAA" w:rsidRDefault="00DA563B" w:rsidP="00DD7CAA">
      <w:pPr>
        <w:numPr>
          <w:ilvl w:val="0"/>
          <w:numId w:val="14"/>
        </w:numPr>
        <w:rPr>
          <w:rFonts w:ascii="Calibri" w:hAnsi="Calibri"/>
          <w:szCs w:val="22"/>
        </w:rPr>
      </w:pPr>
      <w:proofErr w:type="gramStart"/>
      <w:r w:rsidRPr="00DD7CAA">
        <w:rPr>
          <w:rFonts w:ascii="Calibri" w:hAnsi="Calibri"/>
          <w:szCs w:val="22"/>
        </w:rPr>
        <w:t>itemised</w:t>
      </w:r>
      <w:proofErr w:type="gramEnd"/>
      <w:r w:rsidRPr="00DD7CAA">
        <w:rPr>
          <w:rFonts w:ascii="Calibri" w:hAnsi="Calibri"/>
          <w:szCs w:val="22"/>
        </w:rPr>
        <w:t xml:space="preserve"> billing, including itemised local calls on request. </w:t>
      </w:r>
    </w:p>
    <w:p w:rsidR="00DA563B" w:rsidRPr="00DD7CAA" w:rsidRDefault="00DA563B" w:rsidP="00DD7CAA">
      <w:pPr>
        <w:rPr>
          <w:rFonts w:ascii="Calibri" w:hAnsi="Calibri"/>
          <w:szCs w:val="22"/>
        </w:rPr>
      </w:pPr>
      <w:r w:rsidRPr="00DD7CAA">
        <w:rPr>
          <w:rFonts w:ascii="Calibri" w:hAnsi="Calibri"/>
          <w:szCs w:val="22"/>
        </w:rPr>
        <w:t xml:space="preserve">Telstra is currently the sole universal service provider and is </w:t>
      </w:r>
      <w:r w:rsidRPr="00DD7CAA">
        <w:rPr>
          <w:rFonts w:ascii="Calibri" w:hAnsi="Calibri"/>
          <w:szCs w:val="22"/>
          <w:u w:val="single"/>
        </w:rPr>
        <w:t>obliged</w:t>
      </w:r>
      <w:r w:rsidRPr="00DD7CAA">
        <w:rPr>
          <w:rFonts w:ascii="Calibri" w:hAnsi="Calibri"/>
          <w:szCs w:val="22"/>
        </w:rPr>
        <w:t xml:space="preserve"> to provid</w:t>
      </w:r>
      <w:r>
        <w:rPr>
          <w:rFonts w:ascii="Calibri" w:hAnsi="Calibri"/>
          <w:szCs w:val="22"/>
        </w:rPr>
        <w:t xml:space="preserve">e an STS to anyone in Australia. </w:t>
      </w:r>
      <w:r w:rsidRPr="00DD7CAA">
        <w:rPr>
          <w:rFonts w:ascii="Calibri" w:hAnsi="Calibri"/>
          <w:szCs w:val="22"/>
        </w:rPr>
        <w:t>Other telephone companies</w:t>
      </w:r>
      <w:r w:rsidRPr="00DD7CAA">
        <w:rPr>
          <w:rFonts w:ascii="Calibri" w:hAnsi="Calibri"/>
          <w:szCs w:val="22"/>
          <w:u w:val="single"/>
        </w:rPr>
        <w:t xml:space="preserve"> may</w:t>
      </w:r>
      <w:r w:rsidRPr="00DD7CAA">
        <w:rPr>
          <w:rFonts w:ascii="Calibri" w:hAnsi="Calibri"/>
          <w:szCs w:val="22"/>
        </w:rPr>
        <w:t xml:space="preserve"> also provide an STS.</w:t>
      </w:r>
    </w:p>
    <w:p w:rsidR="00DA563B" w:rsidRPr="00DD7CAA" w:rsidRDefault="00DA563B" w:rsidP="00DD7CAA">
      <w:pPr>
        <w:rPr>
          <w:rFonts w:ascii="Calibri" w:hAnsi="Calibri"/>
          <w:szCs w:val="22"/>
        </w:rPr>
      </w:pPr>
      <w:r w:rsidRPr="00DD7CAA">
        <w:rPr>
          <w:rFonts w:ascii="Calibri" w:hAnsi="Calibri"/>
          <w:szCs w:val="22"/>
        </w:rPr>
        <w:t xml:space="preserve">Under the USO, which applies only to Telstra, the supply of the STS includes the provision of a standard telephone handset on request for an additional cost. </w:t>
      </w:r>
    </w:p>
    <w:p w:rsidR="00DA563B" w:rsidRDefault="00DA563B" w:rsidP="00DD7CAA">
      <w:pPr>
        <w:rPr>
          <w:rFonts w:ascii="Calibri" w:hAnsi="Calibri"/>
          <w:szCs w:val="22"/>
        </w:rPr>
      </w:pPr>
      <w:r>
        <w:rPr>
          <w:rFonts w:ascii="Calibri" w:hAnsi="Calibri"/>
          <w:szCs w:val="22"/>
        </w:rPr>
        <w:t xml:space="preserve">But, the current </w:t>
      </w:r>
      <w:r w:rsidR="00D307D6">
        <w:rPr>
          <w:rFonts w:ascii="Calibri" w:hAnsi="Calibri"/>
          <w:szCs w:val="22"/>
        </w:rPr>
        <w:t xml:space="preserve">voice-only </w:t>
      </w:r>
      <w:r>
        <w:rPr>
          <w:rFonts w:ascii="Calibri" w:hAnsi="Calibri"/>
          <w:szCs w:val="22"/>
        </w:rPr>
        <w:t>USO arrangements have been overtaken by many changes that force a review of the future of the USO:</w:t>
      </w:r>
    </w:p>
    <w:p w:rsidR="00DA563B" w:rsidRPr="00DD7CAA" w:rsidRDefault="00DA563B" w:rsidP="000422AB">
      <w:pPr>
        <w:pStyle w:val="ListParagraph"/>
        <w:numPr>
          <w:ilvl w:val="0"/>
          <w:numId w:val="16"/>
        </w:numPr>
        <w:rPr>
          <w:rFonts w:ascii="Calibri" w:hAnsi="Calibri"/>
          <w:szCs w:val="22"/>
        </w:rPr>
      </w:pPr>
      <w:r w:rsidRPr="000422AB">
        <w:rPr>
          <w:rFonts w:ascii="Calibri" w:hAnsi="Calibri"/>
          <w:szCs w:val="22"/>
        </w:rPr>
        <w:t>“</w:t>
      </w:r>
      <w:r w:rsidRPr="000422AB">
        <w:rPr>
          <w:rFonts w:ascii="Calibri" w:hAnsi="Calibri"/>
          <w:i/>
          <w:szCs w:val="22"/>
        </w:rPr>
        <w:t xml:space="preserve">The USO currently is an obligation for infrastructure and retail services, however, the environment is moving to </w:t>
      </w:r>
      <w:r w:rsidRPr="000422AB">
        <w:rPr>
          <w:rFonts w:ascii="Calibri" w:hAnsi="Calibri"/>
          <w:i/>
          <w:szCs w:val="22"/>
          <w:u w:val="single"/>
        </w:rPr>
        <w:t>separate</w:t>
      </w:r>
      <w:r w:rsidRPr="000422AB">
        <w:rPr>
          <w:rFonts w:ascii="Calibri" w:hAnsi="Calibri"/>
          <w:i/>
          <w:szCs w:val="22"/>
        </w:rPr>
        <w:t xml:space="preserve"> retail and wholesale levels</w:t>
      </w:r>
      <w:r>
        <w:rPr>
          <w:rFonts w:ascii="Calibri" w:hAnsi="Calibri"/>
          <w:i/>
          <w:szCs w:val="22"/>
        </w:rPr>
        <w:t>”</w:t>
      </w:r>
      <w:r>
        <w:rPr>
          <w:rStyle w:val="FootnoteReference"/>
          <w:rFonts w:ascii="Calibri" w:hAnsi="Calibri"/>
          <w:i/>
          <w:szCs w:val="22"/>
        </w:rPr>
        <w:footnoteReference w:id="5"/>
      </w:r>
      <w:r>
        <w:rPr>
          <w:rFonts w:ascii="Calibri" w:hAnsi="Calibri"/>
          <w:i/>
          <w:szCs w:val="22"/>
        </w:rPr>
        <w:t xml:space="preserve"> </w:t>
      </w:r>
      <w:r w:rsidRPr="00B3435B">
        <w:rPr>
          <w:rFonts w:ascii="Calibri" w:hAnsi="Calibri"/>
          <w:szCs w:val="22"/>
        </w:rPr>
        <w:t>In future, neither</w:t>
      </w:r>
      <w:r>
        <w:rPr>
          <w:rFonts w:ascii="Calibri" w:hAnsi="Calibri"/>
          <w:szCs w:val="22"/>
        </w:rPr>
        <w:t xml:space="preserve"> Telstra nor the </w:t>
      </w:r>
      <w:proofErr w:type="spellStart"/>
      <w:r w:rsidR="00BA6C30">
        <w:rPr>
          <w:rFonts w:ascii="Calibri" w:hAnsi="Calibri"/>
          <w:szCs w:val="22"/>
        </w:rPr>
        <w:t>nbn</w:t>
      </w:r>
      <w:proofErr w:type="spellEnd"/>
      <w:r>
        <w:rPr>
          <w:rFonts w:ascii="Calibri" w:hAnsi="Calibri"/>
          <w:szCs w:val="22"/>
        </w:rPr>
        <w:t xml:space="preserve"> own both the infrastructure and customers; unlike the current USO regime.</w:t>
      </w:r>
    </w:p>
    <w:p w:rsidR="00DA563B" w:rsidRDefault="00DA563B" w:rsidP="00C7094A">
      <w:pPr>
        <w:pStyle w:val="ListParagraph"/>
        <w:numPr>
          <w:ilvl w:val="0"/>
          <w:numId w:val="16"/>
        </w:numPr>
        <w:rPr>
          <w:rFonts w:ascii="Calibri" w:hAnsi="Calibri"/>
          <w:szCs w:val="22"/>
        </w:rPr>
      </w:pPr>
      <w:r>
        <w:rPr>
          <w:rFonts w:ascii="Calibri" w:hAnsi="Calibri"/>
          <w:szCs w:val="22"/>
        </w:rPr>
        <w:lastRenderedPageBreak/>
        <w:t>The mobile phone is now the preferred means for voice communications and the number of users on the fixed network is in decline.</w:t>
      </w:r>
      <w:r w:rsidRPr="00F56AB3">
        <w:rPr>
          <w:rFonts w:ascii="Calibri" w:hAnsi="Calibri"/>
          <w:szCs w:val="22"/>
        </w:rPr>
        <w:t xml:space="preserve"> </w:t>
      </w:r>
      <w:r>
        <w:rPr>
          <w:rFonts w:ascii="Calibri" w:hAnsi="Calibri"/>
          <w:szCs w:val="22"/>
        </w:rPr>
        <w:t xml:space="preserve">The ACMA </w:t>
      </w:r>
      <w:hyperlink r:id="rId18" w:history="1">
        <w:r w:rsidRPr="001C44CF">
          <w:rPr>
            <w:rStyle w:val="Hyperlink"/>
            <w:rFonts w:ascii="Calibri" w:hAnsi="Calibri"/>
            <w:szCs w:val="22"/>
          </w:rPr>
          <w:t>reports</w:t>
        </w:r>
      </w:hyperlink>
      <w:r>
        <w:rPr>
          <w:rFonts w:ascii="Calibri" w:hAnsi="Calibri"/>
          <w:szCs w:val="22"/>
        </w:rPr>
        <w:t xml:space="preserve"> that in December 2014 “</w:t>
      </w:r>
      <w:r w:rsidRPr="001C44CF">
        <w:rPr>
          <w:rFonts w:ascii="Calibri" w:hAnsi="Calibri"/>
          <w:i/>
          <w:szCs w:val="22"/>
        </w:rPr>
        <w:t xml:space="preserve">nearly one-third (29 per cent) of adult Australians were </w:t>
      </w:r>
      <w:r w:rsidRPr="001C44CF">
        <w:rPr>
          <w:rFonts w:ascii="Calibri" w:hAnsi="Calibri"/>
          <w:bCs/>
          <w:i/>
          <w:szCs w:val="22"/>
        </w:rPr>
        <w:t>mobile-only phone users</w:t>
      </w:r>
      <w:r w:rsidRPr="001C44CF">
        <w:rPr>
          <w:rFonts w:ascii="Calibri" w:hAnsi="Calibri"/>
          <w:i/>
          <w:szCs w:val="22"/>
        </w:rPr>
        <w:t>—</w:t>
      </w:r>
      <w:r>
        <w:rPr>
          <w:rFonts w:ascii="Calibri" w:hAnsi="Calibri"/>
          <w:i/>
          <w:szCs w:val="22"/>
        </w:rPr>
        <w:t xml:space="preserve"> </w:t>
      </w:r>
      <w:r w:rsidRPr="001C44CF">
        <w:rPr>
          <w:rFonts w:ascii="Calibri" w:hAnsi="Calibri"/>
          <w:i/>
          <w:szCs w:val="22"/>
        </w:rPr>
        <w:t>with a mobile phone but no fixed-line telephone at home. The incidence of mobile-only phone use has increased substantially over a four-year period from 2.2 million at December 2010 to 5.2 million at December 2014”</w:t>
      </w:r>
      <w:r w:rsidRPr="001C44CF">
        <w:rPr>
          <w:rFonts w:ascii="Calibri" w:hAnsi="Calibri"/>
          <w:szCs w:val="22"/>
        </w:rPr>
        <w:t>.</w:t>
      </w:r>
    </w:p>
    <w:p w:rsidR="00DA563B" w:rsidRDefault="00DA563B" w:rsidP="00B92ABD">
      <w:pPr>
        <w:pStyle w:val="ListParagraph"/>
        <w:numPr>
          <w:ilvl w:val="0"/>
          <w:numId w:val="16"/>
        </w:numPr>
        <w:rPr>
          <w:rFonts w:ascii="Calibri" w:hAnsi="Calibri"/>
          <w:szCs w:val="22"/>
        </w:rPr>
      </w:pPr>
      <w:r w:rsidRPr="00B92ABD">
        <w:rPr>
          <w:rFonts w:ascii="Calibri" w:hAnsi="Calibri"/>
          <w:szCs w:val="22"/>
        </w:rPr>
        <w:t xml:space="preserve">Both fixed and mobile networks are moving to digital (IP) services; voice will become data. </w:t>
      </w:r>
      <w:r w:rsidR="00990CA1">
        <w:rPr>
          <w:rFonts w:ascii="Calibri" w:hAnsi="Calibri"/>
          <w:szCs w:val="22"/>
        </w:rPr>
        <w:t>Over five million</w:t>
      </w:r>
      <w:r w:rsidRPr="00B92ABD">
        <w:rPr>
          <w:rFonts w:ascii="Calibri" w:hAnsi="Calibri"/>
          <w:szCs w:val="22"/>
        </w:rPr>
        <w:t xml:space="preserve"> people used voice over </w:t>
      </w:r>
      <w:r w:rsidR="00990CA1">
        <w:rPr>
          <w:rFonts w:ascii="Calibri" w:hAnsi="Calibri"/>
          <w:szCs w:val="22"/>
        </w:rPr>
        <w:t>i</w:t>
      </w:r>
      <w:r w:rsidRPr="00B92ABD">
        <w:rPr>
          <w:rFonts w:ascii="Calibri" w:hAnsi="Calibri"/>
          <w:szCs w:val="22"/>
        </w:rPr>
        <w:t xml:space="preserve">nternet (VoIP) protocol services </w:t>
      </w:r>
      <w:r>
        <w:rPr>
          <w:rFonts w:ascii="Calibri" w:hAnsi="Calibri"/>
          <w:szCs w:val="22"/>
        </w:rPr>
        <w:t>in 2014 according to the</w:t>
      </w:r>
      <w:r w:rsidRPr="00B92ABD">
        <w:rPr>
          <w:rFonts w:ascii="Calibri" w:hAnsi="Calibri"/>
          <w:szCs w:val="22"/>
        </w:rPr>
        <w:t xml:space="preserve"> </w:t>
      </w:r>
      <w:hyperlink r:id="rId19" w:history="1">
        <w:r w:rsidRPr="00B75A74">
          <w:rPr>
            <w:rStyle w:val="Hyperlink"/>
            <w:rFonts w:ascii="Calibri" w:hAnsi="Calibri"/>
            <w:szCs w:val="22"/>
          </w:rPr>
          <w:t>ACMA</w:t>
        </w:r>
      </w:hyperlink>
      <w:r>
        <w:rPr>
          <w:rFonts w:ascii="Calibri" w:hAnsi="Calibri"/>
          <w:szCs w:val="22"/>
        </w:rPr>
        <w:t>.</w:t>
      </w:r>
      <w:r w:rsidRPr="00B92ABD">
        <w:rPr>
          <w:rFonts w:ascii="Calibri" w:hAnsi="Calibri"/>
          <w:szCs w:val="22"/>
        </w:rPr>
        <w:t xml:space="preserve"> </w:t>
      </w:r>
      <w:r>
        <w:rPr>
          <w:rFonts w:ascii="Calibri" w:hAnsi="Calibri"/>
          <w:szCs w:val="22"/>
        </w:rPr>
        <w:t xml:space="preserve">See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Calibri" w:hAnsi="Calibri"/>
                  <w:szCs w:val="22"/>
                </w:rPr>
                <w:t>Box</w:t>
              </w:r>
            </w:smartTag>
          </w:smartTag>
          <w:r>
            <w:rPr>
              <w:rFonts w:ascii="Calibri" w:hAnsi="Calibri"/>
              <w:szCs w:val="22"/>
            </w:rPr>
            <w:t xml:space="preserve"> 1</w:t>
          </w:r>
        </w:smartTag>
      </w:smartTag>
      <w:r>
        <w:rPr>
          <w:rFonts w:ascii="Calibri" w:hAnsi="Calibri"/>
          <w:szCs w:val="22"/>
        </w:rPr>
        <w:t xml:space="preserve"> on the </w:t>
      </w:r>
      <w:smartTag w:uri="urn:schemas-microsoft-com:office:smarttags" w:element="country-region">
        <w:smartTag w:uri="urn:schemas-microsoft-com:office:smarttags" w:element="place">
          <w:r>
            <w:rPr>
              <w:rFonts w:ascii="Calibri" w:hAnsi="Calibri"/>
              <w:szCs w:val="22"/>
            </w:rPr>
            <w:t>UK</w:t>
          </w:r>
        </w:smartTag>
      </w:smartTag>
      <w:r>
        <w:rPr>
          <w:rFonts w:ascii="Calibri" w:hAnsi="Calibri"/>
          <w:szCs w:val="22"/>
        </w:rPr>
        <w:t xml:space="preserve"> regulator possibly sanctioning a move to IP telephony soon.</w:t>
      </w:r>
    </w:p>
    <w:p w:rsidR="000139C7" w:rsidRPr="00B92ABD" w:rsidRDefault="000139C7" w:rsidP="000139C7">
      <w:pPr>
        <w:pStyle w:val="ListParagraph"/>
        <w:ind w:left="774"/>
        <w:rPr>
          <w:rFonts w:ascii="Calibri" w:hAnsi="Calibri"/>
          <w:szCs w:val="22"/>
        </w:rPr>
      </w:pPr>
    </w:p>
    <w:p w:rsidR="00DA563B" w:rsidRPr="00F1560B" w:rsidRDefault="00DA563B" w:rsidP="00751146">
      <w:pPr>
        <w:shd w:val="clear" w:color="auto" w:fill="C6D9F1"/>
        <w:rPr>
          <w:rFonts w:ascii="Calibri" w:hAnsi="Calibri"/>
          <w:b/>
          <w:szCs w:val="22"/>
        </w:rPr>
      </w:pPr>
      <w:r>
        <w:rPr>
          <w:rFonts w:ascii="Calibri" w:hAnsi="Calibri"/>
          <w:b/>
          <w:szCs w:val="22"/>
        </w:rPr>
        <w:t xml:space="preserve">Box 1 - </w:t>
      </w:r>
      <w:r w:rsidRPr="00F1560B">
        <w:rPr>
          <w:rFonts w:ascii="Calibri" w:hAnsi="Calibri"/>
          <w:b/>
          <w:szCs w:val="22"/>
        </w:rPr>
        <w:t>From circuit to packet switched networks</w:t>
      </w:r>
      <w:r>
        <w:rPr>
          <w:rFonts w:ascii="Calibri" w:hAnsi="Calibri"/>
          <w:b/>
          <w:szCs w:val="22"/>
        </w:rPr>
        <w:t xml:space="preserve"> – the UK?</w:t>
      </w:r>
    </w:p>
    <w:p w:rsidR="00886563" w:rsidRPr="00886563" w:rsidRDefault="00DA563B" w:rsidP="00DB0F6B">
      <w:pPr>
        <w:pStyle w:val="NormalWeb"/>
        <w:shd w:val="clear" w:color="auto" w:fill="C6D9F1"/>
        <w:rPr>
          <w:rFonts w:ascii="Calibri" w:hAnsi="Calibri"/>
          <w:szCs w:val="22"/>
        </w:rPr>
      </w:pPr>
      <w:r>
        <w:rPr>
          <w:rFonts w:ascii="Calibri" w:hAnsi="Calibri"/>
          <w:szCs w:val="22"/>
        </w:rPr>
        <w:t>BT</w:t>
      </w:r>
      <w:r w:rsidRPr="00AD7A1C">
        <w:rPr>
          <w:rFonts w:ascii="Calibri" w:hAnsi="Calibri"/>
          <w:szCs w:val="22"/>
        </w:rPr>
        <w:t xml:space="preserve"> </w:t>
      </w:r>
      <w:r>
        <w:rPr>
          <w:rFonts w:ascii="Calibri" w:hAnsi="Calibri"/>
          <w:szCs w:val="22"/>
        </w:rPr>
        <w:t>wants</w:t>
      </w:r>
      <w:r w:rsidRPr="00AD7A1C">
        <w:rPr>
          <w:rFonts w:ascii="Calibri" w:hAnsi="Calibri"/>
          <w:szCs w:val="22"/>
        </w:rPr>
        <w:t xml:space="preserve"> to move all </w:t>
      </w:r>
      <w:r>
        <w:rPr>
          <w:rFonts w:ascii="Calibri" w:hAnsi="Calibri"/>
          <w:szCs w:val="22"/>
        </w:rPr>
        <w:t xml:space="preserve">customers </w:t>
      </w:r>
      <w:r w:rsidRPr="00AD7A1C">
        <w:rPr>
          <w:rFonts w:ascii="Calibri" w:hAnsi="Calibri"/>
          <w:szCs w:val="22"/>
        </w:rPr>
        <w:t xml:space="preserve">to internet-based voice calls within a decade, but under current Ofcom rules </w:t>
      </w:r>
      <w:r>
        <w:rPr>
          <w:rFonts w:ascii="Calibri" w:hAnsi="Calibri"/>
          <w:szCs w:val="22"/>
        </w:rPr>
        <w:t xml:space="preserve">it </w:t>
      </w:r>
      <w:r w:rsidRPr="00AD7A1C">
        <w:rPr>
          <w:rFonts w:ascii="Calibri" w:hAnsi="Calibri"/>
          <w:szCs w:val="22"/>
        </w:rPr>
        <w:t xml:space="preserve">must continue to provide a traditional phone service. </w:t>
      </w:r>
      <w:r>
        <w:rPr>
          <w:rFonts w:ascii="Calibri" w:hAnsi="Calibri"/>
          <w:szCs w:val="22"/>
        </w:rPr>
        <w:t xml:space="preserve">Ofcom </w:t>
      </w:r>
      <w:r w:rsidR="00886563">
        <w:rPr>
          <w:rFonts w:ascii="Calibri" w:hAnsi="Calibri"/>
          <w:szCs w:val="22"/>
        </w:rPr>
        <w:t>says</w:t>
      </w:r>
      <w:r w:rsidR="00886563" w:rsidRPr="00886563">
        <w:rPr>
          <w:rFonts w:ascii="Calibri" w:hAnsi="Calibri"/>
          <w:szCs w:val="22"/>
          <w:lang w:val="en-GB"/>
        </w:rPr>
        <w:t xml:space="preserve"> “</w:t>
      </w:r>
      <w:r w:rsidR="00886563" w:rsidRPr="00886563">
        <w:rPr>
          <w:rFonts w:ascii="Calibri" w:hAnsi="Calibri"/>
          <w:i/>
          <w:szCs w:val="22"/>
          <w:lang w:val="en-GB"/>
        </w:rPr>
        <w:t>it has been debated for some years whether different forms of voice telephony (fixed, mobile and internet-based) are substitutes. If so, it could pave the way for deregulating telephony services. This is a key issue for this review and we start from the position that there is a case for deregulation”.</w:t>
      </w:r>
      <w:r w:rsidR="00886563">
        <w:rPr>
          <w:rFonts w:ascii="Calibri" w:hAnsi="Calibri"/>
          <w:i/>
          <w:szCs w:val="22"/>
          <w:lang w:val="en-GB"/>
        </w:rPr>
        <w:t xml:space="preserve"> </w:t>
      </w:r>
      <w:r w:rsidR="00886563">
        <w:rPr>
          <w:rFonts w:ascii="Calibri" w:hAnsi="Calibri"/>
          <w:szCs w:val="22"/>
          <w:lang w:val="en-GB"/>
        </w:rPr>
        <w:t>This review concludes in October 2015.</w:t>
      </w:r>
    </w:p>
    <w:p w:rsidR="00DA563B" w:rsidRPr="00AD7A1C" w:rsidRDefault="00DA563B" w:rsidP="00751146">
      <w:pPr>
        <w:pStyle w:val="NormalWeb"/>
        <w:shd w:val="clear" w:color="auto" w:fill="C6D9F1"/>
        <w:rPr>
          <w:rFonts w:ascii="Calibri" w:hAnsi="Calibri"/>
          <w:szCs w:val="22"/>
        </w:rPr>
      </w:pPr>
      <w:r>
        <w:rPr>
          <w:rFonts w:ascii="Calibri" w:hAnsi="Calibri"/>
          <w:szCs w:val="22"/>
        </w:rPr>
        <w:t xml:space="preserve">BT </w:t>
      </w:r>
      <w:r w:rsidRPr="00AD7A1C">
        <w:rPr>
          <w:rFonts w:ascii="Calibri" w:hAnsi="Calibri"/>
          <w:szCs w:val="22"/>
        </w:rPr>
        <w:t xml:space="preserve">says </w:t>
      </w:r>
      <w:r>
        <w:rPr>
          <w:rFonts w:ascii="Calibri" w:hAnsi="Calibri"/>
          <w:szCs w:val="22"/>
        </w:rPr>
        <w:t xml:space="preserve">the move </w:t>
      </w:r>
      <w:r w:rsidRPr="00AD7A1C">
        <w:rPr>
          <w:rFonts w:ascii="Calibri" w:hAnsi="Calibri"/>
          <w:szCs w:val="22"/>
        </w:rPr>
        <w:t xml:space="preserve">will have no impact on the majority of customers who are already using internet phones and allow it to invest more in broadband upgrades. </w:t>
      </w:r>
    </w:p>
    <w:p w:rsidR="00DA563B" w:rsidRPr="00AD7A1C" w:rsidRDefault="00DA563B" w:rsidP="00751146">
      <w:pPr>
        <w:shd w:val="clear" w:color="auto" w:fill="C6D9F1"/>
        <w:rPr>
          <w:rFonts w:ascii="Calibri" w:hAnsi="Calibri"/>
          <w:szCs w:val="22"/>
        </w:rPr>
      </w:pPr>
      <w:r w:rsidRPr="00AD7A1C">
        <w:rPr>
          <w:rFonts w:ascii="Calibri" w:hAnsi="Calibri"/>
          <w:szCs w:val="22"/>
        </w:rPr>
        <w:t xml:space="preserve">Mark </w:t>
      </w:r>
      <w:proofErr w:type="spellStart"/>
      <w:r w:rsidRPr="00AD7A1C">
        <w:rPr>
          <w:rFonts w:ascii="Calibri" w:hAnsi="Calibri"/>
          <w:szCs w:val="22"/>
        </w:rPr>
        <w:t>Shurmer</w:t>
      </w:r>
      <w:proofErr w:type="spellEnd"/>
      <w:r w:rsidRPr="00AD7A1C">
        <w:rPr>
          <w:rFonts w:ascii="Calibri" w:hAnsi="Calibri"/>
          <w:szCs w:val="22"/>
        </w:rPr>
        <w:t>, BT’s group director of regulatory affairs, said: “</w:t>
      </w:r>
      <w:r w:rsidRPr="00D819A2">
        <w:rPr>
          <w:rFonts w:ascii="Calibri" w:hAnsi="Calibri"/>
          <w:i/>
          <w:szCs w:val="22"/>
        </w:rPr>
        <w:t>We believe obsolete regulation should be rolled back, rather than clinging on until the last user dies</w:t>
      </w:r>
      <w:r w:rsidRPr="00AD7A1C">
        <w:rPr>
          <w:rFonts w:ascii="Calibri" w:hAnsi="Calibri"/>
          <w:szCs w:val="22"/>
        </w:rPr>
        <w:t>”</w:t>
      </w:r>
      <w:r>
        <w:rPr>
          <w:rFonts w:ascii="Calibri" w:hAnsi="Calibri"/>
          <w:szCs w:val="22"/>
        </w:rPr>
        <w:t xml:space="preserve"> and </w:t>
      </w:r>
      <w:r w:rsidRPr="00AD7A1C">
        <w:rPr>
          <w:rFonts w:ascii="Calibri" w:hAnsi="Calibri"/>
          <w:szCs w:val="22"/>
        </w:rPr>
        <w:t>“</w:t>
      </w:r>
      <w:r w:rsidRPr="00D819A2">
        <w:rPr>
          <w:rFonts w:ascii="Calibri" w:hAnsi="Calibri"/>
          <w:i/>
          <w:szCs w:val="22"/>
        </w:rPr>
        <w:t>This is an opportunity to clear up the overlaps between the [</w:t>
      </w:r>
      <w:proofErr w:type="spellStart"/>
      <w:r w:rsidRPr="00D819A2">
        <w:rPr>
          <w:rFonts w:ascii="Calibri" w:hAnsi="Calibri"/>
          <w:i/>
          <w:szCs w:val="22"/>
        </w:rPr>
        <w:t>Openreach</w:t>
      </w:r>
      <w:proofErr w:type="spellEnd"/>
      <w:r w:rsidRPr="00D819A2">
        <w:rPr>
          <w:rFonts w:ascii="Calibri" w:hAnsi="Calibri"/>
          <w:i/>
          <w:szCs w:val="22"/>
        </w:rPr>
        <w:t>] undertakings and EU legislation and regulate in one place only, so it’s more simple, efficient and reduces duplication</w:t>
      </w:r>
      <w:r>
        <w:rPr>
          <w:rFonts w:ascii="Calibri" w:hAnsi="Calibri"/>
          <w:szCs w:val="22"/>
        </w:rPr>
        <w:t>”</w:t>
      </w:r>
      <w:r w:rsidRPr="00AD7A1C">
        <w:rPr>
          <w:rFonts w:ascii="Calibri" w:hAnsi="Calibri"/>
          <w:szCs w:val="22"/>
        </w:rPr>
        <w:t>.</w:t>
      </w:r>
    </w:p>
    <w:p w:rsidR="00DA563B" w:rsidRPr="00FE76F4" w:rsidRDefault="00DA563B" w:rsidP="00751146">
      <w:pPr>
        <w:shd w:val="clear" w:color="auto" w:fill="C6D9F1"/>
        <w:rPr>
          <w:rFonts w:ascii="Calibri" w:hAnsi="Calibri"/>
          <w:color w:val="0000FF"/>
          <w:szCs w:val="22"/>
          <w:u w:val="single"/>
        </w:rPr>
      </w:pPr>
      <w:r>
        <w:rPr>
          <w:rFonts w:ascii="Calibri" w:hAnsi="Calibri"/>
          <w:szCs w:val="22"/>
        </w:rPr>
        <w:t xml:space="preserve">Sources: </w:t>
      </w:r>
      <w:r w:rsidRPr="00AD7A1C">
        <w:rPr>
          <w:rFonts w:ascii="Calibri" w:hAnsi="Calibri"/>
          <w:szCs w:val="22"/>
        </w:rPr>
        <w:t xml:space="preserve">The </w:t>
      </w:r>
      <w:hyperlink r:id="rId20" w:history="1">
        <w:r w:rsidRPr="0013783B">
          <w:rPr>
            <w:rStyle w:val="Hyperlink"/>
            <w:rFonts w:ascii="Calibri" w:hAnsi="Calibri"/>
            <w:szCs w:val="22"/>
          </w:rPr>
          <w:t>Daily Telegraph</w:t>
        </w:r>
      </w:hyperlink>
      <w:r w:rsidRPr="00AD7A1C">
        <w:rPr>
          <w:rFonts w:ascii="Calibri" w:hAnsi="Calibri"/>
          <w:szCs w:val="22"/>
        </w:rPr>
        <w:t xml:space="preserve"> (27 June 2015) </w:t>
      </w:r>
      <w:r>
        <w:rPr>
          <w:rFonts w:ascii="Calibri" w:hAnsi="Calibri"/>
          <w:szCs w:val="22"/>
        </w:rPr>
        <w:t xml:space="preserve">and </w:t>
      </w:r>
      <w:proofErr w:type="spellStart"/>
      <w:r>
        <w:rPr>
          <w:rFonts w:ascii="Calibri" w:hAnsi="Calibri"/>
          <w:szCs w:val="22"/>
        </w:rPr>
        <w:t>Ofcom’s</w:t>
      </w:r>
      <w:proofErr w:type="spellEnd"/>
      <w:r>
        <w:rPr>
          <w:rFonts w:ascii="Calibri" w:hAnsi="Calibri"/>
          <w:szCs w:val="22"/>
        </w:rPr>
        <w:t xml:space="preserve"> (2015)</w:t>
      </w:r>
      <w:r w:rsidRPr="00AD7A1C">
        <w:rPr>
          <w:rFonts w:ascii="Calibri" w:hAnsi="Calibri"/>
          <w:szCs w:val="22"/>
        </w:rPr>
        <w:t xml:space="preserve"> </w:t>
      </w:r>
      <w:hyperlink r:id="rId21" w:history="1">
        <w:r w:rsidRPr="001E38C0">
          <w:rPr>
            <w:rStyle w:val="Hyperlink"/>
            <w:rFonts w:ascii="Calibri" w:hAnsi="Calibri"/>
            <w:szCs w:val="22"/>
          </w:rPr>
          <w:t>Strategic Review</w:t>
        </w:r>
      </w:hyperlink>
      <w:r>
        <w:rPr>
          <w:rStyle w:val="Hyperlink"/>
          <w:rFonts w:ascii="Calibri" w:hAnsi="Calibri"/>
          <w:szCs w:val="22"/>
        </w:rPr>
        <w:t xml:space="preserve"> </w:t>
      </w:r>
      <w:r w:rsidRPr="00AD7A1C">
        <w:rPr>
          <w:rFonts w:ascii="Calibri" w:hAnsi="Calibri"/>
          <w:szCs w:val="22"/>
        </w:rPr>
        <w:t xml:space="preserve"> </w:t>
      </w:r>
    </w:p>
    <w:p w:rsidR="000139C7" w:rsidRDefault="000139C7" w:rsidP="000139C7">
      <w:pPr>
        <w:pStyle w:val="ListParagraph"/>
        <w:ind w:left="774"/>
        <w:rPr>
          <w:rFonts w:ascii="Calibri" w:hAnsi="Calibri"/>
          <w:szCs w:val="22"/>
        </w:rPr>
      </w:pPr>
    </w:p>
    <w:p w:rsidR="00DA563B" w:rsidRDefault="00DA563B" w:rsidP="00B3435B">
      <w:pPr>
        <w:pStyle w:val="ListParagraph"/>
        <w:numPr>
          <w:ilvl w:val="0"/>
          <w:numId w:val="16"/>
        </w:numPr>
        <w:rPr>
          <w:rFonts w:ascii="Calibri" w:hAnsi="Calibri"/>
          <w:szCs w:val="22"/>
        </w:rPr>
      </w:pPr>
      <w:r w:rsidRPr="00EE7037">
        <w:rPr>
          <w:rFonts w:ascii="Calibri" w:hAnsi="Calibri"/>
          <w:szCs w:val="22"/>
        </w:rPr>
        <w:t xml:space="preserve">Over-the-top (OTT) services have been enabled by the “delayering” of the industry; that is, IP has separated carriage from content allowing OTT content and applications providers to deal directly with end users over networks whose owners and operators are excluded from these transactions. </w:t>
      </w:r>
    </w:p>
    <w:p w:rsidR="00DA563B" w:rsidRDefault="00DA563B" w:rsidP="000936FA">
      <w:pPr>
        <w:pStyle w:val="ListParagraph"/>
        <w:numPr>
          <w:ilvl w:val="0"/>
          <w:numId w:val="16"/>
        </w:numPr>
        <w:rPr>
          <w:rFonts w:ascii="Calibri" w:hAnsi="Calibri"/>
          <w:szCs w:val="22"/>
        </w:rPr>
      </w:pPr>
      <w:r>
        <w:rPr>
          <w:rFonts w:ascii="Calibri" w:hAnsi="Calibri"/>
          <w:szCs w:val="22"/>
        </w:rPr>
        <w:t xml:space="preserve">The number of people using mobiles only for both voice and data is increasing. </w:t>
      </w:r>
      <w:r w:rsidRPr="00B92ABD">
        <w:rPr>
          <w:rFonts w:ascii="Calibri" w:hAnsi="Calibri"/>
          <w:szCs w:val="22"/>
        </w:rPr>
        <w:t xml:space="preserve">Ofcom </w:t>
      </w:r>
      <w:hyperlink r:id="rId22" w:history="1">
        <w:r w:rsidRPr="00B92ABD">
          <w:rPr>
            <w:rStyle w:val="Hyperlink"/>
            <w:rFonts w:ascii="Calibri" w:hAnsi="Calibri"/>
            <w:szCs w:val="22"/>
          </w:rPr>
          <w:t>reports</w:t>
        </w:r>
      </w:hyperlink>
      <w:r w:rsidRPr="00B92ABD">
        <w:rPr>
          <w:rFonts w:ascii="Calibri" w:hAnsi="Calibri"/>
          <w:szCs w:val="22"/>
        </w:rPr>
        <w:t xml:space="preserve"> that almost all adults with a smartphone also have fixed broadband</w:t>
      </w:r>
      <w:r>
        <w:rPr>
          <w:rFonts w:ascii="Calibri" w:hAnsi="Calibri"/>
          <w:szCs w:val="22"/>
        </w:rPr>
        <w:t xml:space="preserve"> in the UK</w:t>
      </w:r>
      <w:r w:rsidRPr="00B92ABD">
        <w:rPr>
          <w:rFonts w:ascii="Calibri" w:hAnsi="Calibri"/>
          <w:szCs w:val="22"/>
        </w:rPr>
        <w:t xml:space="preserve">, with only 4% relying only on mobile access. In Australia, the ACMA </w:t>
      </w:r>
      <w:hyperlink r:id="rId23" w:history="1">
        <w:r w:rsidRPr="00B92ABD">
          <w:rPr>
            <w:rStyle w:val="Hyperlink"/>
            <w:rFonts w:ascii="Calibri" w:hAnsi="Calibri"/>
            <w:szCs w:val="22"/>
          </w:rPr>
          <w:t>reports</w:t>
        </w:r>
      </w:hyperlink>
      <w:r w:rsidRPr="00B92ABD">
        <w:rPr>
          <w:rFonts w:ascii="Calibri" w:hAnsi="Calibri"/>
          <w:szCs w:val="22"/>
        </w:rPr>
        <w:t xml:space="preserve"> that at December 2014, “</w:t>
      </w:r>
      <w:r w:rsidRPr="00B92ABD">
        <w:rPr>
          <w:rFonts w:ascii="Calibri" w:hAnsi="Calibri"/>
          <w:i/>
          <w:szCs w:val="22"/>
        </w:rPr>
        <w:t>12 per cent of adult Australians had neither a fixed-line telephone nor fixed internet in their homes, instead using mobile devices for voice, messaging and internet access”.</w:t>
      </w:r>
      <w:r w:rsidRPr="00B92ABD">
        <w:rPr>
          <w:rFonts w:ascii="Calibri" w:hAnsi="Calibri"/>
          <w:szCs w:val="22"/>
        </w:rPr>
        <w:t xml:space="preserve"> That’s three times </w:t>
      </w:r>
      <w:r>
        <w:rPr>
          <w:rFonts w:ascii="Calibri" w:hAnsi="Calibri"/>
          <w:szCs w:val="22"/>
        </w:rPr>
        <w:t>higher</w:t>
      </w:r>
      <w:r w:rsidRPr="00B92ABD">
        <w:rPr>
          <w:rFonts w:ascii="Calibri" w:hAnsi="Calibri"/>
          <w:szCs w:val="22"/>
        </w:rPr>
        <w:t xml:space="preserve"> than </w:t>
      </w:r>
      <w:r>
        <w:rPr>
          <w:rFonts w:ascii="Calibri" w:hAnsi="Calibri"/>
          <w:szCs w:val="22"/>
        </w:rPr>
        <w:t xml:space="preserve">in </w:t>
      </w:r>
      <w:r w:rsidRPr="00B92ABD">
        <w:rPr>
          <w:rFonts w:ascii="Calibri" w:hAnsi="Calibri"/>
          <w:szCs w:val="22"/>
        </w:rPr>
        <w:t xml:space="preserve">the UK. </w:t>
      </w:r>
    </w:p>
    <w:p w:rsidR="00D307D6" w:rsidRDefault="00D307D6" w:rsidP="00CD3BEA">
      <w:pPr>
        <w:pStyle w:val="ListParagraph"/>
        <w:numPr>
          <w:ilvl w:val="0"/>
          <w:numId w:val="16"/>
        </w:numPr>
        <w:rPr>
          <w:rFonts w:ascii="Calibri" w:hAnsi="Calibri"/>
          <w:szCs w:val="22"/>
        </w:rPr>
      </w:pPr>
      <w:r>
        <w:rPr>
          <w:rFonts w:ascii="Calibri" w:hAnsi="Calibri"/>
          <w:szCs w:val="22"/>
        </w:rPr>
        <w:t>The Australian government’s Digital First Strategy will make it more important for people to be on-line or “red-lined” (</w:t>
      </w:r>
      <w:r w:rsidR="00F62D6B">
        <w:rPr>
          <w:rFonts w:ascii="Calibri" w:hAnsi="Calibri"/>
          <w:szCs w:val="22"/>
        </w:rPr>
        <w:t xml:space="preserve">i.e. </w:t>
      </w:r>
      <w:r>
        <w:rPr>
          <w:rFonts w:ascii="Calibri" w:hAnsi="Calibri"/>
          <w:szCs w:val="22"/>
        </w:rPr>
        <w:t>deprived</w:t>
      </w:r>
      <w:r w:rsidR="00F602E8">
        <w:rPr>
          <w:rFonts w:ascii="Calibri" w:hAnsi="Calibri"/>
          <w:szCs w:val="22"/>
        </w:rPr>
        <w:t xml:space="preserve"> of empowering communications</w:t>
      </w:r>
      <w:r>
        <w:rPr>
          <w:rFonts w:ascii="Calibri" w:hAnsi="Calibri"/>
          <w:szCs w:val="22"/>
        </w:rPr>
        <w:t>).</w:t>
      </w:r>
    </w:p>
    <w:p w:rsidR="00D307D6" w:rsidRPr="00D307D6" w:rsidRDefault="00D307D6" w:rsidP="00D307D6">
      <w:pPr>
        <w:pStyle w:val="ListParagraph"/>
        <w:rPr>
          <w:rFonts w:ascii="Calibri" w:hAnsi="Calibri"/>
          <w:szCs w:val="22"/>
        </w:rPr>
      </w:pPr>
    </w:p>
    <w:p w:rsidR="00DA563B" w:rsidRPr="00151654" w:rsidRDefault="00DA563B" w:rsidP="00CD3BEA">
      <w:pPr>
        <w:pStyle w:val="ListParagraph"/>
        <w:numPr>
          <w:ilvl w:val="0"/>
          <w:numId w:val="16"/>
        </w:numPr>
        <w:rPr>
          <w:rFonts w:ascii="Calibri" w:hAnsi="Calibri"/>
          <w:szCs w:val="22"/>
        </w:rPr>
      </w:pPr>
      <w:r w:rsidRPr="00151654">
        <w:rPr>
          <w:rFonts w:ascii="Calibri" w:hAnsi="Calibri"/>
          <w:szCs w:val="22"/>
        </w:rPr>
        <w:lastRenderedPageBreak/>
        <w:t xml:space="preserve">Local call and extended zone areas are shaped around Telstra’s copper network topology which will be supplanted by the NBN: </w:t>
      </w:r>
      <w:r w:rsidRPr="00151654">
        <w:rPr>
          <w:rFonts w:ascii="Calibri" w:hAnsi="Calibri"/>
          <w:i/>
          <w:szCs w:val="22"/>
          <w:lang w:val="en-GB"/>
        </w:rPr>
        <w:t>“When the NBN network is completed, it will deliver universal access for all Australians based, for the first time, on broadband rather than telephony”</w:t>
      </w:r>
      <w:r w:rsidRPr="00CD3BEA">
        <w:rPr>
          <w:rFonts w:ascii="Calibri" w:hAnsi="Calibri"/>
          <w:i/>
          <w:szCs w:val="22"/>
          <w:vertAlign w:val="superscript"/>
          <w:lang w:val="en-GB"/>
        </w:rPr>
        <w:footnoteReference w:id="6"/>
      </w:r>
      <w:r w:rsidRPr="00151654">
        <w:rPr>
          <w:rFonts w:ascii="Calibri" w:hAnsi="Calibri"/>
          <w:i/>
          <w:szCs w:val="22"/>
          <w:lang w:val="en-GB"/>
        </w:rPr>
        <w:t>.</w:t>
      </w:r>
    </w:p>
    <w:p w:rsidR="00DA563B" w:rsidRDefault="00DA563B" w:rsidP="00B714E3">
      <w:pPr>
        <w:rPr>
          <w:rFonts w:ascii="Calibri" w:hAnsi="Calibri"/>
          <w:szCs w:val="22"/>
          <w:lang w:val="en-GB"/>
        </w:rPr>
      </w:pPr>
      <w:r w:rsidRPr="00B714E3">
        <w:rPr>
          <w:rFonts w:ascii="Calibri" w:hAnsi="Calibri"/>
          <w:szCs w:val="22"/>
          <w:lang w:val="en-GB"/>
        </w:rPr>
        <w:t>And, the current Regional Telecommunications Review</w:t>
      </w:r>
      <w:r>
        <w:rPr>
          <w:rStyle w:val="FootnoteReference"/>
          <w:rFonts w:ascii="Calibri" w:hAnsi="Calibri"/>
          <w:szCs w:val="22"/>
          <w:lang w:val="en-GB"/>
        </w:rPr>
        <w:footnoteReference w:id="7"/>
      </w:r>
      <w:r w:rsidRPr="00B714E3">
        <w:rPr>
          <w:rFonts w:ascii="Calibri" w:hAnsi="Calibri"/>
          <w:szCs w:val="22"/>
          <w:lang w:val="en-GB"/>
        </w:rPr>
        <w:t xml:space="preserve"> poses three questions for </w:t>
      </w:r>
      <w:r>
        <w:rPr>
          <w:rFonts w:ascii="Calibri" w:hAnsi="Calibri"/>
          <w:szCs w:val="22"/>
          <w:lang w:val="en-GB"/>
        </w:rPr>
        <w:t>USO policy</w:t>
      </w:r>
      <w:r w:rsidRPr="00B714E3">
        <w:rPr>
          <w:rFonts w:ascii="Calibri" w:hAnsi="Calibri"/>
          <w:szCs w:val="22"/>
          <w:lang w:val="en-GB"/>
        </w:rPr>
        <w:t>:</w:t>
      </w:r>
    </w:p>
    <w:p w:rsidR="00DA563B" w:rsidRPr="00B714E3" w:rsidRDefault="00DA563B" w:rsidP="00B714E3">
      <w:pPr>
        <w:numPr>
          <w:ilvl w:val="1"/>
          <w:numId w:val="26"/>
        </w:numPr>
        <w:rPr>
          <w:rFonts w:ascii="Calibri" w:hAnsi="Calibri"/>
          <w:szCs w:val="22"/>
          <w:lang w:val="en-GB"/>
        </w:rPr>
      </w:pPr>
      <w:r w:rsidRPr="00C52167">
        <w:rPr>
          <w:rFonts w:ascii="Calibri" w:hAnsi="Calibri"/>
          <w:i/>
          <w:szCs w:val="22"/>
          <w:lang w:val="en-GB"/>
        </w:rPr>
        <w:t>Do we need to continue to guarantee the STS for all (or only some) consumers, and if so, to what extent?</w:t>
      </w:r>
      <w:r w:rsidRPr="00B714E3">
        <w:rPr>
          <w:rFonts w:ascii="Calibri" w:hAnsi="Calibri"/>
          <w:szCs w:val="22"/>
          <w:lang w:val="en-GB"/>
        </w:rPr>
        <w:t xml:space="preserve"> (Q11)</w:t>
      </w:r>
    </w:p>
    <w:p w:rsidR="00DA563B" w:rsidRPr="00B714E3" w:rsidRDefault="00DA563B" w:rsidP="00B714E3">
      <w:pPr>
        <w:numPr>
          <w:ilvl w:val="1"/>
          <w:numId w:val="26"/>
        </w:numPr>
        <w:rPr>
          <w:rFonts w:ascii="Calibri" w:hAnsi="Calibri"/>
          <w:szCs w:val="22"/>
          <w:lang w:val="en-GB"/>
        </w:rPr>
      </w:pPr>
      <w:r w:rsidRPr="00C52167">
        <w:rPr>
          <w:rFonts w:ascii="Calibri" w:hAnsi="Calibri"/>
          <w:i/>
          <w:szCs w:val="22"/>
          <w:lang w:val="en-GB"/>
        </w:rPr>
        <w:t>Are there new or other services, the availability of which should be underpinned by consumer safeguards?</w:t>
      </w:r>
      <w:r w:rsidRPr="00B714E3">
        <w:rPr>
          <w:rFonts w:ascii="Calibri" w:hAnsi="Calibri"/>
          <w:szCs w:val="22"/>
          <w:lang w:val="en-GB"/>
        </w:rPr>
        <w:t xml:space="preserve"> (Q12)</w:t>
      </w:r>
    </w:p>
    <w:p w:rsidR="00DA563B" w:rsidRPr="00B714E3" w:rsidRDefault="00DA563B" w:rsidP="00B714E3">
      <w:pPr>
        <w:numPr>
          <w:ilvl w:val="1"/>
          <w:numId w:val="26"/>
        </w:numPr>
        <w:rPr>
          <w:rFonts w:ascii="Calibri" w:hAnsi="Calibri"/>
          <w:szCs w:val="22"/>
          <w:lang w:val="en-GB"/>
        </w:rPr>
      </w:pPr>
      <w:r w:rsidRPr="00C52167">
        <w:rPr>
          <w:rFonts w:ascii="Calibri" w:hAnsi="Calibri"/>
          <w:i/>
          <w:szCs w:val="22"/>
          <w:lang w:val="en-GB"/>
        </w:rPr>
        <w:t>What standards should apply to your services? How might they best be enforced?</w:t>
      </w:r>
      <w:r w:rsidRPr="00B714E3">
        <w:rPr>
          <w:rFonts w:ascii="Calibri" w:hAnsi="Calibri"/>
          <w:szCs w:val="22"/>
          <w:lang w:val="en-GB"/>
        </w:rPr>
        <w:t xml:space="preserve"> (Q13)</w:t>
      </w:r>
    </w:p>
    <w:p w:rsidR="00DA563B" w:rsidRDefault="00DA563B" w:rsidP="00EC5C1C">
      <w:pPr>
        <w:rPr>
          <w:rFonts w:ascii="Calibri" w:hAnsi="Calibri"/>
          <w:szCs w:val="22"/>
          <w:lang w:val="en-GB"/>
        </w:rPr>
      </w:pPr>
      <w:r w:rsidRPr="009B7F1A">
        <w:rPr>
          <w:rFonts w:ascii="Calibri" w:hAnsi="Calibri"/>
          <w:szCs w:val="22"/>
          <w:lang w:val="en-GB"/>
        </w:rPr>
        <w:t xml:space="preserve">With the NBN, improved mobile networks and the migration to all-digital services, it is time to revise USO policy.  </w:t>
      </w:r>
    </w:p>
    <w:p w:rsidR="005431EF" w:rsidRPr="009B7F1A" w:rsidRDefault="005431EF" w:rsidP="00EC5C1C">
      <w:pPr>
        <w:rPr>
          <w:rFonts w:ascii="Calibri" w:hAnsi="Calibri"/>
          <w:szCs w:val="22"/>
          <w:lang w:val="en-GB"/>
        </w:rPr>
      </w:pPr>
    </w:p>
    <w:p w:rsidR="00DA563B" w:rsidRDefault="00DA563B" w:rsidP="00A36885">
      <w:pPr>
        <w:pStyle w:val="Heading1"/>
        <w:rPr>
          <w:lang w:val="en-GB"/>
        </w:rPr>
      </w:pPr>
      <w:bookmarkStart w:id="9" w:name="_Toc436121934"/>
      <w:r>
        <w:rPr>
          <w:lang w:val="en-GB"/>
        </w:rPr>
        <w:lastRenderedPageBreak/>
        <w:t>3</w:t>
      </w:r>
      <w:r>
        <w:rPr>
          <w:lang w:val="en-GB"/>
        </w:rPr>
        <w:tab/>
        <w:t xml:space="preserve">What </w:t>
      </w:r>
      <w:r w:rsidR="00AE529A">
        <w:rPr>
          <w:lang w:val="en-GB"/>
        </w:rPr>
        <w:t>Are We Solving For</w:t>
      </w:r>
      <w:r>
        <w:rPr>
          <w:lang w:val="en-GB"/>
        </w:rPr>
        <w:t>?</w:t>
      </w:r>
      <w:bookmarkEnd w:id="9"/>
    </w:p>
    <w:p w:rsidR="00DA563B" w:rsidRDefault="00DA563B" w:rsidP="00437B6D">
      <w:pPr>
        <w:rPr>
          <w:rFonts w:ascii="Calibri" w:hAnsi="Calibri"/>
          <w:szCs w:val="22"/>
        </w:rPr>
      </w:pPr>
      <w:r w:rsidRPr="00437B6D">
        <w:rPr>
          <w:rFonts w:ascii="Calibri" w:hAnsi="Calibri"/>
          <w:szCs w:val="22"/>
        </w:rPr>
        <w:t>Universal service has been based on three pillars since the late 1980s</w:t>
      </w:r>
      <w:r w:rsidRPr="00437B6D">
        <w:rPr>
          <w:rFonts w:ascii="Calibri" w:hAnsi="Calibri"/>
          <w:szCs w:val="22"/>
          <w:vertAlign w:val="superscript"/>
        </w:rPr>
        <w:footnoteReference w:id="8"/>
      </w:r>
      <w:r w:rsidRPr="00437B6D">
        <w:rPr>
          <w:rFonts w:ascii="Calibri" w:hAnsi="Calibri"/>
          <w:szCs w:val="22"/>
        </w:rPr>
        <w:t>:</w:t>
      </w:r>
    </w:p>
    <w:p w:rsidR="00DA563B" w:rsidRPr="00437B6D" w:rsidRDefault="00DA563B" w:rsidP="00437B6D">
      <w:pPr>
        <w:numPr>
          <w:ilvl w:val="0"/>
          <w:numId w:val="21"/>
        </w:numPr>
        <w:rPr>
          <w:rFonts w:ascii="Calibri" w:hAnsi="Calibri"/>
          <w:szCs w:val="22"/>
        </w:rPr>
      </w:pPr>
      <w:r w:rsidRPr="00437B6D">
        <w:rPr>
          <w:rFonts w:ascii="Calibri" w:hAnsi="Calibri"/>
          <w:szCs w:val="22"/>
        </w:rPr>
        <w:t>Availability of well-defined services (i.e. fixed voice, emergency services, public payphones and directory information) regardless of geographical location, offered with a specified quality and reliability, and under non-discriminatory conditions;</w:t>
      </w:r>
    </w:p>
    <w:p w:rsidR="00DA563B" w:rsidRPr="00437B6D" w:rsidRDefault="00DA563B" w:rsidP="00437B6D">
      <w:pPr>
        <w:numPr>
          <w:ilvl w:val="0"/>
          <w:numId w:val="21"/>
        </w:numPr>
        <w:rPr>
          <w:rFonts w:ascii="Calibri" w:hAnsi="Calibri"/>
          <w:szCs w:val="22"/>
        </w:rPr>
      </w:pPr>
      <w:r w:rsidRPr="00437B6D">
        <w:rPr>
          <w:rFonts w:ascii="Calibri" w:hAnsi="Calibri"/>
          <w:szCs w:val="22"/>
        </w:rPr>
        <w:t>Accessibility (usability) of these services to people with functional limitations; and</w:t>
      </w:r>
    </w:p>
    <w:p w:rsidR="00DA563B" w:rsidRPr="007E7589" w:rsidRDefault="00DA563B" w:rsidP="00437B6D">
      <w:pPr>
        <w:numPr>
          <w:ilvl w:val="0"/>
          <w:numId w:val="21"/>
        </w:numPr>
        <w:rPr>
          <w:rFonts w:ascii="Calibri" w:hAnsi="Calibri"/>
          <w:szCs w:val="22"/>
          <w:lang w:val="en-GB"/>
        </w:rPr>
      </w:pPr>
      <w:r w:rsidRPr="00437B6D">
        <w:rPr>
          <w:rFonts w:ascii="Calibri" w:hAnsi="Calibri"/>
          <w:szCs w:val="22"/>
        </w:rPr>
        <w:t>Affordability of these services.</w:t>
      </w:r>
    </w:p>
    <w:p w:rsidR="00DA563B" w:rsidRDefault="00DA563B" w:rsidP="00D03302">
      <w:pPr>
        <w:rPr>
          <w:rFonts w:ascii="Calibri" w:hAnsi="Calibri"/>
          <w:szCs w:val="22"/>
        </w:rPr>
      </w:pPr>
      <w:r>
        <w:rPr>
          <w:rFonts w:ascii="Calibri" w:hAnsi="Calibri"/>
          <w:szCs w:val="22"/>
          <w:lang w:val="en-GB"/>
        </w:rPr>
        <w:t>The first and last of these are</w:t>
      </w:r>
      <w:r w:rsidRPr="00D03302">
        <w:rPr>
          <w:rFonts w:ascii="Calibri" w:hAnsi="Calibri"/>
          <w:szCs w:val="22"/>
          <w:lang w:val="en-GB"/>
        </w:rPr>
        <w:t xml:space="preserve"> what </w:t>
      </w:r>
      <w:r w:rsidRPr="00D03302">
        <w:rPr>
          <w:rFonts w:ascii="Calibri" w:hAnsi="Calibri"/>
          <w:szCs w:val="22"/>
        </w:rPr>
        <w:t xml:space="preserve">the </w:t>
      </w:r>
      <w:proofErr w:type="spellStart"/>
      <w:r w:rsidRPr="00D03302">
        <w:rPr>
          <w:rFonts w:ascii="Calibri" w:hAnsi="Calibri"/>
          <w:szCs w:val="22"/>
        </w:rPr>
        <w:t>Vertigan’s</w:t>
      </w:r>
      <w:proofErr w:type="spellEnd"/>
      <w:r w:rsidRPr="00D03302">
        <w:rPr>
          <w:rFonts w:ascii="Calibri" w:hAnsi="Calibri"/>
          <w:szCs w:val="22"/>
        </w:rPr>
        <w:t xml:space="preserve"> </w:t>
      </w:r>
      <w:hyperlink r:id="rId24" w:history="1">
        <w:r w:rsidRPr="00D03302">
          <w:rPr>
            <w:rStyle w:val="Hyperlink"/>
            <w:rFonts w:ascii="Calibri" w:hAnsi="Calibri"/>
            <w:szCs w:val="22"/>
          </w:rPr>
          <w:t>market and regulatory report</w:t>
        </w:r>
      </w:hyperlink>
      <w:r w:rsidRPr="00D03302">
        <w:rPr>
          <w:rFonts w:ascii="Calibri" w:hAnsi="Calibri"/>
          <w:szCs w:val="22"/>
        </w:rPr>
        <w:t xml:space="preserve"> termed horizontal equity – “</w:t>
      </w:r>
      <w:r w:rsidRPr="00D03302">
        <w:rPr>
          <w:rFonts w:ascii="Calibri" w:hAnsi="Calibri"/>
          <w:i/>
          <w:szCs w:val="22"/>
        </w:rPr>
        <w:t>ensuring households can access a service on similar terms, regardless of where they are located”</w:t>
      </w:r>
      <w:r w:rsidRPr="00D03302">
        <w:rPr>
          <w:rFonts w:ascii="Calibri" w:hAnsi="Calibri"/>
          <w:szCs w:val="22"/>
        </w:rPr>
        <w:t xml:space="preserve"> and vertical equity – “</w:t>
      </w:r>
      <w:r w:rsidRPr="00D03302">
        <w:rPr>
          <w:rFonts w:ascii="Calibri" w:hAnsi="Calibri"/>
          <w:i/>
          <w:szCs w:val="22"/>
        </w:rPr>
        <w:t>ensuring that irrespective of income level, all households can afford the service”</w:t>
      </w:r>
      <w:r w:rsidRPr="00D03302">
        <w:rPr>
          <w:rFonts w:ascii="Calibri" w:hAnsi="Calibri"/>
          <w:szCs w:val="22"/>
        </w:rPr>
        <w:t xml:space="preserve">(p98). </w:t>
      </w:r>
    </w:p>
    <w:p w:rsidR="00500D44" w:rsidRPr="00500D44" w:rsidRDefault="00500D44" w:rsidP="00500D44">
      <w:pPr>
        <w:rPr>
          <w:rFonts w:ascii="Calibri" w:hAnsi="Calibri"/>
          <w:szCs w:val="22"/>
        </w:rPr>
      </w:pPr>
      <w:r w:rsidRPr="00500D44">
        <w:rPr>
          <w:rFonts w:ascii="Calibri" w:hAnsi="Calibri"/>
          <w:szCs w:val="22"/>
        </w:rPr>
        <w:t>The principles of availability, accessibility and affordability are timeless, although the focus or content of each will change. Following the discussion of “broken concepts”, the first question is whether the scope of universal service policy should be expanded beyond voice to broadband and whether the focus should shift from fixed to mobile networks.</w:t>
      </w:r>
    </w:p>
    <w:p w:rsidR="00500D44" w:rsidRPr="00500D44" w:rsidRDefault="00500D44" w:rsidP="00500D44">
      <w:pPr>
        <w:rPr>
          <w:rFonts w:ascii="Calibri" w:hAnsi="Calibri"/>
          <w:szCs w:val="22"/>
        </w:rPr>
      </w:pPr>
      <w:r w:rsidRPr="00500D44">
        <w:rPr>
          <w:rFonts w:ascii="Calibri" w:hAnsi="Calibri"/>
          <w:szCs w:val="22"/>
        </w:rPr>
        <w:t xml:space="preserve">The European Union (EU) </w:t>
      </w:r>
      <w:hyperlink r:id="rId25" w:history="1">
        <w:r w:rsidRPr="00500D44">
          <w:rPr>
            <w:rStyle w:val="Hyperlink"/>
            <w:rFonts w:ascii="Calibri" w:hAnsi="Calibri"/>
            <w:szCs w:val="22"/>
          </w:rPr>
          <w:t>concluded</w:t>
        </w:r>
      </w:hyperlink>
      <w:r w:rsidRPr="00500D44">
        <w:rPr>
          <w:rFonts w:ascii="Calibri" w:hAnsi="Calibri"/>
          <w:szCs w:val="22"/>
        </w:rPr>
        <w:t xml:space="preserve"> in its 2011 triennial review that they should </w:t>
      </w:r>
      <w:r w:rsidRPr="00500D44">
        <w:rPr>
          <w:rFonts w:ascii="Calibri" w:hAnsi="Calibri"/>
          <w:szCs w:val="22"/>
          <w:u w:val="single"/>
        </w:rPr>
        <w:t>not</w:t>
      </w:r>
      <w:r w:rsidRPr="00500D44">
        <w:rPr>
          <w:rFonts w:ascii="Calibri" w:hAnsi="Calibri"/>
          <w:szCs w:val="22"/>
        </w:rPr>
        <w:t xml:space="preserve"> be encompassed in universal service. The criteria it looks at are</w:t>
      </w:r>
      <w:r w:rsidRPr="00500D44">
        <w:rPr>
          <w:rFonts w:ascii="Calibri" w:hAnsi="Calibri"/>
          <w:szCs w:val="22"/>
          <w:vertAlign w:val="superscript"/>
        </w:rPr>
        <w:footnoteReference w:id="9"/>
      </w:r>
      <w:r w:rsidRPr="00500D44">
        <w:rPr>
          <w:rFonts w:ascii="Calibri" w:hAnsi="Calibri"/>
          <w:szCs w:val="22"/>
        </w:rPr>
        <w:t>:</w:t>
      </w:r>
    </w:p>
    <w:p w:rsidR="00500D44" w:rsidRPr="00500D44" w:rsidRDefault="00500D44" w:rsidP="00500D44">
      <w:pPr>
        <w:numPr>
          <w:ilvl w:val="0"/>
          <w:numId w:val="28"/>
        </w:numPr>
        <w:rPr>
          <w:rFonts w:ascii="Calibri" w:hAnsi="Calibri"/>
          <w:i/>
          <w:szCs w:val="22"/>
        </w:rPr>
      </w:pPr>
      <w:r w:rsidRPr="00500D44">
        <w:rPr>
          <w:rFonts w:ascii="Calibri" w:hAnsi="Calibri"/>
          <w:i/>
          <w:szCs w:val="22"/>
        </w:rPr>
        <w:t>Are specific services available to and used by a majority of consumers and does the lack of availability or non-use by a minority of consumers result in social exclusion?</w:t>
      </w:r>
    </w:p>
    <w:p w:rsidR="00500D44" w:rsidRPr="00500D44" w:rsidRDefault="00500D44" w:rsidP="00500D44">
      <w:pPr>
        <w:numPr>
          <w:ilvl w:val="0"/>
          <w:numId w:val="28"/>
        </w:numPr>
        <w:rPr>
          <w:rFonts w:ascii="Calibri" w:hAnsi="Calibri"/>
          <w:i/>
          <w:szCs w:val="22"/>
          <w:lang w:val="en-GB"/>
        </w:rPr>
      </w:pPr>
      <w:r w:rsidRPr="00500D44">
        <w:rPr>
          <w:rFonts w:ascii="Calibri" w:hAnsi="Calibri"/>
          <w:i/>
          <w:szCs w:val="22"/>
        </w:rPr>
        <w:t>Does the availability and use of specific services convey a general net benefit to all consumers such that public intervention is warranted in circumstances where the specific services are not provided to the public under normal commercial circumstances?</w:t>
      </w:r>
    </w:p>
    <w:p w:rsidR="00500D44" w:rsidRPr="00500D44" w:rsidRDefault="00500D44" w:rsidP="00500D44">
      <w:pPr>
        <w:rPr>
          <w:rFonts w:ascii="Calibri" w:hAnsi="Calibri"/>
          <w:i/>
          <w:szCs w:val="22"/>
        </w:rPr>
      </w:pPr>
      <w:r w:rsidRPr="00500D44">
        <w:rPr>
          <w:rFonts w:ascii="Calibri" w:hAnsi="Calibri"/>
          <w:szCs w:val="22"/>
        </w:rPr>
        <w:t xml:space="preserve">In its 2011 decision, the EU also says: </w:t>
      </w:r>
      <w:r w:rsidRPr="00500D44">
        <w:rPr>
          <w:rFonts w:ascii="Calibri" w:hAnsi="Calibri"/>
          <w:i/>
          <w:szCs w:val="22"/>
        </w:rPr>
        <w:t xml:space="preserve">“The Commission believes that, at this stage, Member States could be asked to consider including broadband connections in </w:t>
      </w:r>
      <w:r w:rsidR="008F2718">
        <w:rPr>
          <w:rFonts w:ascii="Calibri" w:hAnsi="Calibri"/>
          <w:i/>
          <w:szCs w:val="22"/>
        </w:rPr>
        <w:t xml:space="preserve">the </w:t>
      </w:r>
      <w:r w:rsidRPr="00500D44">
        <w:rPr>
          <w:rFonts w:ascii="Calibri" w:hAnsi="Calibri"/>
          <w:i/>
          <w:szCs w:val="22"/>
        </w:rPr>
        <w:t>USO where the data rate in question is used at national level (</w:t>
      </w:r>
      <w:proofErr w:type="spellStart"/>
      <w:r w:rsidRPr="00500D44">
        <w:rPr>
          <w:rFonts w:ascii="Calibri" w:hAnsi="Calibri"/>
          <w:i/>
          <w:szCs w:val="22"/>
        </w:rPr>
        <w:t>i</w:t>
      </w:r>
      <w:proofErr w:type="spellEnd"/>
      <w:r w:rsidRPr="00500D44">
        <w:rPr>
          <w:rFonts w:ascii="Calibri" w:hAnsi="Calibri"/>
          <w:i/>
          <w:szCs w:val="22"/>
        </w:rPr>
        <w:t>) by at least half of all households and (ii) by at least 80 % of all households with a broadband connection”.</w:t>
      </w:r>
    </w:p>
    <w:p w:rsidR="00500D44" w:rsidRPr="00500D44" w:rsidRDefault="00500D44" w:rsidP="00500D44">
      <w:pPr>
        <w:rPr>
          <w:rFonts w:ascii="Calibri" w:hAnsi="Calibri"/>
          <w:szCs w:val="22"/>
        </w:rPr>
      </w:pPr>
      <w:r w:rsidRPr="00500D44">
        <w:rPr>
          <w:rFonts w:ascii="Calibri" w:hAnsi="Calibri"/>
          <w:szCs w:val="22"/>
        </w:rPr>
        <w:t>Countries within the EU can already include broadband in their USO (as the UK, Finland, Spain and Malta have done). Mandating a European-wide standard even as low as 2Mbps would impose significant costs on some countries and operators. So, the EU has left it to each country to determine what data rate they wish to specify for their USO.</w:t>
      </w:r>
    </w:p>
    <w:p w:rsidR="00500D44" w:rsidRPr="00500D44" w:rsidRDefault="00500D44" w:rsidP="00500D44">
      <w:pPr>
        <w:rPr>
          <w:rFonts w:ascii="Calibri" w:hAnsi="Calibri"/>
          <w:szCs w:val="22"/>
        </w:rPr>
      </w:pPr>
      <w:r w:rsidRPr="00500D44">
        <w:rPr>
          <w:rFonts w:ascii="Calibri" w:hAnsi="Calibri"/>
          <w:szCs w:val="22"/>
        </w:rPr>
        <w:t>In the case of mobiles, the EU has determined that competition has made service affordable already so there is no risk of social exclusion and no benefit in adding mobiles (i.e. the second test was not passed).</w:t>
      </w:r>
    </w:p>
    <w:p w:rsidR="00500D44" w:rsidRPr="00500D44" w:rsidRDefault="00500D44" w:rsidP="00500D44">
      <w:pPr>
        <w:rPr>
          <w:rFonts w:ascii="Calibri" w:hAnsi="Calibri"/>
          <w:i/>
          <w:szCs w:val="22"/>
        </w:rPr>
      </w:pPr>
      <w:r w:rsidRPr="00500D44">
        <w:rPr>
          <w:rFonts w:ascii="Calibri" w:hAnsi="Calibri"/>
          <w:szCs w:val="22"/>
        </w:rPr>
        <w:lastRenderedPageBreak/>
        <w:t xml:space="preserve">In Australia, the NBN project itself sets a universal broadband service goal. The Government’s </w:t>
      </w:r>
      <w:hyperlink r:id="rId26" w:history="1">
        <w:r w:rsidRPr="00500D44">
          <w:rPr>
            <w:rStyle w:val="Hyperlink"/>
            <w:rFonts w:ascii="Calibri" w:hAnsi="Calibri"/>
            <w:szCs w:val="22"/>
            <w:lang w:val="en-US"/>
          </w:rPr>
          <w:t>statement of expectations</w:t>
        </w:r>
      </w:hyperlink>
      <w:r w:rsidRPr="00500D44">
        <w:rPr>
          <w:rFonts w:ascii="Calibri" w:hAnsi="Calibri"/>
          <w:szCs w:val="22"/>
        </w:rPr>
        <w:t xml:space="preserve"> mandates 25Mbps.That is better than the 10Mbps that Ofcom hopes to persuade the UK government to adopt (currently 2Mbps) out of its current strategic review (p4): “</w:t>
      </w:r>
      <w:r w:rsidRPr="00500D44">
        <w:rPr>
          <w:rFonts w:ascii="Calibri" w:hAnsi="Calibri"/>
          <w:i/>
          <w:szCs w:val="22"/>
        </w:rPr>
        <w:t>We estimate that a typical household needs a 10Mbit/s speed to benefit from the most popular online services. But today, 8% of UK premises fall below this threshold</w:t>
      </w:r>
      <w:r w:rsidRPr="00500D44">
        <w:rPr>
          <w:rFonts w:ascii="Calibri" w:hAnsi="Calibri"/>
          <w:i/>
          <w:szCs w:val="22"/>
          <w:vertAlign w:val="superscript"/>
        </w:rPr>
        <w:footnoteReference w:id="10"/>
      </w:r>
      <w:r w:rsidRPr="00500D44">
        <w:rPr>
          <w:rFonts w:ascii="Calibri" w:hAnsi="Calibri"/>
          <w:i/>
          <w:szCs w:val="22"/>
        </w:rPr>
        <w:t>, with around 2% (c.500k households) unable to receive the most basic 2Mbit/s service”</w:t>
      </w:r>
      <w:r w:rsidRPr="00500D44">
        <w:rPr>
          <w:rFonts w:ascii="Calibri" w:hAnsi="Calibri"/>
          <w:i/>
          <w:szCs w:val="22"/>
          <w:vertAlign w:val="superscript"/>
        </w:rPr>
        <w:footnoteReference w:id="11"/>
      </w:r>
      <w:r w:rsidRPr="00500D44">
        <w:rPr>
          <w:rFonts w:ascii="Calibri" w:hAnsi="Calibri"/>
          <w:i/>
          <w:szCs w:val="22"/>
        </w:rPr>
        <w:t>.</w:t>
      </w:r>
    </w:p>
    <w:p w:rsidR="00500D44" w:rsidRPr="00500D44" w:rsidRDefault="00500D44" w:rsidP="00500D44">
      <w:pPr>
        <w:rPr>
          <w:rFonts w:ascii="Calibri" w:hAnsi="Calibri"/>
          <w:szCs w:val="22"/>
        </w:rPr>
      </w:pPr>
      <w:r w:rsidRPr="00500D44">
        <w:rPr>
          <w:rFonts w:ascii="Calibri" w:hAnsi="Calibri"/>
          <w:szCs w:val="22"/>
        </w:rPr>
        <w:t xml:space="preserve">In the case of mobiles, in Australia as in Europe there is strong market competition and the second EU test for inclusion of mobiles in the USO would fail. The issue with mobiles in Australia is coverage and that is being addressed with direct funding (i.e. the Mobile </w:t>
      </w:r>
      <w:proofErr w:type="spellStart"/>
      <w:r w:rsidRPr="00500D44">
        <w:rPr>
          <w:rFonts w:ascii="Calibri" w:hAnsi="Calibri"/>
          <w:szCs w:val="22"/>
        </w:rPr>
        <w:t>Blackspots</w:t>
      </w:r>
      <w:proofErr w:type="spellEnd"/>
      <w:r w:rsidRPr="00500D44">
        <w:rPr>
          <w:rFonts w:ascii="Calibri" w:hAnsi="Calibri"/>
          <w:szCs w:val="22"/>
        </w:rPr>
        <w:t xml:space="preserve"> Programme). </w:t>
      </w:r>
    </w:p>
    <w:p w:rsidR="00DA563B" w:rsidRDefault="00DA563B" w:rsidP="00AC6FFD">
      <w:pPr>
        <w:rPr>
          <w:rFonts w:ascii="Calibri" w:hAnsi="Calibri"/>
          <w:szCs w:val="22"/>
        </w:rPr>
      </w:pPr>
      <w:r w:rsidRPr="00AC6FFD">
        <w:rPr>
          <w:rFonts w:ascii="Calibri" w:hAnsi="Calibri"/>
          <w:szCs w:val="22"/>
        </w:rPr>
        <w:t>In the future, it is proposed that USO policy aims to provide every adult with</w:t>
      </w:r>
      <w:r>
        <w:rPr>
          <w:rFonts w:ascii="Calibri" w:hAnsi="Calibri"/>
          <w:szCs w:val="22"/>
        </w:rPr>
        <w:t xml:space="preserve"> universally available, accessible, affordable and enabling electronic communications:</w:t>
      </w:r>
    </w:p>
    <w:p w:rsidR="00D307D6" w:rsidRPr="00D307D6" w:rsidRDefault="00D307D6" w:rsidP="00D307D6">
      <w:pPr>
        <w:numPr>
          <w:ilvl w:val="0"/>
          <w:numId w:val="21"/>
        </w:numPr>
        <w:rPr>
          <w:rFonts w:ascii="Calibri" w:hAnsi="Calibri"/>
          <w:szCs w:val="22"/>
        </w:rPr>
      </w:pPr>
      <w:r w:rsidRPr="00D307D6">
        <w:rPr>
          <w:rFonts w:ascii="Calibri" w:hAnsi="Calibri"/>
          <w:szCs w:val="22"/>
        </w:rPr>
        <w:t>Availability (coverage) of voice and broadband services should be enhanced through the implementation of the NBN and subsidies to extend mobile services;</w:t>
      </w:r>
    </w:p>
    <w:p w:rsidR="00D307D6" w:rsidRPr="00D307D6" w:rsidRDefault="00D307D6" w:rsidP="00D307D6">
      <w:pPr>
        <w:numPr>
          <w:ilvl w:val="0"/>
          <w:numId w:val="21"/>
        </w:numPr>
        <w:rPr>
          <w:rFonts w:ascii="Calibri" w:hAnsi="Calibri"/>
          <w:szCs w:val="22"/>
        </w:rPr>
      </w:pPr>
      <w:r w:rsidRPr="00D307D6">
        <w:rPr>
          <w:rFonts w:ascii="Calibri" w:hAnsi="Calibri"/>
          <w:szCs w:val="22"/>
        </w:rPr>
        <w:t>Accessibility (usability) for both voice and data services may be enhanced by applications enabled by digitisation but will need to be supplemented with new obligations;</w:t>
      </w:r>
    </w:p>
    <w:p w:rsidR="00D307D6" w:rsidRPr="00D307D6" w:rsidRDefault="00D307D6" w:rsidP="00D307D6">
      <w:pPr>
        <w:numPr>
          <w:ilvl w:val="0"/>
          <w:numId w:val="21"/>
        </w:numPr>
        <w:rPr>
          <w:rFonts w:ascii="Calibri" w:hAnsi="Calibri"/>
          <w:szCs w:val="22"/>
        </w:rPr>
      </w:pPr>
      <w:r w:rsidRPr="00D307D6">
        <w:rPr>
          <w:rFonts w:ascii="Calibri" w:hAnsi="Calibri"/>
          <w:szCs w:val="22"/>
        </w:rPr>
        <w:t>Affordability of both fixed and mobile services needs to be addressed; and</w:t>
      </w:r>
    </w:p>
    <w:p w:rsidR="00D307D6" w:rsidRPr="00D307D6" w:rsidRDefault="00D307D6" w:rsidP="00D307D6">
      <w:pPr>
        <w:numPr>
          <w:ilvl w:val="0"/>
          <w:numId w:val="21"/>
        </w:numPr>
        <w:rPr>
          <w:rFonts w:ascii="Calibri" w:hAnsi="Calibri"/>
          <w:szCs w:val="22"/>
          <w:lang w:val="en-GB"/>
        </w:rPr>
      </w:pPr>
      <w:r w:rsidRPr="00D307D6">
        <w:rPr>
          <w:rFonts w:ascii="Calibri" w:hAnsi="Calibri"/>
          <w:szCs w:val="22"/>
        </w:rPr>
        <w:t>Empowering (content/apps) could start with government providing access to e-services.</w:t>
      </w:r>
    </w:p>
    <w:p w:rsidR="00ED70FA" w:rsidRPr="00ED70FA" w:rsidRDefault="00ED70FA" w:rsidP="00ED70FA">
      <w:pPr>
        <w:rPr>
          <w:rFonts w:ascii="Calibri" w:hAnsi="Calibri"/>
          <w:szCs w:val="22"/>
        </w:rPr>
      </w:pPr>
      <w:r w:rsidRPr="00ED70FA">
        <w:rPr>
          <w:rFonts w:ascii="Calibri" w:hAnsi="Calibri"/>
          <w:szCs w:val="22"/>
        </w:rPr>
        <w:t>The outcomes that we would expect from getting USO policy right are illustrated by the quotes below in the chart prepared for Ofcom</w:t>
      </w:r>
      <w:r w:rsidRPr="00ED70FA">
        <w:rPr>
          <w:rFonts w:ascii="Calibri" w:hAnsi="Calibri"/>
          <w:szCs w:val="22"/>
          <w:vertAlign w:val="superscript"/>
        </w:rPr>
        <w:footnoteReference w:id="12"/>
      </w:r>
      <w:r w:rsidRPr="00ED70FA">
        <w:rPr>
          <w:rFonts w:ascii="Calibri" w:hAnsi="Calibri"/>
          <w:szCs w:val="22"/>
        </w:rPr>
        <w:t>.</w:t>
      </w:r>
    </w:p>
    <w:p w:rsidR="009202A7" w:rsidRDefault="00ED70FA" w:rsidP="0048625A">
      <w:pPr>
        <w:keepNext/>
        <w:jc w:val="center"/>
        <w:rPr>
          <w:rStyle w:val="CommentReference"/>
        </w:rPr>
      </w:pPr>
      <w:r w:rsidRPr="00ED70FA">
        <w:rPr>
          <w:rFonts w:ascii="Calibri" w:hAnsi="Calibri"/>
          <w:b/>
          <w:szCs w:val="22"/>
        </w:rPr>
        <w:t xml:space="preserve">Figure </w:t>
      </w:r>
      <w:r w:rsidR="001921C4">
        <w:rPr>
          <w:rFonts w:ascii="Calibri" w:hAnsi="Calibri"/>
          <w:b/>
          <w:szCs w:val="22"/>
        </w:rPr>
        <w:t>1</w:t>
      </w:r>
      <w:r w:rsidRPr="00ED70FA">
        <w:rPr>
          <w:rFonts w:ascii="Calibri" w:hAnsi="Calibri"/>
          <w:b/>
          <w:szCs w:val="22"/>
        </w:rPr>
        <w:t xml:space="preserve"> – Examples of what “essential” means for communications services</w:t>
      </w:r>
    </w:p>
    <w:p w:rsidR="009202A7" w:rsidRDefault="009202A7" w:rsidP="00ED70FA">
      <w:pPr>
        <w:jc w:val="center"/>
        <w:rPr>
          <w:rStyle w:val="CommentReference"/>
        </w:rPr>
      </w:pPr>
      <w:r w:rsidRPr="00C80B4C">
        <w:rPr>
          <w:noProof/>
          <w:sz w:val="16"/>
          <w:szCs w:val="16"/>
        </w:rPr>
        <w:drawing>
          <wp:inline distT="0" distB="0" distL="0" distR="0" wp14:anchorId="6AA906B8" wp14:editId="7173BA00">
            <wp:extent cx="5689078" cy="30575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357" cy="3057675"/>
                    </a:xfrm>
                    <a:prstGeom prst="rect">
                      <a:avLst/>
                    </a:prstGeom>
                    <a:noFill/>
                    <a:ln>
                      <a:noFill/>
                    </a:ln>
                  </pic:spPr>
                </pic:pic>
              </a:graphicData>
            </a:graphic>
          </wp:inline>
        </w:drawing>
      </w:r>
    </w:p>
    <w:p w:rsidR="00ED70FA" w:rsidRDefault="00ED70FA" w:rsidP="00ED70FA">
      <w:pPr>
        <w:rPr>
          <w:rFonts w:ascii="Calibri" w:hAnsi="Calibri"/>
          <w:szCs w:val="22"/>
        </w:rPr>
      </w:pPr>
      <w:r>
        <w:rPr>
          <w:rFonts w:ascii="Calibri" w:hAnsi="Calibri"/>
          <w:szCs w:val="22"/>
        </w:rPr>
        <w:lastRenderedPageBreak/>
        <w:t xml:space="preserve">The sections below discuss what it means to </w:t>
      </w:r>
      <w:r w:rsidRPr="00ED70FA">
        <w:rPr>
          <w:rFonts w:ascii="Calibri" w:hAnsi="Calibri"/>
          <w:szCs w:val="22"/>
        </w:rPr>
        <w:t>provide every adult with universally available, accessible, affordable and empowering communications</w:t>
      </w:r>
      <w:r w:rsidRPr="00ED70FA">
        <w:rPr>
          <w:rFonts w:ascii="Calibri" w:hAnsi="Calibri"/>
          <w:b/>
          <w:szCs w:val="22"/>
        </w:rPr>
        <w:t xml:space="preserve">. </w:t>
      </w:r>
      <w:r>
        <w:rPr>
          <w:rFonts w:ascii="Calibri" w:hAnsi="Calibri"/>
          <w:szCs w:val="22"/>
        </w:rPr>
        <w:t xml:space="preserve"> </w:t>
      </w:r>
    </w:p>
    <w:p w:rsidR="000139C7" w:rsidRPr="00ED70FA" w:rsidRDefault="000139C7" w:rsidP="00ED70FA">
      <w:pPr>
        <w:rPr>
          <w:rFonts w:ascii="Calibri" w:hAnsi="Calibri"/>
          <w:szCs w:val="22"/>
        </w:rPr>
      </w:pPr>
    </w:p>
    <w:p w:rsidR="00DA563B" w:rsidRPr="00DC0BF7" w:rsidRDefault="00DA563B" w:rsidP="002A03B0">
      <w:pPr>
        <w:pStyle w:val="Heading2"/>
      </w:pPr>
      <w:bookmarkStart w:id="10" w:name="_Toc436121935"/>
      <w:r w:rsidRPr="00DC0BF7">
        <w:t xml:space="preserve">3.1 </w:t>
      </w:r>
      <w:r w:rsidRPr="00DC0BF7">
        <w:tab/>
        <w:t xml:space="preserve">Universal </w:t>
      </w:r>
      <w:r w:rsidR="00AE529A">
        <w:t>a</w:t>
      </w:r>
      <w:r w:rsidRPr="00DC0BF7">
        <w:t>vailability</w:t>
      </w:r>
      <w:bookmarkEnd w:id="10"/>
    </w:p>
    <w:p w:rsidR="00DA563B" w:rsidRDefault="00DA563B" w:rsidP="006A67ED">
      <w:pPr>
        <w:rPr>
          <w:rFonts w:ascii="Calibri" w:hAnsi="Calibri"/>
          <w:szCs w:val="22"/>
        </w:rPr>
      </w:pPr>
      <w:r>
        <w:rPr>
          <w:rFonts w:ascii="Calibri" w:hAnsi="Calibri"/>
          <w:szCs w:val="22"/>
        </w:rPr>
        <w:t>Much of the focus of government funding has been on</w:t>
      </w:r>
      <w:r w:rsidRPr="00AF0CD8">
        <w:rPr>
          <w:rFonts w:ascii="Calibri" w:hAnsi="Calibri"/>
          <w:szCs w:val="22"/>
        </w:rPr>
        <w:t xml:space="preserve"> improving </w:t>
      </w:r>
      <w:r>
        <w:rPr>
          <w:rFonts w:ascii="Calibri" w:hAnsi="Calibri"/>
          <w:szCs w:val="22"/>
        </w:rPr>
        <w:t xml:space="preserve">the availability of </w:t>
      </w:r>
      <w:r w:rsidRPr="00AF0CD8">
        <w:rPr>
          <w:rFonts w:ascii="Calibri" w:hAnsi="Calibri"/>
          <w:szCs w:val="22"/>
        </w:rPr>
        <w:t xml:space="preserve">rural </w:t>
      </w:r>
      <w:r>
        <w:rPr>
          <w:rFonts w:ascii="Calibri" w:hAnsi="Calibri"/>
          <w:szCs w:val="22"/>
        </w:rPr>
        <w:t>c</w:t>
      </w:r>
      <w:r w:rsidRPr="00AF0CD8">
        <w:rPr>
          <w:rFonts w:ascii="Calibri" w:hAnsi="Calibri"/>
          <w:szCs w:val="22"/>
        </w:rPr>
        <w:t xml:space="preserve">ommunications </w:t>
      </w:r>
      <w:r>
        <w:rPr>
          <w:rFonts w:ascii="Calibri" w:hAnsi="Calibri"/>
          <w:szCs w:val="22"/>
        </w:rPr>
        <w:t>(See Table 1)</w:t>
      </w:r>
      <w:r w:rsidRPr="00AF0CD8">
        <w:rPr>
          <w:rFonts w:ascii="Calibri" w:hAnsi="Calibri"/>
          <w:szCs w:val="22"/>
        </w:rPr>
        <w:t>.</w:t>
      </w:r>
    </w:p>
    <w:p w:rsidR="00DA563B" w:rsidRPr="00AF0CD8" w:rsidRDefault="00DA563B" w:rsidP="0048625A">
      <w:pPr>
        <w:keepNext/>
        <w:jc w:val="center"/>
        <w:rPr>
          <w:rFonts w:ascii="Calibri" w:hAnsi="Calibri"/>
          <w:b/>
        </w:rPr>
      </w:pPr>
      <w:r w:rsidRPr="00AF0CD8">
        <w:rPr>
          <w:rFonts w:ascii="Calibri" w:hAnsi="Calibri"/>
          <w:b/>
        </w:rPr>
        <w:t xml:space="preserve">Table 1: </w:t>
      </w:r>
      <w:r w:rsidR="000A1827">
        <w:rPr>
          <w:rFonts w:ascii="Calibri" w:hAnsi="Calibri"/>
          <w:b/>
        </w:rPr>
        <w:t xml:space="preserve">Announced </w:t>
      </w:r>
      <w:r w:rsidRPr="00AF0CD8">
        <w:rPr>
          <w:rFonts w:ascii="Calibri" w:hAnsi="Calibri"/>
          <w:b/>
        </w:rPr>
        <w:t>Funding Programmes for the Bush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85"/>
        <w:gridCol w:w="2655"/>
        <w:gridCol w:w="3549"/>
      </w:tblGrid>
      <w:tr w:rsidR="00DA563B" w:rsidRPr="00654334" w:rsidTr="00182D57">
        <w:trPr>
          <w:jc w:val="center"/>
        </w:trPr>
        <w:tc>
          <w:tcPr>
            <w:tcW w:w="817" w:type="dxa"/>
          </w:tcPr>
          <w:p w:rsidR="00DA563B" w:rsidRPr="00AF0CD8" w:rsidRDefault="00DA563B" w:rsidP="005D29A4">
            <w:pPr>
              <w:keepNext/>
              <w:rPr>
                <w:rFonts w:ascii="Calibri" w:hAnsi="Calibri"/>
                <w:b/>
              </w:rPr>
            </w:pPr>
            <w:r w:rsidRPr="00AF0CD8">
              <w:rPr>
                <w:rFonts w:ascii="Calibri" w:hAnsi="Calibri"/>
                <w:b/>
              </w:rPr>
              <w:t>Date</w:t>
            </w:r>
          </w:p>
        </w:tc>
        <w:tc>
          <w:tcPr>
            <w:tcW w:w="1985" w:type="dxa"/>
          </w:tcPr>
          <w:p w:rsidR="00DA563B" w:rsidRPr="00AF0CD8" w:rsidRDefault="00DA563B" w:rsidP="005D29A4">
            <w:pPr>
              <w:keepNext/>
              <w:rPr>
                <w:rFonts w:ascii="Calibri" w:hAnsi="Calibri"/>
                <w:b/>
              </w:rPr>
            </w:pPr>
            <w:r w:rsidRPr="00AF0CD8">
              <w:rPr>
                <w:rFonts w:ascii="Calibri" w:hAnsi="Calibri"/>
                <w:b/>
              </w:rPr>
              <w:t>Amount</w:t>
            </w:r>
          </w:p>
        </w:tc>
        <w:tc>
          <w:tcPr>
            <w:tcW w:w="2655" w:type="dxa"/>
          </w:tcPr>
          <w:p w:rsidR="00DA563B" w:rsidRPr="00AF0CD8" w:rsidRDefault="00DA563B" w:rsidP="005D29A4">
            <w:pPr>
              <w:keepNext/>
              <w:rPr>
                <w:rFonts w:ascii="Calibri" w:hAnsi="Calibri"/>
                <w:b/>
              </w:rPr>
            </w:pPr>
            <w:r w:rsidRPr="00AF0CD8">
              <w:rPr>
                <w:rFonts w:ascii="Calibri" w:hAnsi="Calibri"/>
                <w:b/>
              </w:rPr>
              <w:t>Programme</w:t>
            </w:r>
          </w:p>
        </w:tc>
        <w:tc>
          <w:tcPr>
            <w:tcW w:w="3549" w:type="dxa"/>
          </w:tcPr>
          <w:p w:rsidR="00DA563B" w:rsidRPr="00AF0CD8" w:rsidRDefault="00DA563B" w:rsidP="005D29A4">
            <w:pPr>
              <w:keepNext/>
              <w:rPr>
                <w:rFonts w:ascii="Calibri" w:hAnsi="Calibri"/>
                <w:b/>
              </w:rPr>
            </w:pPr>
            <w:r w:rsidRPr="00AF0CD8">
              <w:rPr>
                <w:rFonts w:ascii="Calibri" w:hAnsi="Calibri"/>
                <w:b/>
              </w:rPr>
              <w:t>Purpose</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1997</w:t>
            </w:r>
          </w:p>
        </w:tc>
        <w:tc>
          <w:tcPr>
            <w:tcW w:w="1985" w:type="dxa"/>
          </w:tcPr>
          <w:p w:rsidR="00DA563B" w:rsidRPr="00654334" w:rsidRDefault="00DA563B" w:rsidP="005D29A4">
            <w:pPr>
              <w:keepNext/>
              <w:rPr>
                <w:rFonts w:ascii="Calibri" w:hAnsi="Calibri"/>
              </w:rPr>
            </w:pPr>
            <w:r>
              <w:rPr>
                <w:rFonts w:ascii="Calibri" w:hAnsi="Calibri"/>
              </w:rPr>
              <w:t>$250m</w:t>
            </w:r>
            <w:r w:rsidRPr="00654334">
              <w:rPr>
                <w:rFonts w:ascii="Calibri" w:hAnsi="Calibri"/>
              </w:rPr>
              <w:t xml:space="preserve"> ($50m pa for 5 years from 1997-98).</w:t>
            </w:r>
          </w:p>
          <w:p w:rsidR="00DA563B" w:rsidRPr="00654334" w:rsidRDefault="00DA563B" w:rsidP="005D29A4">
            <w:pPr>
              <w:keepNext/>
              <w:rPr>
                <w:rFonts w:ascii="Calibri" w:hAnsi="Calibri"/>
              </w:rPr>
            </w:pPr>
          </w:p>
        </w:tc>
        <w:tc>
          <w:tcPr>
            <w:tcW w:w="2655" w:type="dxa"/>
          </w:tcPr>
          <w:p w:rsidR="00DA563B" w:rsidRPr="00654334" w:rsidRDefault="00DA563B" w:rsidP="005D29A4">
            <w:pPr>
              <w:keepNext/>
              <w:rPr>
                <w:rFonts w:ascii="Calibri" w:hAnsi="Calibri"/>
              </w:rPr>
            </w:pPr>
            <w:r w:rsidRPr="00654334">
              <w:rPr>
                <w:rFonts w:ascii="Calibri" w:hAnsi="Calibri"/>
              </w:rPr>
              <w:t>Networking the Nation through the Regional Telecommunications Infrastructure Fund</w:t>
            </w:r>
          </w:p>
        </w:tc>
        <w:tc>
          <w:tcPr>
            <w:tcW w:w="3549" w:type="dxa"/>
          </w:tcPr>
          <w:p w:rsidR="00DA563B" w:rsidRPr="00654334" w:rsidRDefault="00DA563B" w:rsidP="005D29A4">
            <w:pPr>
              <w:keepNext/>
              <w:rPr>
                <w:rFonts w:ascii="Calibri" w:hAnsi="Calibri"/>
              </w:rPr>
            </w:pPr>
            <w:r w:rsidRPr="00654334">
              <w:rPr>
                <w:rFonts w:ascii="Calibri" w:hAnsi="Calibri"/>
              </w:rPr>
              <w:t>Meet needs of regional, rural and remote Australia</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2001</w:t>
            </w:r>
          </w:p>
        </w:tc>
        <w:tc>
          <w:tcPr>
            <w:tcW w:w="1985" w:type="dxa"/>
          </w:tcPr>
          <w:p w:rsidR="00DA563B" w:rsidRPr="00654334" w:rsidRDefault="00DA563B" w:rsidP="005D29A4">
            <w:pPr>
              <w:keepNext/>
              <w:rPr>
                <w:rFonts w:ascii="Calibri" w:hAnsi="Calibri"/>
              </w:rPr>
            </w:pPr>
            <w:r>
              <w:rPr>
                <w:rFonts w:ascii="Calibri" w:hAnsi="Calibri"/>
              </w:rPr>
              <w:t>$150m</w:t>
            </w:r>
          </w:p>
        </w:tc>
        <w:tc>
          <w:tcPr>
            <w:tcW w:w="2655" w:type="dxa"/>
          </w:tcPr>
          <w:p w:rsidR="00DA563B" w:rsidRPr="00654334" w:rsidRDefault="00DA563B" w:rsidP="005D29A4">
            <w:pPr>
              <w:keepNext/>
              <w:rPr>
                <w:rFonts w:ascii="Calibri" w:hAnsi="Calibri"/>
              </w:rPr>
            </w:pPr>
            <w:r w:rsidRPr="00654334">
              <w:rPr>
                <w:rFonts w:ascii="Calibri" w:hAnsi="Calibri"/>
              </w:rPr>
              <w:t>Extended Zones</w:t>
            </w:r>
          </w:p>
        </w:tc>
        <w:tc>
          <w:tcPr>
            <w:tcW w:w="3549" w:type="dxa"/>
          </w:tcPr>
          <w:p w:rsidR="00DA563B" w:rsidRPr="00654334" w:rsidRDefault="00C15F39" w:rsidP="005D29A4">
            <w:pPr>
              <w:keepNext/>
              <w:rPr>
                <w:rFonts w:ascii="Calibri" w:hAnsi="Calibri"/>
              </w:rPr>
            </w:pPr>
            <w:r>
              <w:rPr>
                <w:rFonts w:ascii="Calibri" w:hAnsi="Calibri"/>
              </w:rPr>
              <w:t>Provided untimed local call access</w:t>
            </w:r>
            <w:r w:rsidR="00DA563B" w:rsidRPr="00654334">
              <w:rPr>
                <w:rFonts w:ascii="Calibri" w:hAnsi="Calibri"/>
              </w:rPr>
              <w:t xml:space="preserve">   </w:t>
            </w:r>
          </w:p>
        </w:tc>
      </w:tr>
      <w:tr w:rsidR="00DA563B" w:rsidRPr="00654334" w:rsidTr="00182D57">
        <w:trPr>
          <w:jc w:val="center"/>
        </w:trPr>
        <w:tc>
          <w:tcPr>
            <w:tcW w:w="817" w:type="dxa"/>
          </w:tcPr>
          <w:p w:rsidR="00DA563B" w:rsidRPr="00654334" w:rsidRDefault="00DA563B" w:rsidP="005D29A4">
            <w:pPr>
              <w:keepNext/>
              <w:rPr>
                <w:rFonts w:ascii="Calibri" w:hAnsi="Calibri"/>
              </w:rPr>
            </w:pPr>
          </w:p>
        </w:tc>
        <w:tc>
          <w:tcPr>
            <w:tcW w:w="1985" w:type="dxa"/>
          </w:tcPr>
          <w:p w:rsidR="00DA563B" w:rsidRPr="00654334" w:rsidRDefault="00DA563B" w:rsidP="005D29A4">
            <w:pPr>
              <w:keepNext/>
              <w:rPr>
                <w:rFonts w:ascii="Calibri" w:hAnsi="Calibri"/>
              </w:rPr>
            </w:pPr>
            <w:r w:rsidRPr="00654334">
              <w:rPr>
                <w:rFonts w:ascii="Calibri" w:hAnsi="Calibri"/>
              </w:rPr>
              <w:t>$46</w:t>
            </w:r>
            <w:r>
              <w:rPr>
                <w:rFonts w:ascii="Calibri" w:hAnsi="Calibri"/>
              </w:rPr>
              <w:t>m</w:t>
            </w:r>
          </w:p>
        </w:tc>
        <w:tc>
          <w:tcPr>
            <w:tcW w:w="2655" w:type="dxa"/>
          </w:tcPr>
          <w:p w:rsidR="00DA563B" w:rsidRPr="00654334" w:rsidRDefault="00DA563B" w:rsidP="005D29A4">
            <w:pPr>
              <w:keepNext/>
              <w:rPr>
                <w:rFonts w:ascii="Calibri" w:hAnsi="Calibri"/>
              </w:rPr>
            </w:pPr>
            <w:r w:rsidRPr="00654334">
              <w:rPr>
                <w:rFonts w:ascii="Calibri" w:hAnsi="Calibri"/>
              </w:rPr>
              <w:t>Digital Regions Initiative</w:t>
            </w:r>
          </w:p>
        </w:tc>
        <w:tc>
          <w:tcPr>
            <w:tcW w:w="3549" w:type="dxa"/>
          </w:tcPr>
          <w:p w:rsidR="00DA563B" w:rsidRPr="00654334" w:rsidRDefault="00DA563B" w:rsidP="005D29A4">
            <w:pPr>
              <w:keepNext/>
              <w:rPr>
                <w:rFonts w:ascii="Calibri" w:hAnsi="Calibri"/>
              </w:rPr>
            </w:pPr>
            <w:r w:rsidRPr="00654334">
              <w:rPr>
                <w:rFonts w:ascii="Calibri" w:hAnsi="Calibri"/>
              </w:rPr>
              <w:t xml:space="preserve">For health, education and emergency services </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2007</w:t>
            </w:r>
          </w:p>
        </w:tc>
        <w:tc>
          <w:tcPr>
            <w:tcW w:w="1985" w:type="dxa"/>
          </w:tcPr>
          <w:p w:rsidR="00DA563B" w:rsidRPr="00654334" w:rsidRDefault="00DA563B" w:rsidP="005D29A4">
            <w:pPr>
              <w:keepNext/>
              <w:rPr>
                <w:rFonts w:ascii="Calibri" w:hAnsi="Calibri"/>
              </w:rPr>
            </w:pPr>
            <w:r w:rsidRPr="00654334">
              <w:rPr>
                <w:rFonts w:ascii="Calibri" w:hAnsi="Calibri"/>
              </w:rPr>
              <w:t>$878</w:t>
            </w:r>
            <w:r>
              <w:rPr>
                <w:rFonts w:ascii="Calibri" w:hAnsi="Calibri"/>
              </w:rPr>
              <w:t>m</w:t>
            </w:r>
          </w:p>
        </w:tc>
        <w:tc>
          <w:tcPr>
            <w:tcW w:w="2655" w:type="dxa"/>
          </w:tcPr>
          <w:p w:rsidR="00DA563B" w:rsidRPr="00654334" w:rsidRDefault="00DA563B" w:rsidP="005D29A4">
            <w:pPr>
              <w:keepNext/>
              <w:rPr>
                <w:rFonts w:ascii="Calibri" w:hAnsi="Calibri"/>
              </w:rPr>
            </w:pPr>
            <w:r w:rsidRPr="00654334">
              <w:rPr>
                <w:rFonts w:ascii="Calibri" w:hAnsi="Calibri"/>
              </w:rPr>
              <w:t>Broadband Connect</w:t>
            </w:r>
          </w:p>
        </w:tc>
        <w:tc>
          <w:tcPr>
            <w:tcW w:w="3549" w:type="dxa"/>
          </w:tcPr>
          <w:p w:rsidR="00DA563B" w:rsidRPr="00654334" w:rsidRDefault="000A1827" w:rsidP="005D29A4">
            <w:pPr>
              <w:keepNext/>
              <w:rPr>
                <w:rFonts w:ascii="Calibri" w:hAnsi="Calibri"/>
              </w:rPr>
            </w:pPr>
            <w:r>
              <w:rPr>
                <w:rFonts w:ascii="Calibri" w:hAnsi="Calibri"/>
              </w:rPr>
              <w:t>OPEL ($600m; cancelled</w:t>
            </w:r>
            <w:r w:rsidR="00DA563B" w:rsidRPr="00654334">
              <w:rPr>
                <w:rFonts w:ascii="Calibri" w:hAnsi="Calibri"/>
              </w:rPr>
              <w:t>)</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2008</w:t>
            </w:r>
          </w:p>
        </w:tc>
        <w:tc>
          <w:tcPr>
            <w:tcW w:w="1985" w:type="dxa"/>
          </w:tcPr>
          <w:p w:rsidR="00DA563B" w:rsidRPr="00654334" w:rsidRDefault="00DA563B" w:rsidP="005D29A4">
            <w:pPr>
              <w:keepNext/>
              <w:rPr>
                <w:rFonts w:ascii="Calibri" w:hAnsi="Calibri"/>
              </w:rPr>
            </w:pPr>
            <w:r w:rsidRPr="00654334">
              <w:rPr>
                <w:rFonts w:ascii="Calibri" w:hAnsi="Calibri"/>
              </w:rPr>
              <w:t>$290</w:t>
            </w:r>
            <w:r>
              <w:rPr>
                <w:rFonts w:ascii="Calibri" w:hAnsi="Calibri"/>
              </w:rPr>
              <w:t>m</w:t>
            </w:r>
            <w:r w:rsidRPr="00654334">
              <w:rPr>
                <w:rFonts w:ascii="Calibri" w:hAnsi="Calibri"/>
              </w:rPr>
              <w:t xml:space="preserve"> over 4 years to 2012</w:t>
            </w:r>
          </w:p>
        </w:tc>
        <w:tc>
          <w:tcPr>
            <w:tcW w:w="2655" w:type="dxa"/>
          </w:tcPr>
          <w:p w:rsidR="00DA563B" w:rsidRPr="00654334" w:rsidRDefault="00DA563B" w:rsidP="005D29A4">
            <w:pPr>
              <w:keepNext/>
              <w:rPr>
                <w:rFonts w:ascii="Calibri" w:hAnsi="Calibri"/>
              </w:rPr>
            </w:pPr>
            <w:r w:rsidRPr="00654334">
              <w:rPr>
                <w:rFonts w:ascii="Calibri" w:hAnsi="Calibri"/>
              </w:rPr>
              <w:t xml:space="preserve">Australian Broadband Guarantee </w:t>
            </w:r>
          </w:p>
        </w:tc>
        <w:tc>
          <w:tcPr>
            <w:tcW w:w="3549" w:type="dxa"/>
          </w:tcPr>
          <w:p w:rsidR="00DA563B" w:rsidRPr="00654334" w:rsidRDefault="00DA563B" w:rsidP="005D29A4">
            <w:pPr>
              <w:keepNext/>
              <w:rPr>
                <w:rFonts w:ascii="Calibri" w:hAnsi="Calibri"/>
              </w:rPr>
            </w:pPr>
            <w:r w:rsidRPr="00654334">
              <w:rPr>
                <w:rFonts w:ascii="Calibri" w:hAnsi="Calibri"/>
              </w:rPr>
              <w:t>Provide a metro-comparable service to regions</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2009</w:t>
            </w:r>
          </w:p>
        </w:tc>
        <w:tc>
          <w:tcPr>
            <w:tcW w:w="1985" w:type="dxa"/>
          </w:tcPr>
          <w:p w:rsidR="00DA563B" w:rsidRPr="00654334" w:rsidRDefault="00DA563B" w:rsidP="005D29A4">
            <w:pPr>
              <w:keepNext/>
              <w:rPr>
                <w:rFonts w:ascii="Calibri" w:hAnsi="Calibri"/>
              </w:rPr>
            </w:pPr>
            <w:r w:rsidRPr="00654334">
              <w:rPr>
                <w:rFonts w:ascii="Calibri" w:hAnsi="Calibri"/>
              </w:rPr>
              <w:t>$3,000</w:t>
            </w:r>
            <w:r>
              <w:rPr>
                <w:rFonts w:ascii="Calibri" w:hAnsi="Calibri"/>
              </w:rPr>
              <w:t>m</w:t>
            </w:r>
            <w:r w:rsidRPr="00654334">
              <w:rPr>
                <w:rFonts w:ascii="Calibri" w:hAnsi="Calibri"/>
              </w:rPr>
              <w:t xml:space="preserve"> to FY2021</w:t>
            </w:r>
          </w:p>
        </w:tc>
        <w:tc>
          <w:tcPr>
            <w:tcW w:w="2655" w:type="dxa"/>
          </w:tcPr>
          <w:p w:rsidR="00DA563B" w:rsidRPr="00654334" w:rsidRDefault="00DA563B" w:rsidP="005D29A4">
            <w:pPr>
              <w:keepNext/>
              <w:rPr>
                <w:rFonts w:ascii="Calibri" w:hAnsi="Calibri"/>
              </w:rPr>
            </w:pPr>
            <w:r w:rsidRPr="00654334">
              <w:rPr>
                <w:rFonts w:ascii="Calibri" w:hAnsi="Calibri"/>
              </w:rPr>
              <w:t xml:space="preserve">Satellite and fixed wireless in NBN </w:t>
            </w:r>
          </w:p>
        </w:tc>
        <w:tc>
          <w:tcPr>
            <w:tcW w:w="3549" w:type="dxa"/>
          </w:tcPr>
          <w:p w:rsidR="00DA563B" w:rsidRPr="00654334" w:rsidRDefault="004C0479" w:rsidP="005D29A4">
            <w:pPr>
              <w:keepNext/>
              <w:rPr>
                <w:rFonts w:ascii="Calibri" w:hAnsi="Calibri"/>
              </w:rPr>
            </w:pPr>
            <w:r>
              <w:rPr>
                <w:rFonts w:ascii="Calibri" w:hAnsi="Calibri"/>
              </w:rPr>
              <w:t>To serve the last 7</w:t>
            </w:r>
            <w:r w:rsidR="00DA563B" w:rsidRPr="00654334">
              <w:rPr>
                <w:rFonts w:ascii="Calibri" w:hAnsi="Calibri"/>
              </w:rPr>
              <w:t>% of all premises</w:t>
            </w: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2009</w:t>
            </w:r>
          </w:p>
        </w:tc>
        <w:tc>
          <w:tcPr>
            <w:tcW w:w="1985" w:type="dxa"/>
          </w:tcPr>
          <w:p w:rsidR="00DA563B" w:rsidRPr="00654334" w:rsidRDefault="00DA563B" w:rsidP="005D29A4">
            <w:pPr>
              <w:keepNext/>
              <w:rPr>
                <w:rFonts w:ascii="Calibri" w:hAnsi="Calibri"/>
              </w:rPr>
            </w:pPr>
            <w:r w:rsidRPr="00654334">
              <w:rPr>
                <w:rFonts w:ascii="Calibri" w:hAnsi="Calibri"/>
              </w:rPr>
              <w:t>$250</w:t>
            </w:r>
            <w:r>
              <w:rPr>
                <w:rFonts w:ascii="Calibri" w:hAnsi="Calibri"/>
              </w:rPr>
              <w:t>m</w:t>
            </w:r>
          </w:p>
        </w:tc>
        <w:tc>
          <w:tcPr>
            <w:tcW w:w="2655" w:type="dxa"/>
          </w:tcPr>
          <w:p w:rsidR="00DA563B" w:rsidRPr="00654334" w:rsidRDefault="00DA563B" w:rsidP="005D29A4">
            <w:pPr>
              <w:keepNext/>
              <w:rPr>
                <w:rFonts w:ascii="Calibri" w:hAnsi="Calibri"/>
              </w:rPr>
            </w:pPr>
            <w:r w:rsidRPr="00654334">
              <w:rPr>
                <w:rFonts w:ascii="Calibri" w:hAnsi="Calibri"/>
              </w:rPr>
              <w:t xml:space="preserve">Regional Backbone </w:t>
            </w:r>
            <w:proofErr w:type="spellStart"/>
            <w:r w:rsidRPr="00654334">
              <w:rPr>
                <w:rFonts w:ascii="Calibri" w:hAnsi="Calibri"/>
              </w:rPr>
              <w:t>Blackspots</w:t>
            </w:r>
            <w:proofErr w:type="spellEnd"/>
          </w:p>
        </w:tc>
        <w:tc>
          <w:tcPr>
            <w:tcW w:w="3549" w:type="dxa"/>
          </w:tcPr>
          <w:p w:rsidR="00DA563B" w:rsidRPr="00654334" w:rsidRDefault="00DA563B" w:rsidP="005D29A4">
            <w:pPr>
              <w:keepNext/>
              <w:rPr>
                <w:rFonts w:ascii="Calibri" w:hAnsi="Calibri"/>
              </w:rPr>
            </w:pPr>
            <w:r w:rsidRPr="00654334">
              <w:rPr>
                <w:rFonts w:ascii="Calibri" w:hAnsi="Calibri"/>
              </w:rPr>
              <w:t>Improve backhaul</w:t>
            </w:r>
          </w:p>
        </w:tc>
      </w:tr>
      <w:tr w:rsidR="005D29A4" w:rsidRPr="00654334" w:rsidTr="00182D57">
        <w:trPr>
          <w:jc w:val="center"/>
        </w:trPr>
        <w:tc>
          <w:tcPr>
            <w:tcW w:w="817" w:type="dxa"/>
          </w:tcPr>
          <w:p w:rsidR="005D29A4" w:rsidRDefault="005D29A4" w:rsidP="005D29A4">
            <w:pPr>
              <w:keepNext/>
              <w:rPr>
                <w:rFonts w:ascii="Calibri" w:hAnsi="Calibri"/>
              </w:rPr>
            </w:pPr>
            <w:r>
              <w:rPr>
                <w:rFonts w:ascii="Calibri" w:hAnsi="Calibri"/>
              </w:rPr>
              <w:t>2012</w:t>
            </w:r>
          </w:p>
          <w:p w:rsidR="005D29A4" w:rsidRDefault="005D29A4" w:rsidP="005D29A4">
            <w:pPr>
              <w:keepNext/>
              <w:rPr>
                <w:rFonts w:ascii="Calibri" w:hAnsi="Calibri"/>
              </w:rPr>
            </w:pPr>
          </w:p>
        </w:tc>
        <w:tc>
          <w:tcPr>
            <w:tcW w:w="1985" w:type="dxa"/>
          </w:tcPr>
          <w:p w:rsidR="005D29A4" w:rsidRDefault="005D29A4" w:rsidP="005D29A4">
            <w:pPr>
              <w:keepNext/>
              <w:rPr>
                <w:rFonts w:ascii="Calibri" w:hAnsi="Calibri"/>
              </w:rPr>
            </w:pPr>
            <w:r>
              <w:rPr>
                <w:rFonts w:ascii="Calibri" w:hAnsi="Calibri"/>
              </w:rPr>
              <w:t>$253m pa</w:t>
            </w:r>
          </w:p>
          <w:p w:rsidR="005D29A4" w:rsidRDefault="005D29A4" w:rsidP="005D29A4">
            <w:pPr>
              <w:keepNext/>
              <w:rPr>
                <w:rFonts w:ascii="Calibri" w:hAnsi="Calibri"/>
              </w:rPr>
            </w:pPr>
          </w:p>
        </w:tc>
        <w:tc>
          <w:tcPr>
            <w:tcW w:w="2655" w:type="dxa"/>
          </w:tcPr>
          <w:p w:rsidR="005D29A4" w:rsidRDefault="005D29A4" w:rsidP="005D29A4">
            <w:pPr>
              <w:keepNext/>
              <w:rPr>
                <w:rFonts w:ascii="Calibri" w:hAnsi="Calibri"/>
              </w:rPr>
            </w:pPr>
            <w:r>
              <w:rPr>
                <w:rFonts w:ascii="Calibri" w:hAnsi="Calibri"/>
              </w:rPr>
              <w:t>USO</w:t>
            </w:r>
          </w:p>
        </w:tc>
        <w:tc>
          <w:tcPr>
            <w:tcW w:w="3549" w:type="dxa"/>
          </w:tcPr>
          <w:p w:rsidR="005D29A4" w:rsidRDefault="005D29A4" w:rsidP="005D29A4">
            <w:pPr>
              <w:keepNext/>
              <w:rPr>
                <w:rFonts w:ascii="Calibri" w:hAnsi="Calibri"/>
                <w:lang w:val="en-GB"/>
              </w:rPr>
            </w:pPr>
            <w:r>
              <w:rPr>
                <w:rFonts w:ascii="Calibri" w:hAnsi="Calibri"/>
                <w:lang w:val="en-GB"/>
              </w:rPr>
              <w:t>TUSMA</w:t>
            </w:r>
            <w:r>
              <w:rPr>
                <w:rStyle w:val="FootnoteReference"/>
                <w:rFonts w:ascii="Calibri" w:hAnsi="Calibri"/>
                <w:lang w:val="en-GB"/>
              </w:rPr>
              <w:footnoteReference w:id="13"/>
            </w:r>
            <w:r>
              <w:rPr>
                <w:rFonts w:ascii="Calibri" w:hAnsi="Calibri"/>
                <w:lang w:val="en-GB"/>
              </w:rPr>
              <w:t xml:space="preserve"> contract with Telstra</w:t>
            </w:r>
          </w:p>
          <w:p w:rsidR="005D29A4" w:rsidRDefault="005D29A4" w:rsidP="005D29A4">
            <w:pPr>
              <w:keepNext/>
              <w:rPr>
                <w:rFonts w:ascii="Calibri" w:hAnsi="Calibri"/>
                <w:lang w:val="en-GB"/>
              </w:rPr>
            </w:pPr>
          </w:p>
        </w:tc>
      </w:tr>
      <w:tr w:rsidR="00DA563B" w:rsidRPr="00654334" w:rsidTr="00182D57">
        <w:trPr>
          <w:jc w:val="center"/>
        </w:trPr>
        <w:tc>
          <w:tcPr>
            <w:tcW w:w="817" w:type="dxa"/>
          </w:tcPr>
          <w:p w:rsidR="00DA563B" w:rsidRPr="00654334" w:rsidRDefault="00DA563B" w:rsidP="005D29A4">
            <w:pPr>
              <w:keepNext/>
              <w:rPr>
                <w:rFonts w:ascii="Calibri" w:hAnsi="Calibri"/>
              </w:rPr>
            </w:pPr>
            <w:r w:rsidRPr="00654334">
              <w:rPr>
                <w:rFonts w:ascii="Calibri" w:hAnsi="Calibri"/>
              </w:rPr>
              <w:t>2014</w:t>
            </w:r>
          </w:p>
        </w:tc>
        <w:tc>
          <w:tcPr>
            <w:tcW w:w="1985" w:type="dxa"/>
          </w:tcPr>
          <w:p w:rsidR="00DA563B" w:rsidRPr="00654334" w:rsidRDefault="00DA563B" w:rsidP="005D29A4">
            <w:pPr>
              <w:keepNext/>
              <w:rPr>
                <w:rFonts w:ascii="Calibri" w:hAnsi="Calibri"/>
              </w:rPr>
            </w:pPr>
            <w:r w:rsidRPr="00654334">
              <w:rPr>
                <w:rFonts w:ascii="Calibri" w:hAnsi="Calibri"/>
              </w:rPr>
              <w:t>$100</w:t>
            </w:r>
            <w:r>
              <w:rPr>
                <w:rFonts w:ascii="Calibri" w:hAnsi="Calibri"/>
              </w:rPr>
              <w:t>m (</w:t>
            </w:r>
            <w:proofErr w:type="spellStart"/>
            <w:r>
              <w:rPr>
                <w:rFonts w:ascii="Calibri" w:hAnsi="Calibri"/>
              </w:rPr>
              <w:t>app</w:t>
            </w:r>
            <w:r w:rsidR="00C350B6">
              <w:rPr>
                <w:rFonts w:ascii="Calibri" w:hAnsi="Calibri"/>
              </w:rPr>
              <w:t>ro</w:t>
            </w:r>
            <w:r>
              <w:rPr>
                <w:rFonts w:ascii="Calibri" w:hAnsi="Calibri"/>
              </w:rPr>
              <w:t>x</w:t>
            </w:r>
            <w:proofErr w:type="spellEnd"/>
            <w:r>
              <w:rPr>
                <w:rFonts w:ascii="Calibri" w:hAnsi="Calibri"/>
              </w:rPr>
              <w:t xml:space="preserve"> $400m with co-contributions)</w:t>
            </w:r>
          </w:p>
        </w:tc>
        <w:tc>
          <w:tcPr>
            <w:tcW w:w="2655" w:type="dxa"/>
          </w:tcPr>
          <w:p w:rsidR="00DA563B" w:rsidRPr="00654334" w:rsidRDefault="00DA563B" w:rsidP="005D29A4">
            <w:pPr>
              <w:keepNext/>
              <w:rPr>
                <w:rFonts w:ascii="Calibri" w:hAnsi="Calibri"/>
              </w:rPr>
            </w:pPr>
            <w:r w:rsidRPr="00654334">
              <w:rPr>
                <w:rFonts w:ascii="Calibri" w:hAnsi="Calibri"/>
              </w:rPr>
              <w:t xml:space="preserve">Mobile </w:t>
            </w:r>
            <w:proofErr w:type="spellStart"/>
            <w:r w:rsidRPr="00654334">
              <w:rPr>
                <w:rFonts w:ascii="Calibri" w:hAnsi="Calibri"/>
              </w:rPr>
              <w:t>Blackspots</w:t>
            </w:r>
            <w:proofErr w:type="spellEnd"/>
          </w:p>
        </w:tc>
        <w:tc>
          <w:tcPr>
            <w:tcW w:w="3549" w:type="dxa"/>
          </w:tcPr>
          <w:p w:rsidR="00DA563B" w:rsidRPr="00A31C3E" w:rsidRDefault="00DA563B" w:rsidP="005D29A4">
            <w:pPr>
              <w:keepNext/>
              <w:rPr>
                <w:rFonts w:ascii="Calibri" w:hAnsi="Calibri"/>
                <w:lang w:val="en-GB"/>
              </w:rPr>
            </w:pPr>
            <w:r>
              <w:rPr>
                <w:rFonts w:ascii="Calibri" w:hAnsi="Calibri"/>
                <w:lang w:val="en-GB"/>
              </w:rPr>
              <w:t xml:space="preserve">Awarded to Telstra and Vodafone </w:t>
            </w:r>
          </w:p>
        </w:tc>
      </w:tr>
      <w:tr w:rsidR="00DA563B" w:rsidRPr="00654334" w:rsidTr="00182D57">
        <w:trPr>
          <w:jc w:val="center"/>
        </w:trPr>
        <w:tc>
          <w:tcPr>
            <w:tcW w:w="817" w:type="dxa"/>
          </w:tcPr>
          <w:p w:rsidR="00DA563B" w:rsidRPr="00654334" w:rsidRDefault="00DA563B" w:rsidP="00366F0C">
            <w:pPr>
              <w:rPr>
                <w:rFonts w:ascii="Calibri" w:hAnsi="Calibri"/>
              </w:rPr>
            </w:pPr>
            <w:r>
              <w:rPr>
                <w:rFonts w:ascii="Calibri" w:hAnsi="Calibri"/>
              </w:rPr>
              <w:t>2015</w:t>
            </w:r>
          </w:p>
        </w:tc>
        <w:tc>
          <w:tcPr>
            <w:tcW w:w="1985" w:type="dxa"/>
          </w:tcPr>
          <w:p w:rsidR="00DA563B" w:rsidRPr="00654334" w:rsidRDefault="00DA563B" w:rsidP="00366F0C">
            <w:pPr>
              <w:rPr>
                <w:rFonts w:ascii="Calibri" w:hAnsi="Calibri"/>
              </w:rPr>
            </w:pPr>
            <w:r>
              <w:rPr>
                <w:rFonts w:ascii="Calibri" w:hAnsi="Calibri"/>
              </w:rPr>
              <w:t xml:space="preserve">$60m </w:t>
            </w:r>
          </w:p>
        </w:tc>
        <w:tc>
          <w:tcPr>
            <w:tcW w:w="2655" w:type="dxa"/>
          </w:tcPr>
          <w:p w:rsidR="00DA563B" w:rsidRPr="00C350B6" w:rsidRDefault="00DA563B" w:rsidP="00366F0C">
            <w:pPr>
              <w:rPr>
                <w:rFonts w:ascii="Calibri" w:hAnsi="Calibri"/>
              </w:rPr>
            </w:pPr>
            <w:r w:rsidRPr="00C350B6">
              <w:rPr>
                <w:rFonts w:ascii="Calibri" w:hAnsi="Calibri"/>
              </w:rPr>
              <w:t xml:space="preserve">Next round of Mobile </w:t>
            </w:r>
            <w:proofErr w:type="spellStart"/>
            <w:r w:rsidRPr="00C350B6">
              <w:rPr>
                <w:rFonts w:ascii="Calibri" w:hAnsi="Calibri"/>
              </w:rPr>
              <w:t>Blackspots</w:t>
            </w:r>
            <w:proofErr w:type="spellEnd"/>
          </w:p>
        </w:tc>
        <w:tc>
          <w:tcPr>
            <w:tcW w:w="3549" w:type="dxa"/>
          </w:tcPr>
          <w:p w:rsidR="00DA563B" w:rsidRDefault="00DA563B" w:rsidP="00366F0C">
            <w:pPr>
              <w:rPr>
                <w:rFonts w:ascii="Calibri" w:hAnsi="Calibri"/>
                <w:lang w:val="en-GB"/>
              </w:rPr>
            </w:pPr>
            <w:r>
              <w:rPr>
                <w:rFonts w:ascii="Calibri" w:hAnsi="Calibri"/>
                <w:lang w:val="en-GB"/>
              </w:rPr>
              <w:t>Announced May 2015</w:t>
            </w:r>
          </w:p>
        </w:tc>
      </w:tr>
    </w:tbl>
    <w:p w:rsidR="00DA563B" w:rsidRPr="00654334" w:rsidRDefault="00DA563B" w:rsidP="00AF0CD8">
      <w:pPr>
        <w:rPr>
          <w:rFonts w:ascii="Calibri" w:hAnsi="Calibri"/>
        </w:rPr>
      </w:pPr>
      <w:r>
        <w:rPr>
          <w:rFonts w:ascii="Calibri" w:hAnsi="Calibri"/>
        </w:rPr>
        <w:t>Source: Author</w:t>
      </w:r>
      <w:r w:rsidR="00C350B6">
        <w:rPr>
          <w:rFonts w:ascii="Calibri" w:hAnsi="Calibri"/>
        </w:rPr>
        <w:t>,</w:t>
      </w:r>
      <w:r>
        <w:rPr>
          <w:rFonts w:ascii="Calibri" w:hAnsi="Calibri"/>
        </w:rPr>
        <w:t xml:space="preserve"> from government sites.</w:t>
      </w:r>
    </w:p>
    <w:p w:rsidR="00DA563B" w:rsidRDefault="00DA563B" w:rsidP="006A67ED">
      <w:pPr>
        <w:rPr>
          <w:rFonts w:ascii="Calibri" w:hAnsi="Calibri"/>
          <w:szCs w:val="22"/>
        </w:rPr>
      </w:pPr>
      <w:r w:rsidRPr="00921873">
        <w:rPr>
          <w:rFonts w:ascii="Calibri" w:hAnsi="Calibri"/>
          <w:szCs w:val="22"/>
        </w:rPr>
        <w:t xml:space="preserve">The coverage of the NBN’s fixed network is </w:t>
      </w:r>
      <w:r>
        <w:rPr>
          <w:rFonts w:ascii="Calibri" w:hAnsi="Calibri"/>
          <w:szCs w:val="22"/>
        </w:rPr>
        <w:t xml:space="preserve">93% of premises, which is </w:t>
      </w:r>
      <w:r w:rsidRPr="00921873">
        <w:rPr>
          <w:rFonts w:ascii="Calibri" w:hAnsi="Calibri"/>
          <w:szCs w:val="22"/>
        </w:rPr>
        <w:t>less than Telstra’s copper network</w:t>
      </w:r>
      <w:r w:rsidR="00C350B6">
        <w:rPr>
          <w:rFonts w:ascii="Calibri" w:hAnsi="Calibri"/>
          <w:szCs w:val="22"/>
        </w:rPr>
        <w:t>. T</w:t>
      </w:r>
      <w:r>
        <w:rPr>
          <w:rFonts w:ascii="Calibri" w:hAnsi="Calibri"/>
          <w:szCs w:val="22"/>
        </w:rPr>
        <w:t xml:space="preserve">he </w:t>
      </w:r>
      <w:r w:rsidRPr="00FB341F">
        <w:rPr>
          <w:rFonts w:ascii="Calibri" w:hAnsi="Calibri"/>
          <w:bCs/>
          <w:szCs w:val="22"/>
        </w:rPr>
        <w:t>May 2010</w:t>
      </w:r>
      <w:r>
        <w:rPr>
          <w:rFonts w:ascii="Calibri" w:hAnsi="Calibri"/>
          <w:bCs/>
          <w:szCs w:val="22"/>
        </w:rPr>
        <w:t xml:space="preserve"> NBN Implementation Study </w:t>
      </w:r>
      <w:r w:rsidRPr="00FB341F">
        <w:rPr>
          <w:rFonts w:ascii="Calibri" w:hAnsi="Calibri"/>
          <w:bCs/>
          <w:szCs w:val="22"/>
        </w:rPr>
        <w:t>found that “</w:t>
      </w:r>
      <w:r w:rsidRPr="00FB341F">
        <w:rPr>
          <w:rFonts w:ascii="Calibri" w:hAnsi="Calibri"/>
          <w:bCs/>
          <w:i/>
          <w:szCs w:val="22"/>
        </w:rPr>
        <w:t xml:space="preserve">99.75 percent of all premises are </w:t>
      </w:r>
      <w:r w:rsidRPr="00FB341F">
        <w:rPr>
          <w:rFonts w:ascii="Calibri" w:hAnsi="Calibri"/>
          <w:bCs/>
          <w:i/>
          <w:szCs w:val="22"/>
        </w:rPr>
        <w:lastRenderedPageBreak/>
        <w:t>capable of receiving voice over Telstra’s copper network, with low latency and high availability providing a high quality of service</w:t>
      </w:r>
      <w:r w:rsidRPr="00FB341F">
        <w:rPr>
          <w:rFonts w:ascii="Calibri" w:hAnsi="Calibri"/>
          <w:bCs/>
          <w:szCs w:val="22"/>
        </w:rPr>
        <w:t>” (p319) while “</w:t>
      </w:r>
      <w:r w:rsidRPr="00FB341F">
        <w:rPr>
          <w:rFonts w:ascii="Calibri" w:hAnsi="Calibri"/>
          <w:bCs/>
          <w:i/>
          <w:szCs w:val="22"/>
        </w:rPr>
        <w:t>A number of premises</w:t>
      </w:r>
      <w:r w:rsidRPr="00FB341F">
        <w:rPr>
          <w:rFonts w:ascii="Calibri" w:hAnsi="Calibri"/>
          <w:bCs/>
          <w:szCs w:val="22"/>
        </w:rPr>
        <w:t xml:space="preserve"> </w:t>
      </w:r>
      <w:r w:rsidRPr="00FB341F">
        <w:rPr>
          <w:rFonts w:ascii="Calibri" w:hAnsi="Calibri"/>
          <w:bCs/>
          <w:i/>
          <w:szCs w:val="22"/>
        </w:rPr>
        <w:t>that today receive copper-based voice services will, however, be unable to receive mobile voice services</w:t>
      </w:r>
      <w:r w:rsidRPr="00FB341F">
        <w:rPr>
          <w:rFonts w:ascii="Calibri" w:hAnsi="Calibri"/>
          <w:bCs/>
          <w:szCs w:val="22"/>
        </w:rPr>
        <w:t>”</w:t>
      </w:r>
      <w:r>
        <w:rPr>
          <w:rFonts w:ascii="Calibri" w:hAnsi="Calibri"/>
          <w:bCs/>
          <w:szCs w:val="22"/>
        </w:rPr>
        <w:t xml:space="preserve">. This </w:t>
      </w:r>
      <w:r w:rsidRPr="00921873">
        <w:rPr>
          <w:rFonts w:ascii="Calibri" w:hAnsi="Calibri"/>
          <w:szCs w:val="22"/>
        </w:rPr>
        <w:t xml:space="preserve">is why Telstra has a contract to maintain and operate that part of its network </w:t>
      </w:r>
      <w:r>
        <w:rPr>
          <w:rFonts w:ascii="Calibri" w:hAnsi="Calibri"/>
          <w:szCs w:val="22"/>
        </w:rPr>
        <w:t>which</w:t>
      </w:r>
      <w:r w:rsidRPr="00921873">
        <w:rPr>
          <w:rFonts w:ascii="Calibri" w:hAnsi="Calibri"/>
          <w:szCs w:val="22"/>
        </w:rPr>
        <w:t xml:space="preserve"> falls outside the NBN’s fixed footprint until 2032.</w:t>
      </w:r>
      <w:r w:rsidR="00C15F39">
        <w:rPr>
          <w:rFonts w:ascii="Calibri" w:hAnsi="Calibri"/>
          <w:szCs w:val="22"/>
        </w:rPr>
        <w:t xml:space="preserve"> The mid-term review should consider what happens to any remaining customers after that time.</w:t>
      </w:r>
    </w:p>
    <w:p w:rsidR="00DA563B" w:rsidRPr="009B7F1A" w:rsidRDefault="00DA563B" w:rsidP="00241E4A">
      <w:pPr>
        <w:rPr>
          <w:rFonts w:ascii="Calibri" w:hAnsi="Calibri"/>
          <w:szCs w:val="22"/>
        </w:rPr>
      </w:pPr>
      <w:r w:rsidRPr="00921873">
        <w:rPr>
          <w:rFonts w:ascii="Calibri" w:hAnsi="Calibri"/>
          <w:szCs w:val="22"/>
        </w:rPr>
        <w:t>Given consumer preference for mobiles</w:t>
      </w:r>
      <w:r w:rsidRPr="009B7F1A">
        <w:rPr>
          <w:rFonts w:ascii="Calibri" w:hAnsi="Calibri"/>
          <w:szCs w:val="22"/>
        </w:rPr>
        <w:t>, a key question is how far mobile coverage overlaps the NBN’s footprint; including the remains of the copper network that Telstra has been contracted to maintain and operate.</w:t>
      </w:r>
    </w:p>
    <w:p w:rsidR="00DA563B" w:rsidRPr="00921873" w:rsidRDefault="00DA563B" w:rsidP="00457A09">
      <w:pPr>
        <w:rPr>
          <w:rFonts w:ascii="Calibri" w:hAnsi="Calibri"/>
          <w:szCs w:val="22"/>
        </w:rPr>
      </w:pPr>
      <w:r w:rsidRPr="00921873">
        <w:rPr>
          <w:rFonts w:ascii="Calibri" w:hAnsi="Calibri"/>
          <w:szCs w:val="22"/>
          <w:lang w:val="en-GB"/>
        </w:rPr>
        <w:t>The Regional Telecommunications Review says “</w:t>
      </w:r>
      <w:r w:rsidRPr="00921873">
        <w:rPr>
          <w:rFonts w:ascii="Calibri" w:hAnsi="Calibri"/>
          <w:i/>
          <w:szCs w:val="22"/>
          <w:lang w:val="en-GB"/>
        </w:rPr>
        <w:t>It is estimated that non-metropolitan coverage of 3G stands at approximately 98 or 99 per cent</w:t>
      </w:r>
      <w:r w:rsidRPr="00921873">
        <w:rPr>
          <w:rStyle w:val="FootnoteReference"/>
          <w:rFonts w:ascii="Calibri" w:hAnsi="Calibri"/>
          <w:i/>
          <w:szCs w:val="22"/>
          <w:lang w:val="en-GB"/>
        </w:rPr>
        <w:footnoteReference w:id="14"/>
      </w:r>
      <w:r w:rsidRPr="00921873">
        <w:rPr>
          <w:rFonts w:ascii="Calibri" w:hAnsi="Calibri"/>
          <w:i/>
          <w:szCs w:val="22"/>
          <w:lang w:val="en-GB"/>
        </w:rPr>
        <w:t xml:space="preserve"> of the population (depending upon the carrier) to 100 per cent urban coverage (but)… around 70 per cent of Australia’s land mass</w:t>
      </w:r>
      <w:r w:rsidRPr="00921873">
        <w:rPr>
          <w:rStyle w:val="FootnoteReference"/>
          <w:rFonts w:ascii="Calibri" w:hAnsi="Calibri"/>
          <w:i/>
          <w:szCs w:val="22"/>
          <w:lang w:val="en-GB"/>
        </w:rPr>
        <w:footnoteReference w:id="15"/>
      </w:r>
      <w:r w:rsidRPr="00921873">
        <w:rPr>
          <w:rFonts w:ascii="Calibri" w:hAnsi="Calibri"/>
          <w:i/>
          <w:szCs w:val="22"/>
          <w:lang w:val="en-GB"/>
        </w:rPr>
        <w:t xml:space="preserve"> has no coverage</w:t>
      </w:r>
      <w:r w:rsidRPr="00921873">
        <w:rPr>
          <w:rFonts w:ascii="Calibri" w:hAnsi="Calibri"/>
          <w:szCs w:val="22"/>
          <w:lang w:val="en-GB"/>
        </w:rPr>
        <w:t>”.</w:t>
      </w:r>
      <w:r w:rsidRPr="00921873">
        <w:rPr>
          <w:rFonts w:ascii="Calibri" w:hAnsi="Calibri"/>
          <w:szCs w:val="22"/>
        </w:rPr>
        <w:t xml:space="preserve"> </w:t>
      </w:r>
    </w:p>
    <w:p w:rsidR="00DA563B" w:rsidRPr="006A67ED" w:rsidRDefault="00DA563B" w:rsidP="006A67ED">
      <w:r w:rsidRPr="00921873">
        <w:rPr>
          <w:rFonts w:ascii="Calibri" w:hAnsi="Calibri"/>
          <w:szCs w:val="22"/>
        </w:rPr>
        <w:t xml:space="preserve">The estimates above are higher than those in the last comprehensive coverage analysis, the December 2013 Broadband Availability and Quality </w:t>
      </w:r>
      <w:hyperlink r:id="rId28" w:history="1">
        <w:r w:rsidRPr="00921873">
          <w:rPr>
            <w:rStyle w:val="Hyperlink"/>
            <w:rFonts w:ascii="Calibri" w:hAnsi="Calibri"/>
            <w:szCs w:val="22"/>
          </w:rPr>
          <w:t>Report</w:t>
        </w:r>
      </w:hyperlink>
      <w:r w:rsidRPr="00921873">
        <w:rPr>
          <w:rFonts w:ascii="Calibri" w:hAnsi="Calibri"/>
          <w:szCs w:val="22"/>
        </w:rPr>
        <w:t>,  which found “</w:t>
      </w:r>
      <w:r w:rsidRPr="00921873">
        <w:rPr>
          <w:rFonts w:ascii="Calibri" w:hAnsi="Calibri"/>
          <w:i/>
          <w:szCs w:val="22"/>
        </w:rPr>
        <w:t>Approximately 8.8 million premises (81 per cent) have access to 3G mobile broadband services and about 6.4 million premises (59 per cent) have access to 4G services.”</w:t>
      </w:r>
      <w:r w:rsidRPr="00921873">
        <w:rPr>
          <w:rFonts w:ascii="Calibri" w:hAnsi="Calibri"/>
          <w:szCs w:val="22"/>
        </w:rPr>
        <w:t xml:space="preserve"> However, that estimate was based on October 2013 data</w:t>
      </w:r>
      <w:r w:rsidR="0030386D">
        <w:rPr>
          <w:rFonts w:ascii="Calibri" w:hAnsi="Calibri"/>
          <w:szCs w:val="22"/>
        </w:rPr>
        <w:t>,</w:t>
      </w:r>
      <w:r w:rsidR="00C350B6">
        <w:rPr>
          <w:rFonts w:ascii="Calibri" w:hAnsi="Calibri"/>
          <w:szCs w:val="22"/>
        </w:rPr>
        <w:t xml:space="preserve"> </w:t>
      </w:r>
      <w:r w:rsidRPr="00921873">
        <w:rPr>
          <w:rFonts w:ascii="Calibri" w:hAnsi="Calibri"/>
          <w:szCs w:val="22"/>
        </w:rPr>
        <w:t xml:space="preserve">before Telstra </w:t>
      </w:r>
      <w:r w:rsidR="00C15F39">
        <w:rPr>
          <w:rFonts w:ascii="Calibri" w:hAnsi="Calibri"/>
          <w:szCs w:val="22"/>
        </w:rPr>
        <w:t xml:space="preserve">announced it would </w:t>
      </w:r>
      <w:r w:rsidRPr="00921873">
        <w:rPr>
          <w:rFonts w:ascii="Calibri" w:hAnsi="Calibri"/>
          <w:szCs w:val="22"/>
        </w:rPr>
        <w:t xml:space="preserve">extend its 4G coverage to 95% of the population and before the nearly $400m Mobile </w:t>
      </w:r>
      <w:proofErr w:type="spellStart"/>
      <w:r w:rsidRPr="00921873">
        <w:rPr>
          <w:rFonts w:ascii="Calibri" w:hAnsi="Calibri"/>
          <w:szCs w:val="22"/>
        </w:rPr>
        <w:t>Blackspots</w:t>
      </w:r>
      <w:proofErr w:type="spellEnd"/>
      <w:r w:rsidRPr="00921873">
        <w:rPr>
          <w:rFonts w:ascii="Calibri" w:hAnsi="Calibri"/>
          <w:szCs w:val="22"/>
        </w:rPr>
        <w:t xml:space="preserve"> Programme</w:t>
      </w:r>
      <w:r w:rsidR="00C15F39">
        <w:rPr>
          <w:rFonts w:ascii="Calibri" w:hAnsi="Calibri"/>
          <w:szCs w:val="22"/>
        </w:rPr>
        <w:t xml:space="preserve"> was</w:t>
      </w:r>
      <w:r w:rsidRPr="00921873">
        <w:rPr>
          <w:rFonts w:ascii="Calibri" w:hAnsi="Calibri"/>
          <w:szCs w:val="22"/>
        </w:rPr>
        <w:t xml:space="preserve"> </w:t>
      </w:r>
      <w:hyperlink r:id="rId29" w:anchor=".VaNDOka50sK" w:history="1">
        <w:r w:rsidRPr="00921873">
          <w:rPr>
            <w:rStyle w:val="Hyperlink"/>
            <w:rFonts w:ascii="Calibri" w:hAnsi="Calibri"/>
            <w:szCs w:val="22"/>
          </w:rPr>
          <w:t>announced</w:t>
        </w:r>
      </w:hyperlink>
      <w:r w:rsidRPr="00921873">
        <w:rPr>
          <w:rFonts w:ascii="Calibri" w:hAnsi="Calibri"/>
          <w:szCs w:val="22"/>
        </w:rPr>
        <w:t xml:space="preserve"> in June 2015 covering </w:t>
      </w:r>
      <w:r w:rsidR="00BE7CB6">
        <w:rPr>
          <w:rFonts w:ascii="Calibri" w:hAnsi="Calibri"/>
          <w:szCs w:val="22"/>
        </w:rPr>
        <w:t xml:space="preserve">an extra </w:t>
      </w:r>
      <w:r w:rsidRPr="00921873">
        <w:rPr>
          <w:rFonts w:ascii="Calibri" w:hAnsi="Calibri"/>
          <w:szCs w:val="22"/>
        </w:rPr>
        <w:t>150,000 sq</w:t>
      </w:r>
      <w:r w:rsidR="00C15F39">
        <w:rPr>
          <w:rFonts w:ascii="Calibri" w:hAnsi="Calibri"/>
          <w:szCs w:val="22"/>
        </w:rPr>
        <w:t>.</w:t>
      </w:r>
      <w:r w:rsidRPr="00921873">
        <w:rPr>
          <w:rFonts w:ascii="Calibri" w:hAnsi="Calibri"/>
          <w:szCs w:val="22"/>
        </w:rPr>
        <w:t xml:space="preserve"> km.</w:t>
      </w:r>
      <w:r>
        <w:t xml:space="preserve"> </w:t>
      </w:r>
    </w:p>
    <w:p w:rsidR="00BB06DD" w:rsidRDefault="00AB0B94" w:rsidP="00692756">
      <w:pPr>
        <w:rPr>
          <w:rFonts w:ascii="Calibri" w:hAnsi="Calibri"/>
          <w:szCs w:val="22"/>
          <w:lang w:val="en-GB"/>
        </w:rPr>
      </w:pPr>
      <w:r>
        <w:rPr>
          <w:rFonts w:ascii="Calibri" w:hAnsi="Calibri"/>
          <w:szCs w:val="22"/>
        </w:rPr>
        <w:t>The last 7% of customers who cannot be served by the fixed network will have access to the NBN’s fixed wireless or satellite network. At the inception of the NBN, it was planned to make it a monopoly so that it could cross-subsidise the high cost services with a geographically uniform tariff. But, there will be infrastructure competition for the NBN and the</w:t>
      </w:r>
      <w:r w:rsidR="00DA563B" w:rsidRPr="00921873">
        <w:rPr>
          <w:rFonts w:ascii="Calibri" w:hAnsi="Calibri"/>
          <w:szCs w:val="22"/>
          <w:lang w:val="en-GB"/>
        </w:rPr>
        <w:t xml:space="preserve"> </w:t>
      </w:r>
      <w:hyperlink r:id="rId30" w:history="1">
        <w:r w:rsidR="00DA563B" w:rsidRPr="00921873">
          <w:rPr>
            <w:rStyle w:val="Hyperlink"/>
            <w:rFonts w:ascii="Calibri" w:hAnsi="Calibri"/>
            <w:szCs w:val="22"/>
            <w:lang w:val="en-GB"/>
          </w:rPr>
          <w:t>current study</w:t>
        </w:r>
      </w:hyperlink>
      <w:r w:rsidR="00DA563B">
        <w:rPr>
          <w:rFonts w:ascii="Calibri" w:hAnsi="Calibri"/>
          <w:szCs w:val="22"/>
          <w:lang w:val="en-GB"/>
        </w:rPr>
        <w:t xml:space="preserve"> by the Bureau of C</w:t>
      </w:r>
      <w:r w:rsidR="00DA563B" w:rsidRPr="00921873">
        <w:rPr>
          <w:rFonts w:ascii="Calibri" w:hAnsi="Calibri"/>
          <w:szCs w:val="22"/>
          <w:lang w:val="en-GB"/>
        </w:rPr>
        <w:t xml:space="preserve">ommunications Research (BCR) </w:t>
      </w:r>
      <w:r w:rsidR="008F2718">
        <w:rPr>
          <w:rFonts w:ascii="Calibri" w:hAnsi="Calibri"/>
          <w:szCs w:val="22"/>
          <w:lang w:val="en-GB"/>
        </w:rPr>
        <w:t xml:space="preserve">is looking </w:t>
      </w:r>
      <w:r w:rsidR="00DA563B" w:rsidRPr="00921873">
        <w:rPr>
          <w:rFonts w:ascii="Calibri" w:hAnsi="Calibri"/>
          <w:szCs w:val="22"/>
          <w:lang w:val="en-GB"/>
        </w:rPr>
        <w:t>into</w:t>
      </w:r>
      <w:r w:rsidR="00877FB2" w:rsidRPr="00877FB2">
        <w:rPr>
          <w:rFonts w:ascii="Calibri" w:hAnsi="Calibri"/>
          <w:szCs w:val="22"/>
          <w:lang w:val="en-GB"/>
        </w:rPr>
        <w:t xml:space="preserve"> funding options</w:t>
      </w:r>
      <w:r w:rsidR="00877FB2">
        <w:rPr>
          <w:rFonts w:ascii="Calibri" w:hAnsi="Calibri"/>
          <w:szCs w:val="22"/>
          <w:lang w:val="en-GB"/>
        </w:rPr>
        <w:t xml:space="preserve"> for the</w:t>
      </w:r>
      <w:r w:rsidR="00DA563B" w:rsidRPr="00921873">
        <w:rPr>
          <w:rFonts w:ascii="Calibri" w:hAnsi="Calibri"/>
          <w:szCs w:val="22"/>
          <w:lang w:val="en-GB"/>
        </w:rPr>
        <w:t xml:space="preserve"> NBN non-commercial</w:t>
      </w:r>
      <w:r w:rsidR="00877FB2" w:rsidRPr="00877FB2">
        <w:rPr>
          <w:rFonts w:ascii="Calibri" w:hAnsi="Calibri"/>
          <w:szCs w:val="22"/>
        </w:rPr>
        <w:t xml:space="preserve"> fixed wireless and satellite networks</w:t>
      </w:r>
      <w:r w:rsidR="00877FB2">
        <w:rPr>
          <w:rFonts w:ascii="Calibri" w:hAnsi="Calibri"/>
          <w:szCs w:val="22"/>
        </w:rPr>
        <w:t xml:space="preserve"> </w:t>
      </w:r>
      <w:r w:rsidR="00877FB2">
        <w:rPr>
          <w:rFonts w:ascii="Calibri" w:hAnsi="Calibri"/>
          <w:szCs w:val="22"/>
          <w:lang w:val="en-GB"/>
        </w:rPr>
        <w:t>(e.g. a USO levy).</w:t>
      </w:r>
    </w:p>
    <w:p w:rsidR="00BB06DD" w:rsidRPr="00BB06DD" w:rsidRDefault="00BB06DD" w:rsidP="00BB06DD">
      <w:pPr>
        <w:pStyle w:val="Heading3"/>
      </w:pPr>
      <w:r>
        <w:t>3.1</w:t>
      </w:r>
      <w:r w:rsidRPr="00BB06DD">
        <w:t>.1 Performance and reliability</w:t>
      </w:r>
    </w:p>
    <w:p w:rsidR="00BB06DD" w:rsidRPr="00BB06DD" w:rsidRDefault="00BB06DD" w:rsidP="00BB06DD">
      <w:pPr>
        <w:rPr>
          <w:rFonts w:ascii="Calibri" w:hAnsi="Calibri"/>
          <w:bCs/>
          <w:szCs w:val="22"/>
        </w:rPr>
      </w:pPr>
      <w:r w:rsidRPr="00BB06DD">
        <w:rPr>
          <w:rFonts w:ascii="Calibri" w:hAnsi="Calibri"/>
          <w:bCs/>
          <w:szCs w:val="22"/>
        </w:rPr>
        <w:t xml:space="preserve">As noted in Section 2 above, digitisation and broadband have created new challenges and opportunities.  </w:t>
      </w:r>
    </w:p>
    <w:p w:rsidR="00BB06DD" w:rsidRPr="00BB06DD" w:rsidRDefault="00BB06DD" w:rsidP="00BB06DD">
      <w:pPr>
        <w:rPr>
          <w:rFonts w:ascii="Calibri" w:hAnsi="Calibri"/>
          <w:bCs/>
          <w:szCs w:val="22"/>
          <w:lang w:val="en-GB"/>
        </w:rPr>
      </w:pPr>
      <w:r w:rsidRPr="00BB06DD">
        <w:rPr>
          <w:rFonts w:ascii="Calibri" w:hAnsi="Calibri"/>
          <w:bCs/>
          <w:szCs w:val="22"/>
          <w:lang w:val="en-GB"/>
        </w:rPr>
        <w:t xml:space="preserve">A good place to start is the move from voice telephony over copper (the STS) to voice over mobiles and broadband (see Box 1 above). The ACMA </w:t>
      </w:r>
      <w:hyperlink r:id="rId31" w:history="1">
        <w:r w:rsidRPr="00BB06DD">
          <w:rPr>
            <w:rStyle w:val="Hyperlink"/>
            <w:rFonts w:ascii="Calibri" w:hAnsi="Calibri"/>
            <w:bCs/>
            <w:szCs w:val="22"/>
            <w:lang w:val="en-GB"/>
          </w:rPr>
          <w:t>reports</w:t>
        </w:r>
      </w:hyperlink>
      <w:r w:rsidRPr="00BB06DD">
        <w:rPr>
          <w:rFonts w:ascii="Calibri" w:hAnsi="Calibri"/>
          <w:bCs/>
          <w:szCs w:val="22"/>
          <w:lang w:val="en-GB"/>
        </w:rPr>
        <w:t xml:space="preserve"> that in 2014 “</w:t>
      </w:r>
      <w:r w:rsidRPr="00BB06DD">
        <w:rPr>
          <w:rFonts w:ascii="Calibri" w:hAnsi="Calibri"/>
          <w:bCs/>
          <w:i/>
          <w:szCs w:val="22"/>
          <w:lang w:val="en-GB"/>
        </w:rPr>
        <w:t>Australians are less satisfied with their VoIP service than their fixed-line and mobile phone services—77 per cent of consumers are satisfied or very satisfied with their VoIP service compared to 89 per cent for fixed-line phones and 86 per cent for mobile phones. Satisfaction levels increase up to 84 per cent for those with a paid subscription to a VoIP service</w:t>
      </w:r>
      <w:r w:rsidRPr="00BB06DD">
        <w:rPr>
          <w:rFonts w:ascii="Calibri" w:hAnsi="Calibri"/>
          <w:bCs/>
          <w:szCs w:val="22"/>
          <w:lang w:val="en-GB"/>
        </w:rPr>
        <w:t>”.</w:t>
      </w:r>
    </w:p>
    <w:p w:rsidR="00BB06DD" w:rsidRPr="00BB06DD" w:rsidRDefault="00BB06DD" w:rsidP="00BB06DD">
      <w:pPr>
        <w:rPr>
          <w:rFonts w:ascii="Calibri" w:hAnsi="Calibri"/>
          <w:bCs/>
          <w:szCs w:val="22"/>
        </w:rPr>
      </w:pPr>
      <w:r w:rsidRPr="00BB06DD">
        <w:rPr>
          <w:rFonts w:ascii="Calibri" w:hAnsi="Calibri"/>
          <w:bCs/>
          <w:szCs w:val="22"/>
        </w:rPr>
        <w:t>Many aspects of performance</w:t>
      </w:r>
      <w:r w:rsidR="00331C0F">
        <w:rPr>
          <w:rFonts w:ascii="Calibri" w:hAnsi="Calibri"/>
          <w:bCs/>
          <w:szCs w:val="22"/>
        </w:rPr>
        <w:t xml:space="preserve">, service </w:t>
      </w:r>
      <w:r w:rsidRPr="00BB06DD">
        <w:rPr>
          <w:rFonts w:ascii="Calibri" w:hAnsi="Calibri"/>
          <w:bCs/>
          <w:szCs w:val="22"/>
        </w:rPr>
        <w:t>and reliability are addressed through:</w:t>
      </w:r>
    </w:p>
    <w:p w:rsidR="00BB06DD" w:rsidRPr="00BB06DD" w:rsidRDefault="00BB06DD" w:rsidP="00BB06DD">
      <w:pPr>
        <w:numPr>
          <w:ilvl w:val="0"/>
          <w:numId w:val="20"/>
        </w:numPr>
        <w:rPr>
          <w:rFonts w:ascii="Calibri" w:hAnsi="Calibri"/>
          <w:bCs/>
          <w:szCs w:val="22"/>
        </w:rPr>
      </w:pPr>
      <w:r w:rsidRPr="00BB06DD">
        <w:rPr>
          <w:rFonts w:ascii="Calibri" w:hAnsi="Calibri"/>
          <w:bCs/>
          <w:szCs w:val="22"/>
        </w:rPr>
        <w:lastRenderedPageBreak/>
        <w:t>The Telecommunications Consumer Protections Code (</w:t>
      </w:r>
      <w:hyperlink r:id="rId32" w:history="1">
        <w:r w:rsidRPr="00BB06DD">
          <w:rPr>
            <w:rStyle w:val="Hyperlink"/>
            <w:rFonts w:ascii="Calibri" w:hAnsi="Calibri"/>
            <w:bCs/>
            <w:szCs w:val="22"/>
          </w:rPr>
          <w:t>TCP</w:t>
        </w:r>
      </w:hyperlink>
      <w:r w:rsidRPr="00BB06DD">
        <w:rPr>
          <w:rFonts w:ascii="Calibri" w:hAnsi="Calibri"/>
          <w:bCs/>
          <w:szCs w:val="22"/>
        </w:rPr>
        <w:t>) which applies to all telecomm</w:t>
      </w:r>
      <w:r w:rsidR="00331C0F">
        <w:rPr>
          <w:rFonts w:ascii="Calibri" w:hAnsi="Calibri"/>
          <w:bCs/>
          <w:szCs w:val="22"/>
        </w:rPr>
        <w:t>unications providers</w:t>
      </w:r>
      <w:r w:rsidR="00DF645D">
        <w:rPr>
          <w:rFonts w:ascii="Calibri" w:hAnsi="Calibri"/>
          <w:bCs/>
          <w:szCs w:val="22"/>
        </w:rPr>
        <w:t xml:space="preserve"> in the residential and small business market</w:t>
      </w:r>
      <w:r w:rsidR="00331C0F">
        <w:rPr>
          <w:rFonts w:ascii="Calibri" w:hAnsi="Calibri"/>
          <w:bCs/>
          <w:szCs w:val="22"/>
        </w:rPr>
        <w:t xml:space="preserve"> now.</w:t>
      </w:r>
    </w:p>
    <w:p w:rsidR="00BB06DD" w:rsidRPr="00BB06DD" w:rsidRDefault="00BB06DD" w:rsidP="00BB06DD">
      <w:pPr>
        <w:numPr>
          <w:ilvl w:val="0"/>
          <w:numId w:val="20"/>
        </w:numPr>
        <w:rPr>
          <w:rFonts w:ascii="Calibri" w:hAnsi="Calibri"/>
          <w:bCs/>
          <w:szCs w:val="22"/>
        </w:rPr>
      </w:pPr>
      <w:r w:rsidRPr="00BB06DD">
        <w:rPr>
          <w:rFonts w:ascii="Calibri" w:hAnsi="Calibri"/>
          <w:bCs/>
          <w:szCs w:val="22"/>
        </w:rPr>
        <w:t>The Customer Service Guarantee (</w:t>
      </w:r>
      <w:hyperlink r:id="rId33" w:history="1">
        <w:r w:rsidRPr="00BB06DD">
          <w:rPr>
            <w:rStyle w:val="Hyperlink"/>
            <w:rFonts w:ascii="Calibri" w:hAnsi="Calibri"/>
            <w:bCs/>
            <w:szCs w:val="22"/>
          </w:rPr>
          <w:t>CSG</w:t>
        </w:r>
      </w:hyperlink>
      <w:r w:rsidRPr="00BB06DD">
        <w:rPr>
          <w:rFonts w:ascii="Calibri" w:hAnsi="Calibri"/>
          <w:bCs/>
          <w:szCs w:val="22"/>
        </w:rPr>
        <w:t>) which also applies to most</w:t>
      </w:r>
      <w:r w:rsidRPr="00BB06DD">
        <w:rPr>
          <w:rFonts w:ascii="Calibri" w:hAnsi="Calibri"/>
          <w:bCs/>
          <w:szCs w:val="22"/>
          <w:vertAlign w:val="superscript"/>
        </w:rPr>
        <w:footnoteReference w:id="16"/>
      </w:r>
      <w:r w:rsidRPr="00BB06DD">
        <w:rPr>
          <w:rFonts w:ascii="Calibri" w:hAnsi="Calibri"/>
          <w:bCs/>
          <w:szCs w:val="22"/>
        </w:rPr>
        <w:t xml:space="preserve"> telecommunications providers. </w:t>
      </w:r>
    </w:p>
    <w:p w:rsidR="00BB06DD" w:rsidRPr="00BB06DD" w:rsidRDefault="00BB06DD" w:rsidP="00BB06DD">
      <w:pPr>
        <w:numPr>
          <w:ilvl w:val="0"/>
          <w:numId w:val="20"/>
        </w:numPr>
        <w:rPr>
          <w:rFonts w:ascii="Calibri" w:hAnsi="Calibri"/>
          <w:bCs/>
          <w:szCs w:val="22"/>
        </w:rPr>
      </w:pPr>
      <w:r w:rsidRPr="00BB06DD">
        <w:rPr>
          <w:rFonts w:ascii="Calibri" w:hAnsi="Calibri"/>
          <w:bCs/>
          <w:szCs w:val="22"/>
        </w:rPr>
        <w:t>The Network Reliability Framework (</w:t>
      </w:r>
      <w:hyperlink r:id="rId34" w:history="1">
        <w:r w:rsidRPr="00BB06DD">
          <w:rPr>
            <w:rStyle w:val="Hyperlink"/>
            <w:rFonts w:ascii="Calibri" w:hAnsi="Calibri"/>
            <w:bCs/>
            <w:szCs w:val="22"/>
          </w:rPr>
          <w:t>NRF</w:t>
        </w:r>
      </w:hyperlink>
      <w:r w:rsidRPr="00BB06DD">
        <w:rPr>
          <w:rFonts w:ascii="Calibri" w:hAnsi="Calibri"/>
          <w:bCs/>
          <w:szCs w:val="22"/>
        </w:rPr>
        <w:t>) which applies only to Telstra</w:t>
      </w:r>
      <w:r w:rsidR="00C35389">
        <w:rPr>
          <w:rFonts w:ascii="Calibri" w:hAnsi="Calibri"/>
          <w:bCs/>
          <w:szCs w:val="22"/>
        </w:rPr>
        <w:t xml:space="preserve"> copper but </w:t>
      </w:r>
      <w:r w:rsidR="00DF645D">
        <w:rPr>
          <w:rFonts w:ascii="Calibri" w:hAnsi="Calibri"/>
          <w:bCs/>
          <w:szCs w:val="22"/>
        </w:rPr>
        <w:t xml:space="preserve">will become progressively </w:t>
      </w:r>
      <w:r w:rsidR="00C35389">
        <w:rPr>
          <w:rFonts w:ascii="Calibri" w:hAnsi="Calibri"/>
          <w:bCs/>
          <w:szCs w:val="22"/>
        </w:rPr>
        <w:t xml:space="preserve"> redundant (except for TUSMA</w:t>
      </w:r>
      <w:r w:rsidR="00DF645D">
        <w:rPr>
          <w:rFonts w:ascii="Calibri" w:hAnsi="Calibri"/>
          <w:bCs/>
          <w:szCs w:val="22"/>
        </w:rPr>
        <w:t>/USO</w:t>
      </w:r>
      <w:r w:rsidR="00C35389">
        <w:rPr>
          <w:rFonts w:ascii="Calibri" w:hAnsi="Calibri"/>
          <w:bCs/>
          <w:szCs w:val="22"/>
        </w:rPr>
        <w:t xml:space="preserve"> contract) </w:t>
      </w:r>
      <w:r w:rsidR="00331C0F">
        <w:rPr>
          <w:rFonts w:ascii="Calibri" w:hAnsi="Calibri"/>
          <w:bCs/>
          <w:szCs w:val="22"/>
        </w:rPr>
        <w:t>unless</w:t>
      </w:r>
      <w:r w:rsidR="00C35389">
        <w:rPr>
          <w:rFonts w:ascii="Calibri" w:hAnsi="Calibri"/>
          <w:bCs/>
          <w:szCs w:val="22"/>
        </w:rPr>
        <w:t xml:space="preserve"> the obligation is transferred to</w:t>
      </w:r>
      <w:r w:rsidRPr="00BB06DD">
        <w:rPr>
          <w:rFonts w:ascii="Calibri" w:hAnsi="Calibri"/>
          <w:bCs/>
          <w:szCs w:val="22"/>
        </w:rPr>
        <w:t xml:space="preserve"> the </w:t>
      </w:r>
      <w:proofErr w:type="spellStart"/>
      <w:r w:rsidR="00BA6C30">
        <w:rPr>
          <w:rFonts w:ascii="Calibri" w:hAnsi="Calibri"/>
          <w:bCs/>
          <w:szCs w:val="22"/>
        </w:rPr>
        <w:t>nbn</w:t>
      </w:r>
      <w:proofErr w:type="spellEnd"/>
      <w:r w:rsidR="00331C0F">
        <w:rPr>
          <w:rFonts w:ascii="Calibri" w:hAnsi="Calibri"/>
          <w:bCs/>
          <w:szCs w:val="22"/>
        </w:rPr>
        <w:t>.</w:t>
      </w:r>
    </w:p>
    <w:p w:rsidR="00BB06DD" w:rsidRDefault="00BB06DD" w:rsidP="00BB06DD">
      <w:pPr>
        <w:rPr>
          <w:rFonts w:ascii="Calibri" w:hAnsi="Calibri"/>
          <w:szCs w:val="22"/>
          <w:lang w:val="en-GB"/>
        </w:rPr>
      </w:pPr>
      <w:r w:rsidRPr="00BB06DD">
        <w:rPr>
          <w:rFonts w:ascii="Calibri" w:hAnsi="Calibri"/>
          <w:szCs w:val="22"/>
          <w:lang w:val="en-GB"/>
        </w:rPr>
        <w:t xml:space="preserve">These focus on voice and will need to be revisited in the context </w:t>
      </w:r>
      <w:proofErr w:type="gramStart"/>
      <w:r w:rsidRPr="00BB06DD">
        <w:rPr>
          <w:rFonts w:ascii="Calibri" w:hAnsi="Calibri"/>
          <w:szCs w:val="22"/>
          <w:lang w:val="en-GB"/>
        </w:rPr>
        <w:t>of  broadband</w:t>
      </w:r>
      <w:proofErr w:type="gramEnd"/>
      <w:r w:rsidRPr="00BB06DD">
        <w:rPr>
          <w:rFonts w:ascii="Calibri" w:hAnsi="Calibri"/>
          <w:szCs w:val="22"/>
          <w:lang w:val="en-GB"/>
        </w:rPr>
        <w:t xml:space="preserve"> and mobiles . Increased dependence on the services which use internet connectivity means that consumer expectations of fixed and mobile networks have increased, while at the same time the negative impact for a consumer when something goes wrong has also increased: </w:t>
      </w:r>
      <w:r w:rsidRPr="00BB06DD">
        <w:rPr>
          <w:rFonts w:ascii="Calibri" w:hAnsi="Calibri"/>
          <w:i/>
          <w:szCs w:val="22"/>
          <w:lang w:val="en-GB"/>
        </w:rPr>
        <w:t>“new services like VoIP, mobiles, or broadband Internet, have been developed using different technologies, standards, protocols, and configurations, compared to the public switched telecommunications network that provided the basis of conceiving the old USO</w:t>
      </w:r>
      <w:r w:rsidRPr="00BB06DD">
        <w:rPr>
          <w:rFonts w:ascii="Calibri" w:hAnsi="Calibri"/>
          <w:b/>
          <w:szCs w:val="22"/>
          <w:lang w:val="en-GB"/>
        </w:rPr>
        <w:t xml:space="preserve">. </w:t>
      </w:r>
      <w:r w:rsidRPr="00BB06DD">
        <w:rPr>
          <w:rFonts w:ascii="Calibri" w:hAnsi="Calibri"/>
          <w:i/>
          <w:szCs w:val="22"/>
          <w:lang w:val="en-GB"/>
        </w:rPr>
        <w:t>There is now demonstrable potential for consumers to receive lower quality of service tha</w:t>
      </w:r>
      <w:r w:rsidR="00C06C3B">
        <w:rPr>
          <w:rFonts w:ascii="Calibri" w:hAnsi="Calibri"/>
          <w:i/>
          <w:szCs w:val="22"/>
          <w:lang w:val="en-GB"/>
        </w:rPr>
        <w:t>n</w:t>
      </w:r>
      <w:r w:rsidRPr="00BB06DD">
        <w:rPr>
          <w:rFonts w:ascii="Calibri" w:hAnsi="Calibri"/>
          <w:i/>
          <w:szCs w:val="22"/>
          <w:lang w:val="en-GB"/>
        </w:rPr>
        <w:t xml:space="preserve"> previously expected (as VoIP or mobiles respectively demonstrate — with potential threats to quality of emergency service, or the problems of coverage and call drop outs). Further, the new structure of markets in communications, and the introduction of new wholesale entities (such as </w:t>
      </w:r>
      <w:proofErr w:type="spellStart"/>
      <w:r w:rsidR="001571EA">
        <w:rPr>
          <w:rFonts w:ascii="Calibri" w:hAnsi="Calibri"/>
          <w:i/>
          <w:szCs w:val="22"/>
          <w:lang w:val="en-GB"/>
        </w:rPr>
        <w:t>nbn</w:t>
      </w:r>
      <w:proofErr w:type="spellEnd"/>
      <w:r w:rsidRPr="00BB06DD">
        <w:rPr>
          <w:rFonts w:ascii="Calibri" w:hAnsi="Calibri"/>
          <w:i/>
          <w:szCs w:val="22"/>
          <w:lang w:val="en-GB"/>
        </w:rPr>
        <w:t>) or co-ordination entities (USO Co) which involve new relationships between public (government) and private (market) pose considerable challenges for guaranteeing service levels for universal communications”</w:t>
      </w:r>
      <w:r w:rsidRPr="00BB06DD">
        <w:rPr>
          <w:rFonts w:ascii="Calibri" w:hAnsi="Calibri"/>
          <w:i/>
          <w:szCs w:val="22"/>
          <w:vertAlign w:val="superscript"/>
          <w:lang w:val="en-GB"/>
        </w:rPr>
        <w:footnoteReference w:id="17"/>
      </w:r>
      <w:r w:rsidRPr="00BB06DD">
        <w:rPr>
          <w:rFonts w:ascii="Calibri" w:hAnsi="Calibri"/>
          <w:szCs w:val="22"/>
          <w:lang w:val="en-GB"/>
        </w:rPr>
        <w:t>.</w:t>
      </w:r>
    </w:p>
    <w:p w:rsidR="000139C7" w:rsidRPr="00BB06DD" w:rsidRDefault="000139C7" w:rsidP="00BB06DD">
      <w:pPr>
        <w:rPr>
          <w:rFonts w:ascii="Calibri" w:hAnsi="Calibri"/>
          <w:szCs w:val="22"/>
          <w:lang w:val="en-GB"/>
        </w:rPr>
      </w:pPr>
    </w:p>
    <w:p w:rsidR="00DA563B" w:rsidRDefault="00DA563B" w:rsidP="00753921">
      <w:pPr>
        <w:pStyle w:val="Heading2"/>
      </w:pPr>
      <w:bookmarkStart w:id="11" w:name="_Toc436121936"/>
      <w:r>
        <w:t>3.2</w:t>
      </w:r>
      <w:r>
        <w:tab/>
        <w:t xml:space="preserve">Universal </w:t>
      </w:r>
      <w:r w:rsidR="00AE529A">
        <w:t>a</w:t>
      </w:r>
      <w:r>
        <w:t>ccessibility</w:t>
      </w:r>
      <w:bookmarkEnd w:id="11"/>
    </w:p>
    <w:p w:rsidR="00DA563B" w:rsidRDefault="00C06C3B" w:rsidP="00352851">
      <w:pPr>
        <w:rPr>
          <w:rFonts w:ascii="Calibri" w:hAnsi="Calibri"/>
          <w:bCs/>
          <w:szCs w:val="22"/>
        </w:rPr>
      </w:pPr>
      <w:r>
        <w:rPr>
          <w:rFonts w:ascii="Calibri" w:hAnsi="Calibri"/>
          <w:bCs/>
          <w:szCs w:val="22"/>
        </w:rPr>
        <w:t>The standard t</w:t>
      </w:r>
      <w:r w:rsidR="00A32A83">
        <w:rPr>
          <w:rFonts w:ascii="Calibri" w:hAnsi="Calibri"/>
          <w:bCs/>
          <w:szCs w:val="22"/>
        </w:rPr>
        <w:t>elephone service (t</w:t>
      </w:r>
      <w:r w:rsidR="00DA563B">
        <w:rPr>
          <w:rFonts w:ascii="Calibri" w:hAnsi="Calibri"/>
          <w:bCs/>
          <w:szCs w:val="22"/>
        </w:rPr>
        <w:t>he STS</w:t>
      </w:r>
      <w:r w:rsidR="00A32A83">
        <w:rPr>
          <w:rFonts w:ascii="Calibri" w:hAnsi="Calibri"/>
          <w:bCs/>
          <w:szCs w:val="22"/>
        </w:rPr>
        <w:t>)</w:t>
      </w:r>
      <w:r w:rsidR="00DA563B">
        <w:rPr>
          <w:rFonts w:ascii="Calibri" w:hAnsi="Calibri"/>
          <w:bCs/>
          <w:szCs w:val="22"/>
        </w:rPr>
        <w:t xml:space="preserve"> made a lot of assumptions about the customer which were not all appropriate and limited the ability of some people to use the service</w:t>
      </w:r>
      <w:r w:rsidR="00C15F39">
        <w:rPr>
          <w:rFonts w:ascii="Calibri" w:hAnsi="Calibri"/>
          <w:bCs/>
          <w:szCs w:val="22"/>
        </w:rPr>
        <w:t xml:space="preserve">. </w:t>
      </w:r>
      <w:r w:rsidR="00DA563B">
        <w:rPr>
          <w:rFonts w:ascii="Calibri" w:hAnsi="Calibri"/>
          <w:bCs/>
          <w:szCs w:val="22"/>
        </w:rPr>
        <w:t>Table 2 below</w:t>
      </w:r>
      <w:r w:rsidR="00C15F39">
        <w:rPr>
          <w:rFonts w:ascii="Calibri" w:hAnsi="Calibri"/>
          <w:bCs/>
          <w:szCs w:val="22"/>
        </w:rPr>
        <w:t xml:space="preserve"> illustrates the implicit assumptions showing that special efforts are needed to help some customers</w:t>
      </w:r>
      <w:r w:rsidR="00DA563B">
        <w:rPr>
          <w:rFonts w:ascii="Calibri" w:hAnsi="Calibri"/>
          <w:bCs/>
          <w:szCs w:val="22"/>
        </w:rPr>
        <w:t>.</w:t>
      </w:r>
    </w:p>
    <w:p w:rsidR="00DA563B" w:rsidRPr="00C738E9" w:rsidRDefault="00DA563B" w:rsidP="0048625A">
      <w:pPr>
        <w:keepNext/>
        <w:jc w:val="center"/>
        <w:rPr>
          <w:rFonts w:ascii="Calibri" w:hAnsi="Calibri"/>
          <w:b/>
          <w:szCs w:val="22"/>
        </w:rPr>
      </w:pPr>
      <w:r>
        <w:rPr>
          <w:rFonts w:ascii="Calibri" w:hAnsi="Calibri"/>
          <w:b/>
          <w:szCs w:val="22"/>
        </w:rPr>
        <w:lastRenderedPageBreak/>
        <w:t>Table 2 – Social constructs assumed in standard telephone service (STS)</w:t>
      </w:r>
    </w:p>
    <w:p w:rsidR="00DA563B" w:rsidRDefault="002A03B0" w:rsidP="004E4E81">
      <w:pPr>
        <w:jc w:val="center"/>
        <w:rPr>
          <w:rFonts w:ascii="Calibri" w:hAnsi="Calibri"/>
          <w:bCs/>
          <w:szCs w:val="22"/>
        </w:rPr>
      </w:pPr>
      <w:r>
        <w:rPr>
          <w:rFonts w:ascii="Calibri" w:hAnsi="Calibri"/>
          <w:noProof/>
        </w:rPr>
        <w:drawing>
          <wp:inline distT="0" distB="0" distL="0" distR="0" wp14:anchorId="7FB3872F" wp14:editId="25561993">
            <wp:extent cx="5419725" cy="4086225"/>
            <wp:effectExtent l="19050" t="0" r="952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5419725" cy="4086225"/>
                    </a:xfrm>
                    <a:prstGeom prst="rect">
                      <a:avLst/>
                    </a:prstGeom>
                    <a:noFill/>
                    <a:ln w="9525">
                      <a:noFill/>
                      <a:miter lim="800000"/>
                      <a:headEnd/>
                      <a:tailEnd/>
                    </a:ln>
                  </pic:spPr>
                </pic:pic>
              </a:graphicData>
            </a:graphic>
          </wp:inline>
        </w:drawing>
      </w:r>
    </w:p>
    <w:p w:rsidR="00DA563B" w:rsidRPr="004E4E81" w:rsidRDefault="00DA563B" w:rsidP="004E4E81">
      <w:pPr>
        <w:rPr>
          <w:rFonts w:ascii="Calibri" w:hAnsi="Calibri"/>
          <w:bCs/>
          <w:szCs w:val="22"/>
        </w:rPr>
      </w:pPr>
      <w:r w:rsidRPr="004E4E81">
        <w:rPr>
          <w:rFonts w:ascii="Calibri" w:hAnsi="Calibri"/>
          <w:bCs/>
          <w:szCs w:val="22"/>
        </w:rPr>
        <w:t xml:space="preserve">Source: </w:t>
      </w:r>
      <w:proofErr w:type="spellStart"/>
      <w:r w:rsidRPr="004E4E81">
        <w:rPr>
          <w:rFonts w:ascii="Calibri" w:hAnsi="Calibri"/>
          <w:bCs/>
          <w:szCs w:val="22"/>
        </w:rPr>
        <w:t>Morsillo</w:t>
      </w:r>
      <w:proofErr w:type="spellEnd"/>
      <w:r w:rsidRPr="004E4E81">
        <w:rPr>
          <w:rFonts w:ascii="Calibri" w:hAnsi="Calibri"/>
          <w:bCs/>
          <w:szCs w:val="22"/>
        </w:rPr>
        <w:t xml:space="preserve"> (2008)</w:t>
      </w:r>
    </w:p>
    <w:p w:rsidR="00DA563B" w:rsidRDefault="00CB0F6D" w:rsidP="00352851">
      <w:pPr>
        <w:rPr>
          <w:rFonts w:ascii="Calibri" w:hAnsi="Calibri"/>
          <w:bCs/>
          <w:szCs w:val="22"/>
        </w:rPr>
      </w:pPr>
      <w:r w:rsidRPr="00CB0F6D">
        <w:rPr>
          <w:rFonts w:ascii="Calibri" w:hAnsi="Calibri"/>
          <w:bCs/>
          <w:szCs w:val="22"/>
        </w:rPr>
        <w:t xml:space="preserve">Solutions to a number of these </w:t>
      </w:r>
      <w:r w:rsidR="00F602E8">
        <w:rPr>
          <w:rFonts w:ascii="Calibri" w:hAnsi="Calibri"/>
          <w:bCs/>
          <w:szCs w:val="22"/>
        </w:rPr>
        <w:t>accessibility issues</w:t>
      </w:r>
      <w:r w:rsidRPr="00CB0F6D">
        <w:rPr>
          <w:rFonts w:ascii="Calibri" w:hAnsi="Calibri"/>
          <w:bCs/>
          <w:szCs w:val="22"/>
        </w:rPr>
        <w:t xml:space="preserve"> </w:t>
      </w:r>
      <w:r w:rsidR="00F602E8">
        <w:rPr>
          <w:rFonts w:ascii="Calibri" w:hAnsi="Calibri"/>
          <w:bCs/>
          <w:szCs w:val="22"/>
        </w:rPr>
        <w:t>i</w:t>
      </w:r>
      <w:r w:rsidR="009C1766">
        <w:rPr>
          <w:rFonts w:ascii="Calibri" w:hAnsi="Calibri"/>
          <w:bCs/>
          <w:szCs w:val="22"/>
        </w:rPr>
        <w:t>nclude the Teletypewriter (TTY),</w:t>
      </w:r>
      <w:r w:rsidR="00F602E8">
        <w:rPr>
          <w:rFonts w:ascii="Calibri" w:hAnsi="Calibri"/>
          <w:bCs/>
          <w:szCs w:val="22"/>
        </w:rPr>
        <w:t xml:space="preserve"> which </w:t>
      </w:r>
      <w:r w:rsidR="00DA563B">
        <w:rPr>
          <w:rFonts w:ascii="Calibri" w:hAnsi="Calibri"/>
          <w:bCs/>
          <w:szCs w:val="22"/>
        </w:rPr>
        <w:t>was introduced as a result of a court case before the Human Rights Commission in 1995</w:t>
      </w:r>
      <w:r w:rsidR="00DA563B">
        <w:rPr>
          <w:rStyle w:val="FootnoteReference"/>
          <w:rFonts w:ascii="Calibri" w:hAnsi="Calibri"/>
          <w:bCs/>
          <w:szCs w:val="22"/>
        </w:rPr>
        <w:footnoteReference w:id="18"/>
      </w:r>
      <w:r w:rsidR="00DA563B">
        <w:rPr>
          <w:rFonts w:ascii="Calibri" w:hAnsi="Calibri"/>
          <w:bCs/>
          <w:szCs w:val="22"/>
        </w:rPr>
        <w:t xml:space="preserve">.  </w:t>
      </w:r>
    </w:p>
    <w:p w:rsidR="00DA563B" w:rsidRDefault="00DA563B" w:rsidP="00352851">
      <w:pPr>
        <w:rPr>
          <w:rFonts w:ascii="Calibri" w:hAnsi="Calibri"/>
          <w:szCs w:val="22"/>
          <w:lang w:val="en-US"/>
        </w:rPr>
      </w:pPr>
      <w:r>
        <w:rPr>
          <w:rFonts w:ascii="Calibri" w:hAnsi="Calibri"/>
          <w:bCs/>
          <w:szCs w:val="22"/>
        </w:rPr>
        <w:t xml:space="preserve">In the case of handsets, Telstra </w:t>
      </w:r>
      <w:r w:rsidRPr="00352851">
        <w:rPr>
          <w:rFonts w:ascii="Calibri" w:hAnsi="Calibri"/>
          <w:bCs/>
          <w:szCs w:val="22"/>
        </w:rPr>
        <w:t xml:space="preserve">provides access to a </w:t>
      </w:r>
      <w:r w:rsidR="00F602E8">
        <w:rPr>
          <w:rFonts w:ascii="Calibri" w:hAnsi="Calibri"/>
          <w:bCs/>
          <w:szCs w:val="22"/>
        </w:rPr>
        <w:t>variety</w:t>
      </w:r>
      <w:r w:rsidRPr="00352851">
        <w:rPr>
          <w:rFonts w:ascii="Calibri" w:hAnsi="Calibri"/>
          <w:bCs/>
          <w:szCs w:val="22"/>
        </w:rPr>
        <w:t xml:space="preserve"> of phones and accessories to make calling easier. Products include big button phones, visual alerts, cochlear implant telephone adaptors and teletypewriters. The program offers specialised telephone equipment to eligible customers that can be rented for the same cost as a standard telephone handset.</w:t>
      </w:r>
      <w:r>
        <w:rPr>
          <w:rFonts w:ascii="Calibri" w:hAnsi="Calibri"/>
          <w:bCs/>
          <w:szCs w:val="22"/>
        </w:rPr>
        <w:t xml:space="preserve"> Other providers also offer </w:t>
      </w:r>
      <w:r w:rsidRPr="0074194D">
        <w:rPr>
          <w:rFonts w:ascii="Calibri" w:hAnsi="Calibri"/>
          <w:szCs w:val="22"/>
          <w:lang w:val="en-US"/>
        </w:rPr>
        <w:t xml:space="preserve">TTY and priority assistance (Optus does both of these voluntarily) but Telstra is the only provider obligated to do so. </w:t>
      </w:r>
    </w:p>
    <w:p w:rsidR="00DA563B" w:rsidRDefault="00DA563B" w:rsidP="00352851">
      <w:pPr>
        <w:rPr>
          <w:rFonts w:ascii="Calibri" w:hAnsi="Calibri"/>
          <w:szCs w:val="22"/>
        </w:rPr>
      </w:pPr>
      <w:r>
        <w:rPr>
          <w:rFonts w:ascii="Calibri" w:hAnsi="Calibri"/>
          <w:szCs w:val="22"/>
          <w:lang w:val="en-US"/>
        </w:rPr>
        <w:t xml:space="preserve">A typology of users with special needs has been identified by Ofcom </w:t>
      </w:r>
      <w:r w:rsidRPr="00FC3EFA">
        <w:rPr>
          <w:rFonts w:ascii="Calibri" w:hAnsi="Calibri"/>
          <w:szCs w:val="22"/>
        </w:rPr>
        <w:t xml:space="preserve">with all but the last two segments concerning accessibility (see Box 2). Australia’s list </w:t>
      </w:r>
      <w:r>
        <w:rPr>
          <w:rFonts w:ascii="Calibri" w:hAnsi="Calibri"/>
          <w:szCs w:val="22"/>
        </w:rPr>
        <w:t xml:space="preserve">also </w:t>
      </w:r>
      <w:r w:rsidRPr="00FC3EFA">
        <w:rPr>
          <w:rFonts w:ascii="Calibri" w:hAnsi="Calibri"/>
          <w:szCs w:val="22"/>
        </w:rPr>
        <w:t>include</w:t>
      </w:r>
      <w:r>
        <w:rPr>
          <w:rFonts w:ascii="Calibri" w:hAnsi="Calibri"/>
          <w:szCs w:val="22"/>
        </w:rPr>
        <w:t>s</w:t>
      </w:r>
      <w:r w:rsidRPr="00FC3EFA">
        <w:rPr>
          <w:rFonts w:ascii="Calibri" w:hAnsi="Calibri"/>
          <w:szCs w:val="22"/>
        </w:rPr>
        <w:t xml:space="preserve"> indigenous customers</w:t>
      </w:r>
      <w:r>
        <w:rPr>
          <w:rStyle w:val="FootnoteReference"/>
          <w:rFonts w:ascii="Calibri" w:hAnsi="Calibri"/>
          <w:szCs w:val="22"/>
        </w:rPr>
        <w:footnoteReference w:id="19"/>
      </w:r>
      <w:r w:rsidRPr="00FC3EFA">
        <w:rPr>
          <w:rFonts w:ascii="Calibri" w:hAnsi="Calibri"/>
          <w:szCs w:val="22"/>
        </w:rPr>
        <w:t>.</w:t>
      </w:r>
    </w:p>
    <w:p w:rsidR="000139C7" w:rsidRDefault="000139C7" w:rsidP="00352851">
      <w:pPr>
        <w:rPr>
          <w:rFonts w:ascii="Calibri" w:hAnsi="Calibri"/>
          <w:szCs w:val="22"/>
        </w:rPr>
      </w:pPr>
    </w:p>
    <w:p w:rsidR="00DA563B" w:rsidRDefault="00DA563B" w:rsidP="000139C7">
      <w:pPr>
        <w:keepNext/>
        <w:shd w:val="clear" w:color="auto" w:fill="C6D9F1"/>
        <w:rPr>
          <w:rFonts w:ascii="Calibri" w:hAnsi="Calibri"/>
          <w:b/>
          <w:szCs w:val="22"/>
        </w:rPr>
      </w:pPr>
      <w:r>
        <w:rPr>
          <w:rFonts w:ascii="Calibri" w:hAnsi="Calibri"/>
          <w:b/>
          <w:szCs w:val="22"/>
        </w:rPr>
        <w:t xml:space="preserve">Box 2 - </w:t>
      </w:r>
      <w:proofErr w:type="spellStart"/>
      <w:r w:rsidRPr="00655F90">
        <w:rPr>
          <w:rFonts w:ascii="Calibri" w:hAnsi="Calibri"/>
          <w:b/>
          <w:szCs w:val="22"/>
        </w:rPr>
        <w:t>Ofcom</w:t>
      </w:r>
      <w:proofErr w:type="spellEnd"/>
      <w:r w:rsidRPr="00655F90">
        <w:rPr>
          <w:rFonts w:ascii="Calibri" w:hAnsi="Calibri"/>
          <w:b/>
          <w:szCs w:val="22"/>
        </w:rPr>
        <w:t xml:space="preserve"> and Accessibility </w:t>
      </w:r>
    </w:p>
    <w:p w:rsidR="00DA563B" w:rsidRDefault="00DA563B" w:rsidP="000139C7">
      <w:pPr>
        <w:keepNext/>
        <w:shd w:val="clear" w:color="auto" w:fill="C6D9F1"/>
        <w:rPr>
          <w:rFonts w:ascii="Calibri" w:hAnsi="Calibri"/>
          <w:szCs w:val="22"/>
        </w:rPr>
      </w:pPr>
      <w:r w:rsidRPr="007B5D13">
        <w:rPr>
          <w:rFonts w:ascii="Calibri" w:hAnsi="Calibri"/>
          <w:szCs w:val="22"/>
        </w:rPr>
        <w:t xml:space="preserve">There are groups of consumers who may be under-served by the market due to specific requirements they may have. In particular, consumers in vulnerable circumstances may need extra </w:t>
      </w:r>
      <w:r w:rsidRPr="007B5D13">
        <w:rPr>
          <w:rFonts w:ascii="Calibri" w:hAnsi="Calibri"/>
          <w:szCs w:val="22"/>
        </w:rPr>
        <w:lastRenderedPageBreak/>
        <w:t xml:space="preserve">assistance in accessing communications services. Where the market does not address these use cases, they may require public policy interventions. </w:t>
      </w:r>
    </w:p>
    <w:p w:rsidR="005126D7" w:rsidRDefault="00DA563B" w:rsidP="005126D7">
      <w:pPr>
        <w:keepNext/>
        <w:shd w:val="clear" w:color="auto" w:fill="C6D9F1"/>
        <w:rPr>
          <w:rFonts w:ascii="Calibri" w:hAnsi="Calibri"/>
          <w:szCs w:val="22"/>
        </w:rPr>
      </w:pPr>
      <w:r w:rsidRPr="007B5D13">
        <w:rPr>
          <w:rFonts w:ascii="Calibri" w:hAnsi="Calibri"/>
          <w:szCs w:val="22"/>
        </w:rPr>
        <w:t xml:space="preserve">Consumer groups we take account of in our work include: </w:t>
      </w:r>
    </w:p>
    <w:p w:rsidR="005126D7"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 xml:space="preserve">Consumers with hearing or speech difficulties, by mandating the provision of relay services; </w:t>
      </w:r>
    </w:p>
    <w:p w:rsidR="005126D7"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 xml:space="preserve">Consumers with visual impairments, by mandating the provision of bills in accessible formats and free directory enquiries for people who cannot use the printed directory because of their disability; </w:t>
      </w:r>
    </w:p>
    <w:p w:rsidR="005126D7"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 xml:space="preserve">Consumers who depend on the phone because of severe disability or ill-health, by mandating priority fault repair; </w:t>
      </w:r>
    </w:p>
    <w:p w:rsidR="005126D7"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 xml:space="preserve">Older consumers who may have health or accessibility reasons for having different needs from communications services; </w:t>
      </w:r>
    </w:p>
    <w:p w:rsidR="005126D7"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Consumers on low incomes in receipt of certain benefits, who can access social tariffs, which reduce the price of line rental and include a small call allowance; and</w:t>
      </w:r>
    </w:p>
    <w:p w:rsidR="00DB0F6B" w:rsidRPr="005126D7" w:rsidRDefault="00DA563B" w:rsidP="005126D7">
      <w:pPr>
        <w:pStyle w:val="ListParagraph"/>
        <w:keepNext/>
        <w:numPr>
          <w:ilvl w:val="0"/>
          <w:numId w:val="44"/>
        </w:numPr>
        <w:shd w:val="clear" w:color="auto" w:fill="C6D9F1"/>
        <w:rPr>
          <w:rFonts w:ascii="Calibri" w:hAnsi="Calibri"/>
          <w:szCs w:val="22"/>
        </w:rPr>
      </w:pPr>
      <w:r w:rsidRPr="005126D7">
        <w:rPr>
          <w:rFonts w:ascii="Calibri" w:hAnsi="Calibri"/>
          <w:szCs w:val="22"/>
        </w:rPr>
        <w:t>Consumers who become vulnerable from life events such as bereavement or illness which can temporarily reduce people’s ability to participate in society and/or increase their dependence on certain communications services.</w:t>
      </w:r>
    </w:p>
    <w:p w:rsidR="00DA563B" w:rsidRPr="00B36628" w:rsidRDefault="00DA563B" w:rsidP="00751146">
      <w:pPr>
        <w:pStyle w:val="ListParagraph"/>
        <w:keepNext/>
        <w:numPr>
          <w:ilvl w:val="0"/>
          <w:numId w:val="30"/>
        </w:numPr>
        <w:shd w:val="clear" w:color="auto" w:fill="C6D9F1"/>
        <w:rPr>
          <w:rFonts w:ascii="Calibri" w:hAnsi="Calibri"/>
          <w:szCs w:val="22"/>
        </w:rPr>
      </w:pPr>
      <w:r w:rsidRPr="00DB0F6B">
        <w:rPr>
          <w:rFonts w:ascii="Calibri" w:hAnsi="Calibri"/>
          <w:szCs w:val="22"/>
        </w:rPr>
        <w:t>Without intervention the risk of social exclusion could increase over time as communications services become ever more fundamental to our interactions with central and local government services, and public services such as healthcare.</w:t>
      </w:r>
      <w:r w:rsidR="00B36628">
        <w:rPr>
          <w:rFonts w:ascii="Calibri" w:hAnsi="Calibri"/>
          <w:szCs w:val="22"/>
        </w:rPr>
        <w:br/>
      </w:r>
      <w:r w:rsidR="00B36628">
        <w:rPr>
          <w:rFonts w:ascii="Calibri" w:hAnsi="Calibri"/>
          <w:szCs w:val="22"/>
        </w:rPr>
        <w:br/>
      </w:r>
      <w:r w:rsidRPr="00B36628">
        <w:rPr>
          <w:rFonts w:ascii="Calibri" w:hAnsi="Calibri"/>
          <w:szCs w:val="22"/>
        </w:rPr>
        <w:t xml:space="preserve">Source: </w:t>
      </w:r>
      <w:proofErr w:type="spellStart"/>
      <w:r w:rsidRPr="00B36628">
        <w:rPr>
          <w:rFonts w:ascii="Calibri" w:hAnsi="Calibri"/>
          <w:szCs w:val="22"/>
        </w:rPr>
        <w:t>Ofcom</w:t>
      </w:r>
      <w:proofErr w:type="spellEnd"/>
      <w:r w:rsidRPr="00B36628">
        <w:rPr>
          <w:rFonts w:ascii="Calibri" w:hAnsi="Calibri"/>
          <w:szCs w:val="22"/>
        </w:rPr>
        <w:t xml:space="preserve"> (2015) </w:t>
      </w:r>
      <w:hyperlink r:id="rId36" w:history="1">
        <w:r w:rsidR="001B215A" w:rsidRPr="00B36628">
          <w:rPr>
            <w:rStyle w:val="Hyperlink"/>
            <w:rFonts w:ascii="Calibri" w:hAnsi="Calibri"/>
            <w:szCs w:val="22"/>
          </w:rPr>
          <w:t>Strategic Review</w:t>
        </w:r>
      </w:hyperlink>
      <w:r w:rsidRPr="00B36628">
        <w:rPr>
          <w:rFonts w:ascii="Calibri" w:hAnsi="Calibri"/>
          <w:szCs w:val="22"/>
        </w:rPr>
        <w:t>, p64</w:t>
      </w:r>
    </w:p>
    <w:p w:rsidR="00BB06DD" w:rsidRDefault="00DA563B" w:rsidP="00FC3EFA">
      <w:pPr>
        <w:rPr>
          <w:rFonts w:ascii="Calibri" w:hAnsi="Calibri"/>
          <w:szCs w:val="22"/>
        </w:rPr>
      </w:pPr>
      <w:r>
        <w:rPr>
          <w:rFonts w:ascii="Calibri" w:hAnsi="Calibri"/>
          <w:bCs/>
          <w:szCs w:val="22"/>
        </w:rPr>
        <w:t xml:space="preserve">Telstra has done a good job </w:t>
      </w:r>
      <w:r w:rsidR="00634674">
        <w:rPr>
          <w:rFonts w:ascii="Calibri" w:hAnsi="Calibri"/>
          <w:bCs/>
          <w:szCs w:val="22"/>
        </w:rPr>
        <w:t>meeting its licence obligation to serve</w:t>
      </w:r>
      <w:r>
        <w:rPr>
          <w:rFonts w:ascii="Calibri" w:hAnsi="Calibri"/>
          <w:bCs/>
          <w:szCs w:val="22"/>
        </w:rPr>
        <w:t xml:space="preserve"> customers with special needs: “</w:t>
      </w:r>
      <w:r w:rsidRPr="00795573">
        <w:rPr>
          <w:rFonts w:ascii="Calibri" w:hAnsi="Calibri"/>
          <w:bCs/>
          <w:i/>
          <w:szCs w:val="22"/>
        </w:rPr>
        <w:t xml:space="preserve">Telstra’s Access for </w:t>
      </w:r>
      <w:proofErr w:type="gramStart"/>
      <w:r w:rsidRPr="00795573">
        <w:rPr>
          <w:rFonts w:ascii="Calibri" w:hAnsi="Calibri"/>
          <w:bCs/>
          <w:i/>
          <w:szCs w:val="22"/>
        </w:rPr>
        <w:t>Everyone</w:t>
      </w:r>
      <w:proofErr w:type="gramEnd"/>
      <w:r w:rsidRPr="00795573">
        <w:rPr>
          <w:rFonts w:ascii="Calibri" w:hAnsi="Calibri"/>
          <w:bCs/>
          <w:i/>
          <w:szCs w:val="22"/>
        </w:rPr>
        <w:t xml:space="preserve"> package compares favourably with similar schemes in the UK and the US, in terms of its breadth of coverage across a range of disadvantaged groups and its focus on their particular needs. By contrast, schemes in the other countries are targeted mainly just at households with low incomes</w:t>
      </w:r>
      <w:r>
        <w:rPr>
          <w:rFonts w:ascii="Calibri" w:hAnsi="Calibri"/>
          <w:bCs/>
          <w:i/>
          <w:szCs w:val="22"/>
        </w:rPr>
        <w:t>”</w:t>
      </w:r>
      <w:r>
        <w:rPr>
          <w:rStyle w:val="FootnoteReference"/>
          <w:rFonts w:ascii="Calibri" w:hAnsi="Calibri"/>
          <w:bCs/>
          <w:i/>
          <w:szCs w:val="22"/>
        </w:rPr>
        <w:footnoteReference w:id="20"/>
      </w:r>
      <w:r w:rsidRPr="00795573">
        <w:rPr>
          <w:rFonts w:ascii="Calibri" w:hAnsi="Calibri"/>
          <w:bCs/>
          <w:szCs w:val="22"/>
        </w:rPr>
        <w:t xml:space="preserve">. </w:t>
      </w:r>
      <w:r>
        <w:rPr>
          <w:rFonts w:ascii="Calibri" w:hAnsi="Calibri"/>
          <w:bCs/>
          <w:szCs w:val="22"/>
        </w:rPr>
        <w:t xml:space="preserve"> </w:t>
      </w:r>
    </w:p>
    <w:p w:rsidR="00DA563B" w:rsidRDefault="0085180F" w:rsidP="00753921">
      <w:pPr>
        <w:rPr>
          <w:rFonts w:ascii="Calibri" w:hAnsi="Calibri"/>
          <w:szCs w:val="22"/>
        </w:rPr>
      </w:pPr>
      <w:r>
        <w:rPr>
          <w:rFonts w:ascii="Calibri" w:hAnsi="Calibri"/>
          <w:szCs w:val="22"/>
        </w:rPr>
        <w:t xml:space="preserve">But the new technology embodied in mobiles and broadband networks </w:t>
      </w:r>
      <w:r w:rsidR="00DA563B" w:rsidRPr="00352851">
        <w:rPr>
          <w:rFonts w:ascii="Calibri" w:hAnsi="Calibri"/>
          <w:szCs w:val="22"/>
        </w:rPr>
        <w:t>prov</w:t>
      </w:r>
      <w:r w:rsidR="00DA563B">
        <w:rPr>
          <w:rFonts w:ascii="Calibri" w:hAnsi="Calibri"/>
          <w:szCs w:val="22"/>
        </w:rPr>
        <w:t>ide</w:t>
      </w:r>
      <w:r>
        <w:rPr>
          <w:rFonts w:ascii="Calibri" w:hAnsi="Calibri"/>
          <w:szCs w:val="22"/>
        </w:rPr>
        <w:t>s</w:t>
      </w:r>
      <w:r w:rsidR="00DA563B">
        <w:rPr>
          <w:rFonts w:ascii="Calibri" w:hAnsi="Calibri"/>
          <w:szCs w:val="22"/>
        </w:rPr>
        <w:t xml:space="preserve"> opportunities to serve </w:t>
      </w:r>
      <w:r w:rsidR="00DA563B" w:rsidRPr="00352851">
        <w:rPr>
          <w:rFonts w:ascii="Calibri" w:hAnsi="Calibri"/>
          <w:szCs w:val="22"/>
        </w:rPr>
        <w:t>disadvantaged customers in new ways (See Box 3</w:t>
      </w:r>
      <w:r w:rsidR="00DA563B">
        <w:rPr>
          <w:rFonts w:ascii="Calibri" w:hAnsi="Calibri"/>
          <w:szCs w:val="22"/>
        </w:rPr>
        <w:t xml:space="preserve"> for just one example</w:t>
      </w:r>
      <w:r w:rsidR="00DA563B" w:rsidRPr="00352851">
        <w:rPr>
          <w:rFonts w:ascii="Calibri" w:hAnsi="Calibri"/>
          <w:szCs w:val="22"/>
        </w:rPr>
        <w:t>).</w:t>
      </w:r>
    </w:p>
    <w:p w:rsidR="000139C7" w:rsidRPr="00352851" w:rsidRDefault="000139C7" w:rsidP="00753921">
      <w:pPr>
        <w:rPr>
          <w:rFonts w:ascii="Calibri" w:hAnsi="Calibri"/>
          <w:szCs w:val="22"/>
        </w:rPr>
      </w:pPr>
    </w:p>
    <w:p w:rsidR="00DA563B" w:rsidRPr="006145B5" w:rsidRDefault="00DA563B" w:rsidP="00751146">
      <w:pPr>
        <w:shd w:val="clear" w:color="auto" w:fill="C6D9F1"/>
        <w:rPr>
          <w:rFonts w:ascii="Calibri" w:hAnsi="Calibri"/>
          <w:b/>
          <w:szCs w:val="22"/>
        </w:rPr>
      </w:pPr>
      <w:r w:rsidRPr="006145B5">
        <w:rPr>
          <w:rFonts w:ascii="Calibri" w:hAnsi="Calibri"/>
          <w:b/>
          <w:szCs w:val="22"/>
        </w:rPr>
        <w:t xml:space="preserve">Box </w:t>
      </w:r>
      <w:r>
        <w:rPr>
          <w:rFonts w:ascii="Calibri" w:hAnsi="Calibri"/>
          <w:b/>
          <w:szCs w:val="22"/>
        </w:rPr>
        <w:t>3</w:t>
      </w:r>
      <w:r w:rsidRPr="006145B5">
        <w:rPr>
          <w:rFonts w:ascii="Calibri" w:hAnsi="Calibri"/>
          <w:b/>
          <w:szCs w:val="22"/>
        </w:rPr>
        <w:t xml:space="preserve"> - Glasses provide new eyes to blind</w:t>
      </w:r>
    </w:p>
    <w:p w:rsidR="00DA563B" w:rsidRPr="006145B5" w:rsidRDefault="00DA563B" w:rsidP="00751146">
      <w:pPr>
        <w:shd w:val="clear" w:color="auto" w:fill="C6D9F1"/>
        <w:rPr>
          <w:rFonts w:ascii="Calibri" w:hAnsi="Calibri"/>
          <w:szCs w:val="22"/>
        </w:rPr>
      </w:pPr>
      <w:r w:rsidRPr="006145B5">
        <w:rPr>
          <w:rFonts w:ascii="Calibri" w:hAnsi="Calibri"/>
          <w:szCs w:val="22"/>
        </w:rPr>
        <w:t>Israeli start</w:t>
      </w:r>
      <w:r w:rsidR="00825780">
        <w:rPr>
          <w:rFonts w:ascii="Calibri" w:hAnsi="Calibri"/>
          <w:szCs w:val="22"/>
        </w:rPr>
        <w:t>-</w:t>
      </w:r>
      <w:r w:rsidRPr="006145B5">
        <w:rPr>
          <w:rFonts w:ascii="Calibri" w:hAnsi="Calibri"/>
          <w:szCs w:val="22"/>
        </w:rPr>
        <w:t xml:space="preserve">up </w:t>
      </w:r>
      <w:proofErr w:type="spellStart"/>
      <w:r w:rsidRPr="006145B5">
        <w:rPr>
          <w:rFonts w:ascii="Calibri" w:hAnsi="Calibri"/>
          <w:szCs w:val="22"/>
        </w:rPr>
        <w:t>Orcam</w:t>
      </w:r>
      <w:proofErr w:type="spellEnd"/>
      <w:r w:rsidRPr="006145B5">
        <w:rPr>
          <w:rFonts w:ascii="Calibri" w:hAnsi="Calibri"/>
          <w:szCs w:val="22"/>
        </w:rPr>
        <w:t xml:space="preserve"> is generating global buzz over its technology to help the visually impaired. The small gadget, containing a camera and earpiece, clips on to a pair of glasses and tells the wearer what’s in front of them. It can read the text of a book or menu, identify products on supermarket shelves and even announce the names of friends and family in a room. The company said it had pre-sold “several hundred units” following their introduction on June 4 at a price of $US2,500 each, with the first 100 units shipping in September and the remainder expected to be shipped by the end of 2013. </w:t>
      </w:r>
    </w:p>
    <w:p w:rsidR="00DA563B" w:rsidRPr="0048625A" w:rsidRDefault="00B95C77" w:rsidP="00751146">
      <w:pPr>
        <w:shd w:val="clear" w:color="auto" w:fill="C6D9F1"/>
        <w:rPr>
          <w:rFonts w:asciiTheme="minorHAnsi" w:hAnsiTheme="minorHAnsi"/>
        </w:rPr>
      </w:pPr>
      <w:r w:rsidRPr="0048625A">
        <w:rPr>
          <w:rFonts w:asciiTheme="minorHAnsi" w:hAnsiTheme="minorHAnsi"/>
        </w:rPr>
        <w:t xml:space="preserve">Source: ACCAN </w:t>
      </w:r>
      <w:r w:rsidR="00B36628" w:rsidRPr="0048625A">
        <w:rPr>
          <w:rFonts w:asciiTheme="minorHAnsi" w:hAnsiTheme="minorHAnsi"/>
        </w:rPr>
        <w:t xml:space="preserve">Magazine, </w:t>
      </w:r>
      <w:proofErr w:type="gramStart"/>
      <w:r w:rsidR="00B36628" w:rsidRPr="0048625A">
        <w:rPr>
          <w:rFonts w:asciiTheme="minorHAnsi" w:hAnsiTheme="minorHAnsi"/>
        </w:rPr>
        <w:t>Winter</w:t>
      </w:r>
      <w:proofErr w:type="gramEnd"/>
      <w:r w:rsidR="00DA563B" w:rsidRPr="0048625A">
        <w:rPr>
          <w:rFonts w:asciiTheme="minorHAnsi" w:hAnsiTheme="minorHAnsi"/>
        </w:rPr>
        <w:t xml:space="preserve"> 2013</w:t>
      </w:r>
    </w:p>
    <w:p w:rsidR="000139C7" w:rsidRDefault="000139C7" w:rsidP="00753921">
      <w:pPr>
        <w:rPr>
          <w:rFonts w:ascii="Calibri" w:hAnsi="Calibri"/>
          <w:szCs w:val="22"/>
        </w:rPr>
      </w:pPr>
    </w:p>
    <w:p w:rsidR="006161B4" w:rsidRDefault="00DA563B" w:rsidP="00753921">
      <w:pPr>
        <w:rPr>
          <w:rFonts w:ascii="Calibri" w:hAnsi="Calibri"/>
          <w:szCs w:val="22"/>
        </w:rPr>
      </w:pPr>
      <w:r w:rsidRPr="009B7F1A">
        <w:rPr>
          <w:rFonts w:ascii="Calibri" w:hAnsi="Calibri"/>
          <w:szCs w:val="22"/>
        </w:rPr>
        <w:t>Many solutions will be provided spontaneously from the market. Others may need government support while others c</w:t>
      </w:r>
      <w:r w:rsidR="00CB0F6D">
        <w:rPr>
          <w:rFonts w:ascii="Calibri" w:hAnsi="Calibri"/>
          <w:szCs w:val="22"/>
        </w:rPr>
        <w:t>ould be realised through retail service provider obligations</w:t>
      </w:r>
      <w:r w:rsidR="001E634B">
        <w:rPr>
          <w:rFonts w:ascii="Calibri" w:hAnsi="Calibri"/>
          <w:szCs w:val="22"/>
        </w:rPr>
        <w:t>.</w:t>
      </w:r>
    </w:p>
    <w:p w:rsidR="006161B4" w:rsidRDefault="00AE529A" w:rsidP="006161B4">
      <w:pPr>
        <w:pStyle w:val="Heading3"/>
      </w:pPr>
      <w:r>
        <w:t>3.2.1</w:t>
      </w:r>
      <w:r>
        <w:tab/>
      </w:r>
      <w:r w:rsidR="006161B4">
        <w:t>Imposing carrier obligations</w:t>
      </w:r>
    </w:p>
    <w:p w:rsidR="00A16C1A" w:rsidRPr="00A16C1A" w:rsidRDefault="00A16C1A" w:rsidP="00A16C1A">
      <w:pPr>
        <w:rPr>
          <w:rFonts w:ascii="Calibri" w:hAnsi="Calibri"/>
          <w:szCs w:val="22"/>
        </w:rPr>
      </w:pPr>
      <w:r w:rsidRPr="00A16C1A">
        <w:rPr>
          <w:rFonts w:ascii="Calibri" w:hAnsi="Calibri"/>
          <w:szCs w:val="22"/>
        </w:rPr>
        <w:t xml:space="preserve">The ACMA could impose </w:t>
      </w:r>
      <w:r>
        <w:rPr>
          <w:rFonts w:ascii="Calibri" w:hAnsi="Calibri"/>
          <w:szCs w:val="22"/>
        </w:rPr>
        <w:t xml:space="preserve">accessibility </w:t>
      </w:r>
      <w:r w:rsidR="0035095E">
        <w:rPr>
          <w:rFonts w:ascii="Calibri" w:hAnsi="Calibri"/>
          <w:szCs w:val="22"/>
        </w:rPr>
        <w:t xml:space="preserve">(and affordability) </w:t>
      </w:r>
      <w:r w:rsidRPr="00A16C1A">
        <w:rPr>
          <w:rFonts w:ascii="Calibri" w:hAnsi="Calibri"/>
          <w:szCs w:val="22"/>
        </w:rPr>
        <w:t xml:space="preserve">obligations either through changes to </w:t>
      </w:r>
      <w:r w:rsidR="0085180F">
        <w:rPr>
          <w:rFonts w:ascii="Calibri" w:hAnsi="Calibri"/>
          <w:szCs w:val="22"/>
        </w:rPr>
        <w:t xml:space="preserve">the </w:t>
      </w:r>
      <w:r w:rsidR="00825780">
        <w:rPr>
          <w:rFonts w:ascii="Calibri" w:hAnsi="Calibri"/>
          <w:szCs w:val="22"/>
        </w:rPr>
        <w:t>Telecommunications Consumer Protections C</w:t>
      </w:r>
      <w:r w:rsidR="0085180F">
        <w:rPr>
          <w:rFonts w:ascii="Calibri" w:hAnsi="Calibri"/>
          <w:szCs w:val="22"/>
        </w:rPr>
        <w:t xml:space="preserve">ode noted </w:t>
      </w:r>
      <w:r w:rsidR="006161B4">
        <w:rPr>
          <w:rFonts w:ascii="Calibri" w:hAnsi="Calibri"/>
          <w:szCs w:val="22"/>
        </w:rPr>
        <w:t>in Section 3.1.1</w:t>
      </w:r>
      <w:r w:rsidR="0085180F">
        <w:rPr>
          <w:rFonts w:ascii="Calibri" w:hAnsi="Calibri"/>
          <w:szCs w:val="22"/>
        </w:rPr>
        <w:t xml:space="preserve">, </w:t>
      </w:r>
      <w:r w:rsidR="006161B4">
        <w:rPr>
          <w:rFonts w:ascii="Calibri" w:hAnsi="Calibri"/>
          <w:szCs w:val="22"/>
        </w:rPr>
        <w:t xml:space="preserve">or </w:t>
      </w:r>
      <w:r w:rsidRPr="00A16C1A">
        <w:rPr>
          <w:rFonts w:ascii="Calibri" w:hAnsi="Calibri"/>
          <w:szCs w:val="22"/>
        </w:rPr>
        <w:t>carrier licence conditions</w:t>
      </w:r>
      <w:r w:rsidRPr="00A16C1A">
        <w:rPr>
          <w:rFonts w:ascii="Calibri" w:hAnsi="Calibri"/>
          <w:szCs w:val="22"/>
          <w:vertAlign w:val="superscript"/>
        </w:rPr>
        <w:footnoteReference w:id="21"/>
      </w:r>
      <w:r w:rsidRPr="00A16C1A">
        <w:rPr>
          <w:rFonts w:ascii="Calibri" w:hAnsi="Calibri"/>
          <w:szCs w:val="22"/>
        </w:rPr>
        <w:t xml:space="preserve"> or, more likely, through </w:t>
      </w:r>
      <w:r w:rsidR="009C1766">
        <w:rPr>
          <w:rFonts w:ascii="Calibri" w:hAnsi="Calibri"/>
          <w:szCs w:val="22"/>
        </w:rPr>
        <w:t>d</w:t>
      </w:r>
      <w:r w:rsidRPr="00A16C1A">
        <w:rPr>
          <w:rFonts w:ascii="Calibri" w:hAnsi="Calibri"/>
          <w:szCs w:val="22"/>
        </w:rPr>
        <w:t>eterminations issued through Section 2 of the Telecommunications Act 1997</w:t>
      </w:r>
      <w:r w:rsidRPr="00A16C1A">
        <w:rPr>
          <w:rFonts w:ascii="Calibri" w:hAnsi="Calibri"/>
          <w:szCs w:val="22"/>
          <w:vertAlign w:val="superscript"/>
        </w:rPr>
        <w:footnoteReference w:id="22"/>
      </w:r>
      <w:r w:rsidRPr="00A16C1A">
        <w:rPr>
          <w:rFonts w:ascii="Calibri" w:hAnsi="Calibri"/>
          <w:szCs w:val="22"/>
        </w:rPr>
        <w:t>.  Two examples of the latter approach are:</w:t>
      </w:r>
    </w:p>
    <w:p w:rsidR="00A16C1A" w:rsidRPr="000A1827" w:rsidRDefault="00A16C1A" w:rsidP="000A1827">
      <w:pPr>
        <w:pStyle w:val="ListParagraph"/>
        <w:numPr>
          <w:ilvl w:val="0"/>
          <w:numId w:val="34"/>
        </w:numPr>
        <w:rPr>
          <w:rFonts w:ascii="Calibri" w:hAnsi="Calibri"/>
          <w:szCs w:val="22"/>
        </w:rPr>
      </w:pPr>
      <w:r w:rsidRPr="000A1827">
        <w:rPr>
          <w:rFonts w:ascii="Calibri" w:hAnsi="Calibri"/>
          <w:szCs w:val="22"/>
        </w:rPr>
        <w:t>The ACMA has made the Telecommunications (Service Provider - Identity Checks for Pre-Paid Public Mobile Telecommunications Services) Determination 2000, which requires that carriage service providers must not issue a number as part of the supply of a pre-paid carriage service to a person unless the person has provided the carriage service provider with specified information relating to the person's identity.</w:t>
      </w:r>
    </w:p>
    <w:p w:rsidR="00A16C1A" w:rsidRPr="000A1827" w:rsidRDefault="00A16C1A" w:rsidP="000A1827">
      <w:pPr>
        <w:pStyle w:val="ListParagraph"/>
        <w:numPr>
          <w:ilvl w:val="0"/>
          <w:numId w:val="34"/>
        </w:numPr>
        <w:rPr>
          <w:rFonts w:ascii="Calibri" w:hAnsi="Calibri"/>
          <w:szCs w:val="22"/>
        </w:rPr>
      </w:pPr>
      <w:r w:rsidRPr="000A1827">
        <w:rPr>
          <w:rFonts w:ascii="Calibri" w:hAnsi="Calibri"/>
          <w:szCs w:val="22"/>
        </w:rPr>
        <w:t xml:space="preserve">The ACMA has also made the </w:t>
      </w:r>
      <w:hyperlink r:id="rId37" w:tgtFrame="_blank" w:history="1">
        <w:r w:rsidRPr="000A1827">
          <w:rPr>
            <w:rStyle w:val="Hyperlink"/>
            <w:rFonts w:ascii="Calibri" w:hAnsi="Calibri"/>
            <w:i/>
            <w:iCs/>
            <w:szCs w:val="22"/>
          </w:rPr>
          <w:t>Telecommunications (Backup Power and Informed Decisions) Service Provider Determination 2014</w:t>
        </w:r>
      </w:hyperlink>
      <w:r w:rsidRPr="000A1827">
        <w:rPr>
          <w:rFonts w:ascii="Calibri" w:hAnsi="Calibri"/>
          <w:szCs w:val="22"/>
        </w:rPr>
        <w:t xml:space="preserve">, which requires carriage service providers to obtain an informed decision from residential fixed line telephone customers on </w:t>
      </w:r>
      <w:proofErr w:type="spellStart"/>
      <w:r w:rsidR="009C1766">
        <w:rPr>
          <w:rFonts w:ascii="Calibri" w:hAnsi="Calibri"/>
          <w:szCs w:val="22"/>
        </w:rPr>
        <w:t>nbn</w:t>
      </w:r>
      <w:proofErr w:type="spellEnd"/>
      <w:r w:rsidR="009C1766">
        <w:rPr>
          <w:rFonts w:ascii="Calibri" w:hAnsi="Calibri"/>
          <w:szCs w:val="22"/>
        </w:rPr>
        <w:t xml:space="preserve"> </w:t>
      </w:r>
      <w:r w:rsidRPr="000A1827">
        <w:rPr>
          <w:rFonts w:ascii="Calibri" w:hAnsi="Calibri"/>
          <w:szCs w:val="22"/>
        </w:rPr>
        <w:t>fibre to the premises infrastructure regarding their backup power supply (backup battery) requirements and to keep appropriate records for a specified period. </w:t>
      </w:r>
    </w:p>
    <w:p w:rsidR="00DA563B" w:rsidRDefault="00194212" w:rsidP="00753921">
      <w:pPr>
        <w:rPr>
          <w:rFonts w:asciiTheme="minorHAnsi" w:hAnsiTheme="minorHAnsi"/>
          <w:szCs w:val="22"/>
        </w:rPr>
      </w:pPr>
      <w:r w:rsidRPr="00431326">
        <w:rPr>
          <w:rFonts w:asciiTheme="minorHAnsi" w:hAnsiTheme="minorHAnsi"/>
          <w:szCs w:val="22"/>
        </w:rPr>
        <w:t>Work needs to be done on what accessibility</w:t>
      </w:r>
      <w:r w:rsidR="00CF1DB4" w:rsidRPr="00431326">
        <w:rPr>
          <w:rFonts w:asciiTheme="minorHAnsi" w:hAnsiTheme="minorHAnsi"/>
          <w:szCs w:val="22"/>
        </w:rPr>
        <w:t xml:space="preserve"> (including performance and reliability standards)</w:t>
      </w:r>
      <w:r w:rsidRPr="00431326">
        <w:rPr>
          <w:rFonts w:asciiTheme="minorHAnsi" w:hAnsiTheme="minorHAnsi"/>
          <w:szCs w:val="22"/>
        </w:rPr>
        <w:t xml:space="preserve"> requirements </w:t>
      </w:r>
      <w:r w:rsidR="00217B8B" w:rsidRPr="00431326">
        <w:rPr>
          <w:rFonts w:asciiTheme="minorHAnsi" w:hAnsiTheme="minorHAnsi"/>
          <w:szCs w:val="22"/>
        </w:rPr>
        <w:t xml:space="preserve">may </w:t>
      </w:r>
      <w:r w:rsidRPr="00431326">
        <w:rPr>
          <w:rFonts w:asciiTheme="minorHAnsi" w:hAnsiTheme="minorHAnsi"/>
          <w:szCs w:val="22"/>
        </w:rPr>
        <w:t>need to be addressed in a fixed broadband and</w:t>
      </w:r>
      <w:r w:rsidR="00217B8B" w:rsidRPr="00431326">
        <w:rPr>
          <w:rFonts w:asciiTheme="minorHAnsi" w:hAnsiTheme="minorHAnsi"/>
          <w:szCs w:val="22"/>
        </w:rPr>
        <w:t xml:space="preserve"> mobile voice and data context.</w:t>
      </w:r>
      <w:r w:rsidR="00CF1DB4" w:rsidRPr="00431326">
        <w:rPr>
          <w:rFonts w:asciiTheme="minorHAnsi" w:hAnsiTheme="minorHAnsi"/>
          <w:szCs w:val="22"/>
        </w:rPr>
        <w:t xml:space="preserve"> </w:t>
      </w:r>
    </w:p>
    <w:p w:rsidR="00DB0F6B" w:rsidRPr="00431326" w:rsidRDefault="00DB0F6B" w:rsidP="00753921">
      <w:pPr>
        <w:rPr>
          <w:rFonts w:asciiTheme="minorHAnsi" w:hAnsiTheme="minorHAnsi"/>
          <w:szCs w:val="22"/>
        </w:rPr>
      </w:pPr>
    </w:p>
    <w:p w:rsidR="00DA563B" w:rsidRPr="00753921" w:rsidRDefault="00DA563B" w:rsidP="00753921">
      <w:pPr>
        <w:pStyle w:val="Heading2"/>
      </w:pPr>
      <w:bookmarkStart w:id="12" w:name="_Toc436121937"/>
      <w:r>
        <w:t>3.3</w:t>
      </w:r>
      <w:r>
        <w:tab/>
        <w:t xml:space="preserve">Universal </w:t>
      </w:r>
      <w:r w:rsidR="00AE529A">
        <w:t>a</w:t>
      </w:r>
      <w:r>
        <w:t>ffordability</w:t>
      </w:r>
      <w:bookmarkEnd w:id="12"/>
    </w:p>
    <w:p w:rsidR="00DA563B" w:rsidRDefault="00DA563B" w:rsidP="00A9483F">
      <w:pPr>
        <w:rPr>
          <w:rFonts w:ascii="Calibri" w:hAnsi="Calibri"/>
          <w:szCs w:val="22"/>
        </w:rPr>
      </w:pPr>
      <w:r>
        <w:rPr>
          <w:rFonts w:ascii="Calibri" w:hAnsi="Calibri"/>
          <w:szCs w:val="22"/>
        </w:rPr>
        <w:t xml:space="preserve">Affordability is one of the three corner-stone principles </w:t>
      </w:r>
      <w:r w:rsidR="00973958">
        <w:rPr>
          <w:rFonts w:ascii="Calibri" w:hAnsi="Calibri"/>
          <w:szCs w:val="22"/>
        </w:rPr>
        <w:t>of</w:t>
      </w:r>
      <w:r>
        <w:rPr>
          <w:rFonts w:ascii="Calibri" w:hAnsi="Calibri"/>
          <w:szCs w:val="22"/>
        </w:rPr>
        <w:t xml:space="preserve"> universal service and the one least well served by current USO policy. In Table 3</w:t>
      </w:r>
      <w:r w:rsidR="005431EF">
        <w:rPr>
          <w:rFonts w:ascii="Calibri" w:hAnsi="Calibri"/>
          <w:szCs w:val="22"/>
        </w:rPr>
        <w:t xml:space="preserve"> below</w:t>
      </w:r>
      <w:r>
        <w:rPr>
          <w:rFonts w:ascii="Calibri" w:hAnsi="Calibri"/>
          <w:szCs w:val="22"/>
        </w:rPr>
        <w:t xml:space="preserve">, there is just $40m p.a. for </w:t>
      </w:r>
      <w:r w:rsidR="009001F1">
        <w:rPr>
          <w:rFonts w:ascii="Calibri" w:hAnsi="Calibri"/>
          <w:szCs w:val="22"/>
        </w:rPr>
        <w:t>C</w:t>
      </w:r>
      <w:r>
        <w:rPr>
          <w:rFonts w:ascii="Calibri" w:hAnsi="Calibri"/>
          <w:szCs w:val="22"/>
        </w:rPr>
        <w:t>ommonwealth funding of affordability (the telephone allowance). As noted earlier (Table 1), the main focus has been on availability.</w:t>
      </w:r>
    </w:p>
    <w:p w:rsidR="005431EF" w:rsidRDefault="005431EF" w:rsidP="00A9483F">
      <w:pPr>
        <w:rPr>
          <w:rFonts w:ascii="Calibri" w:hAnsi="Calibri"/>
          <w:szCs w:val="22"/>
        </w:rPr>
      </w:pPr>
      <w:r w:rsidRPr="005431EF">
        <w:rPr>
          <w:rFonts w:ascii="Calibri" w:hAnsi="Calibri"/>
          <w:szCs w:val="22"/>
        </w:rPr>
        <w:lastRenderedPageBreak/>
        <w:t>In Australia affordability has not been addressed through the USO but through carrie</w:t>
      </w:r>
      <w:r w:rsidR="008022E6">
        <w:rPr>
          <w:rFonts w:ascii="Calibri" w:hAnsi="Calibri"/>
          <w:szCs w:val="22"/>
        </w:rPr>
        <w:t>r licence conditions on Telstra</w:t>
      </w:r>
      <w:r w:rsidRPr="005431EF">
        <w:rPr>
          <w:rFonts w:ascii="Calibri" w:hAnsi="Calibri"/>
          <w:szCs w:val="22"/>
        </w:rPr>
        <w:t xml:space="preserve"> and implemented through low income measures (LIMAC)</w:t>
      </w:r>
      <w:r w:rsidRPr="005431EF">
        <w:rPr>
          <w:rFonts w:ascii="Calibri" w:hAnsi="Calibri"/>
          <w:szCs w:val="22"/>
          <w:vertAlign w:val="superscript"/>
        </w:rPr>
        <w:footnoteReference w:id="23"/>
      </w:r>
      <w:r w:rsidRPr="005431EF">
        <w:rPr>
          <w:rFonts w:ascii="Calibri" w:hAnsi="Calibri"/>
          <w:szCs w:val="22"/>
        </w:rPr>
        <w:t>. The retail price caps which had applied to Telstra have been removed as part of deregulation.</w:t>
      </w:r>
    </w:p>
    <w:p w:rsidR="00DA563B" w:rsidRPr="006A7C13" w:rsidRDefault="00DA563B" w:rsidP="0048625A">
      <w:pPr>
        <w:keepNext/>
        <w:jc w:val="center"/>
        <w:rPr>
          <w:rFonts w:ascii="Calibri" w:hAnsi="Calibri"/>
          <w:b/>
        </w:rPr>
      </w:pPr>
      <w:r>
        <w:rPr>
          <w:rFonts w:ascii="Calibri" w:hAnsi="Calibri"/>
          <w:b/>
        </w:rPr>
        <w:t>Table 3</w:t>
      </w:r>
      <w:r w:rsidRPr="006A7C13">
        <w:rPr>
          <w:rFonts w:ascii="Calibri" w:hAnsi="Calibri"/>
          <w:b/>
        </w:rPr>
        <w:t>: USO related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3153"/>
        <w:gridCol w:w="1392"/>
        <w:gridCol w:w="3038"/>
      </w:tblGrid>
      <w:tr w:rsidR="00DA563B" w:rsidTr="00D46911">
        <w:tc>
          <w:tcPr>
            <w:tcW w:w="1659" w:type="dxa"/>
          </w:tcPr>
          <w:p w:rsidR="00DA563B" w:rsidRPr="00D46911" w:rsidRDefault="00DA563B" w:rsidP="00366F0C">
            <w:pPr>
              <w:rPr>
                <w:rFonts w:ascii="Calibri" w:hAnsi="Calibri"/>
                <w:b/>
              </w:rPr>
            </w:pPr>
            <w:r w:rsidRPr="00D46911">
              <w:rPr>
                <w:rFonts w:ascii="Calibri" w:hAnsi="Calibri"/>
                <w:b/>
                <w:szCs w:val="22"/>
              </w:rPr>
              <w:t>Funder</w:t>
            </w:r>
          </w:p>
        </w:tc>
        <w:tc>
          <w:tcPr>
            <w:tcW w:w="3153" w:type="dxa"/>
          </w:tcPr>
          <w:p w:rsidR="00DA563B" w:rsidRPr="00D46911" w:rsidRDefault="00DA563B" w:rsidP="00366F0C">
            <w:pPr>
              <w:rPr>
                <w:rFonts w:ascii="Calibri" w:hAnsi="Calibri"/>
                <w:b/>
              </w:rPr>
            </w:pPr>
            <w:r w:rsidRPr="00D46911">
              <w:rPr>
                <w:rFonts w:ascii="Calibri" w:hAnsi="Calibri"/>
                <w:b/>
                <w:szCs w:val="22"/>
              </w:rPr>
              <w:t>Programme</w:t>
            </w:r>
          </w:p>
        </w:tc>
        <w:tc>
          <w:tcPr>
            <w:tcW w:w="1392" w:type="dxa"/>
          </w:tcPr>
          <w:p w:rsidR="00DA563B" w:rsidRPr="00D46911" w:rsidRDefault="00DA563B" w:rsidP="00366F0C">
            <w:pPr>
              <w:rPr>
                <w:rFonts w:ascii="Calibri" w:hAnsi="Calibri"/>
                <w:b/>
              </w:rPr>
            </w:pPr>
            <w:r w:rsidRPr="00D46911">
              <w:rPr>
                <w:rFonts w:ascii="Calibri" w:hAnsi="Calibri"/>
                <w:b/>
                <w:szCs w:val="22"/>
              </w:rPr>
              <w:t>Objective</w:t>
            </w:r>
          </w:p>
        </w:tc>
        <w:tc>
          <w:tcPr>
            <w:tcW w:w="3038" w:type="dxa"/>
          </w:tcPr>
          <w:p w:rsidR="00DA563B" w:rsidRPr="00D46911" w:rsidRDefault="00DA563B" w:rsidP="00366F0C">
            <w:pPr>
              <w:rPr>
                <w:rFonts w:ascii="Calibri" w:hAnsi="Calibri"/>
                <w:b/>
              </w:rPr>
            </w:pPr>
            <w:r w:rsidRPr="00D46911">
              <w:rPr>
                <w:rFonts w:ascii="Calibri" w:hAnsi="Calibri"/>
                <w:b/>
                <w:szCs w:val="22"/>
              </w:rPr>
              <w:t>Comments</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 xml:space="preserve">Commonwealth and industry </w:t>
            </w:r>
          </w:p>
        </w:tc>
        <w:tc>
          <w:tcPr>
            <w:tcW w:w="3153" w:type="dxa"/>
          </w:tcPr>
          <w:p w:rsidR="00DA563B" w:rsidRPr="00D46911" w:rsidRDefault="00DA563B" w:rsidP="00366F0C">
            <w:pPr>
              <w:rPr>
                <w:rFonts w:ascii="Calibri" w:hAnsi="Calibri"/>
              </w:rPr>
            </w:pPr>
            <w:r w:rsidRPr="00D46911">
              <w:rPr>
                <w:rFonts w:ascii="Calibri" w:hAnsi="Calibri"/>
                <w:szCs w:val="22"/>
              </w:rPr>
              <w:t>USO ($253m p.a.)</w:t>
            </w:r>
          </w:p>
        </w:tc>
        <w:tc>
          <w:tcPr>
            <w:tcW w:w="1392" w:type="dxa"/>
          </w:tcPr>
          <w:p w:rsidR="00DA563B" w:rsidRPr="00D46911" w:rsidRDefault="00DA563B" w:rsidP="00366F0C">
            <w:pPr>
              <w:rPr>
                <w:rFonts w:ascii="Calibri" w:hAnsi="Calibri"/>
              </w:rPr>
            </w:pPr>
            <w:r w:rsidRPr="00D46911">
              <w:rPr>
                <w:rFonts w:ascii="Calibri" w:hAnsi="Calibri"/>
                <w:szCs w:val="22"/>
              </w:rPr>
              <w:t>Availability</w:t>
            </w:r>
          </w:p>
        </w:tc>
        <w:tc>
          <w:tcPr>
            <w:tcW w:w="3038" w:type="dxa"/>
          </w:tcPr>
          <w:p w:rsidR="00DA563B" w:rsidRPr="00D46911" w:rsidRDefault="00DA563B" w:rsidP="00366F0C">
            <w:pPr>
              <w:rPr>
                <w:rFonts w:ascii="Calibri" w:hAnsi="Calibri"/>
              </w:rPr>
            </w:pPr>
            <w:r w:rsidRPr="00D46911">
              <w:rPr>
                <w:rFonts w:ascii="Calibri" w:hAnsi="Calibri"/>
                <w:szCs w:val="22"/>
              </w:rPr>
              <w:t>Telstra $253m p.a. to 2032</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 xml:space="preserve">Commonwealth  </w:t>
            </w:r>
          </w:p>
        </w:tc>
        <w:tc>
          <w:tcPr>
            <w:tcW w:w="3153" w:type="dxa"/>
          </w:tcPr>
          <w:p w:rsidR="00DA563B" w:rsidRPr="00D46911" w:rsidRDefault="00DA563B" w:rsidP="00366F0C">
            <w:pPr>
              <w:rPr>
                <w:rFonts w:ascii="Calibri" w:hAnsi="Calibri"/>
              </w:rPr>
            </w:pPr>
            <w:r w:rsidRPr="00D46911">
              <w:rPr>
                <w:rFonts w:ascii="Calibri" w:hAnsi="Calibri"/>
                <w:szCs w:val="22"/>
              </w:rPr>
              <w:t xml:space="preserve">Payphones </w:t>
            </w:r>
          </w:p>
        </w:tc>
        <w:tc>
          <w:tcPr>
            <w:tcW w:w="1392" w:type="dxa"/>
          </w:tcPr>
          <w:p w:rsidR="00DA563B" w:rsidRPr="00D46911" w:rsidRDefault="00DA563B" w:rsidP="00366F0C">
            <w:pPr>
              <w:rPr>
                <w:rFonts w:ascii="Calibri" w:hAnsi="Calibri"/>
              </w:rPr>
            </w:pPr>
            <w:r w:rsidRPr="00D46911">
              <w:rPr>
                <w:rFonts w:ascii="Calibri" w:hAnsi="Calibri"/>
                <w:szCs w:val="22"/>
              </w:rPr>
              <w:t>Availability</w:t>
            </w:r>
          </w:p>
        </w:tc>
        <w:tc>
          <w:tcPr>
            <w:tcW w:w="3038" w:type="dxa"/>
          </w:tcPr>
          <w:p w:rsidR="00DA563B" w:rsidRPr="00D46911" w:rsidRDefault="00DA563B" w:rsidP="00366F0C">
            <w:pPr>
              <w:rPr>
                <w:rFonts w:ascii="Calibri" w:hAnsi="Calibri"/>
              </w:rPr>
            </w:pPr>
            <w:r w:rsidRPr="00D46911">
              <w:rPr>
                <w:rFonts w:ascii="Calibri" w:hAnsi="Calibri"/>
                <w:szCs w:val="22"/>
              </w:rPr>
              <w:t>Telstra $44m p.a.</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Commonwealth</w:t>
            </w:r>
          </w:p>
        </w:tc>
        <w:tc>
          <w:tcPr>
            <w:tcW w:w="3153" w:type="dxa"/>
          </w:tcPr>
          <w:p w:rsidR="00DA563B" w:rsidRPr="00D46911" w:rsidRDefault="00C6590E" w:rsidP="00366F0C">
            <w:pPr>
              <w:rPr>
                <w:rFonts w:ascii="Calibri" w:hAnsi="Calibri"/>
              </w:rPr>
            </w:pPr>
            <w:hyperlink r:id="rId38" w:history="1">
              <w:r w:rsidR="00825780">
                <w:rPr>
                  <w:rStyle w:val="Hyperlink"/>
                  <w:rFonts w:ascii="Calibri" w:hAnsi="Calibri"/>
                  <w:szCs w:val="22"/>
                </w:rPr>
                <w:t>N</w:t>
              </w:r>
              <w:r w:rsidR="00DA563B" w:rsidRPr="00D46911">
                <w:rPr>
                  <w:rStyle w:val="Hyperlink"/>
                  <w:rFonts w:ascii="Calibri" w:hAnsi="Calibri"/>
                  <w:szCs w:val="22"/>
                </w:rPr>
                <w:t>ational relay service</w:t>
              </w:r>
            </w:hyperlink>
            <w:r w:rsidR="00DA563B" w:rsidRPr="00D46911">
              <w:rPr>
                <w:rFonts w:ascii="Calibri" w:hAnsi="Calibri"/>
                <w:szCs w:val="22"/>
              </w:rPr>
              <w:t xml:space="preserve"> </w:t>
            </w:r>
          </w:p>
        </w:tc>
        <w:tc>
          <w:tcPr>
            <w:tcW w:w="1392" w:type="dxa"/>
          </w:tcPr>
          <w:p w:rsidR="00DA563B" w:rsidRPr="00D46911" w:rsidRDefault="00DA563B" w:rsidP="00366F0C">
            <w:pPr>
              <w:rPr>
                <w:rFonts w:ascii="Calibri" w:hAnsi="Calibri"/>
              </w:rPr>
            </w:pPr>
            <w:r w:rsidRPr="00D46911">
              <w:rPr>
                <w:rFonts w:ascii="Calibri" w:hAnsi="Calibri"/>
                <w:szCs w:val="22"/>
              </w:rPr>
              <w:t>Accessibility</w:t>
            </w:r>
          </w:p>
        </w:tc>
        <w:tc>
          <w:tcPr>
            <w:tcW w:w="3038" w:type="dxa"/>
          </w:tcPr>
          <w:p w:rsidR="00DA563B" w:rsidRPr="00D46911" w:rsidRDefault="00DA563B" w:rsidP="00366F0C">
            <w:pPr>
              <w:rPr>
                <w:rFonts w:ascii="Calibri" w:hAnsi="Calibri"/>
              </w:rPr>
            </w:pPr>
            <w:r w:rsidRPr="00D46911">
              <w:rPr>
                <w:rFonts w:ascii="Calibri" w:hAnsi="Calibri"/>
                <w:szCs w:val="22"/>
              </w:rPr>
              <w:t>$18m p.a. until July 2018</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Commonwealth</w:t>
            </w:r>
          </w:p>
        </w:tc>
        <w:tc>
          <w:tcPr>
            <w:tcW w:w="3153" w:type="dxa"/>
          </w:tcPr>
          <w:p w:rsidR="00DA563B" w:rsidRPr="00D46911" w:rsidRDefault="00C6590E" w:rsidP="00366F0C">
            <w:pPr>
              <w:rPr>
                <w:rFonts w:ascii="Calibri" w:hAnsi="Calibri"/>
              </w:rPr>
            </w:pPr>
            <w:hyperlink r:id="rId39" w:history="1">
              <w:r w:rsidR="00825780">
                <w:rPr>
                  <w:rStyle w:val="Hyperlink"/>
                  <w:rFonts w:ascii="Calibri" w:hAnsi="Calibri"/>
                  <w:szCs w:val="22"/>
                </w:rPr>
                <w:t>E</w:t>
              </w:r>
              <w:r w:rsidR="00DA563B" w:rsidRPr="00D46911">
                <w:rPr>
                  <w:rStyle w:val="Hyperlink"/>
                  <w:rFonts w:ascii="Calibri" w:hAnsi="Calibri"/>
                  <w:szCs w:val="22"/>
                </w:rPr>
                <w:t>mergency call</w:t>
              </w:r>
            </w:hyperlink>
            <w:r w:rsidR="00DA563B" w:rsidRPr="00D46911">
              <w:rPr>
                <w:rFonts w:ascii="Calibri" w:hAnsi="Calibri"/>
                <w:szCs w:val="22"/>
              </w:rPr>
              <w:t xml:space="preserve"> handling</w:t>
            </w:r>
          </w:p>
        </w:tc>
        <w:tc>
          <w:tcPr>
            <w:tcW w:w="1392" w:type="dxa"/>
          </w:tcPr>
          <w:p w:rsidR="00DA563B" w:rsidRPr="00D46911" w:rsidRDefault="00990D83" w:rsidP="00366F0C">
            <w:pPr>
              <w:rPr>
                <w:rFonts w:ascii="Calibri" w:hAnsi="Calibri"/>
              </w:rPr>
            </w:pPr>
            <w:r>
              <w:rPr>
                <w:rFonts w:ascii="Calibri" w:hAnsi="Calibri"/>
              </w:rPr>
              <w:t>Availability</w:t>
            </w:r>
          </w:p>
        </w:tc>
        <w:tc>
          <w:tcPr>
            <w:tcW w:w="3038" w:type="dxa"/>
          </w:tcPr>
          <w:p w:rsidR="00DA563B" w:rsidRPr="00D46911" w:rsidRDefault="00DA563B" w:rsidP="00366F0C">
            <w:pPr>
              <w:rPr>
                <w:rFonts w:ascii="Calibri" w:hAnsi="Calibri"/>
              </w:rPr>
            </w:pPr>
            <w:r w:rsidRPr="00D46911">
              <w:rPr>
                <w:rFonts w:ascii="Calibri" w:hAnsi="Calibri"/>
                <w:szCs w:val="22"/>
              </w:rPr>
              <w:t>$22m p.a. up to 20 years with a tender to be conducted by June 2016</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Commonwealth</w:t>
            </w:r>
          </w:p>
        </w:tc>
        <w:tc>
          <w:tcPr>
            <w:tcW w:w="3153" w:type="dxa"/>
          </w:tcPr>
          <w:p w:rsidR="00DA563B" w:rsidRPr="00D46911" w:rsidRDefault="00C6590E" w:rsidP="00366F0C">
            <w:pPr>
              <w:rPr>
                <w:rFonts w:ascii="Calibri" w:hAnsi="Calibri"/>
              </w:rPr>
            </w:pPr>
            <w:hyperlink r:id="rId40" w:history="1">
              <w:r w:rsidR="00DA563B" w:rsidRPr="00D46911">
                <w:rPr>
                  <w:rStyle w:val="Hyperlink"/>
                  <w:rFonts w:ascii="Calibri" w:hAnsi="Calibri"/>
                  <w:szCs w:val="22"/>
                </w:rPr>
                <w:t>NBN voice only migration</w:t>
              </w:r>
            </w:hyperlink>
          </w:p>
        </w:tc>
        <w:tc>
          <w:tcPr>
            <w:tcW w:w="1392" w:type="dxa"/>
          </w:tcPr>
          <w:p w:rsidR="00DA563B" w:rsidRPr="00D46911" w:rsidRDefault="00990D83" w:rsidP="00366F0C">
            <w:pPr>
              <w:rPr>
                <w:rFonts w:ascii="Calibri" w:hAnsi="Calibri"/>
              </w:rPr>
            </w:pPr>
            <w:r w:rsidRPr="00990D83">
              <w:rPr>
                <w:rFonts w:ascii="Calibri" w:hAnsi="Calibri"/>
              </w:rPr>
              <w:t>Availability</w:t>
            </w:r>
          </w:p>
        </w:tc>
        <w:tc>
          <w:tcPr>
            <w:tcW w:w="3038" w:type="dxa"/>
          </w:tcPr>
          <w:p w:rsidR="00DA563B" w:rsidRPr="00D46911" w:rsidRDefault="00DA563B" w:rsidP="00366F0C">
            <w:pPr>
              <w:rPr>
                <w:rFonts w:ascii="Calibri" w:hAnsi="Calibri"/>
              </w:rPr>
            </w:pPr>
            <w:r w:rsidRPr="00D46911">
              <w:rPr>
                <w:rFonts w:ascii="Calibri" w:hAnsi="Calibri"/>
                <w:szCs w:val="22"/>
              </w:rPr>
              <w:t>$150m before GST over 10 years shared between Telstra and other eligible Retail Service Providers</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Commonwealth</w:t>
            </w:r>
          </w:p>
        </w:tc>
        <w:tc>
          <w:tcPr>
            <w:tcW w:w="3153" w:type="dxa"/>
          </w:tcPr>
          <w:p w:rsidR="00DA563B" w:rsidRPr="00D46911" w:rsidRDefault="00DA563B" w:rsidP="00366F0C">
            <w:pPr>
              <w:rPr>
                <w:rFonts w:ascii="Calibri" w:hAnsi="Calibri"/>
              </w:rPr>
            </w:pPr>
            <w:r w:rsidRPr="00D46911">
              <w:rPr>
                <w:rFonts w:ascii="Calibri" w:hAnsi="Calibri"/>
                <w:szCs w:val="22"/>
              </w:rPr>
              <w:t>Telephone Allowance to certain eligible pensioners</w:t>
            </w:r>
          </w:p>
        </w:tc>
        <w:tc>
          <w:tcPr>
            <w:tcW w:w="1392" w:type="dxa"/>
          </w:tcPr>
          <w:p w:rsidR="00DA563B" w:rsidRPr="00D46911" w:rsidRDefault="00DA563B" w:rsidP="00366F0C">
            <w:pPr>
              <w:rPr>
                <w:rFonts w:ascii="Calibri" w:hAnsi="Calibri"/>
              </w:rPr>
            </w:pPr>
            <w:r w:rsidRPr="00D46911">
              <w:rPr>
                <w:rFonts w:ascii="Calibri" w:hAnsi="Calibri"/>
                <w:szCs w:val="22"/>
              </w:rPr>
              <w:t>Affordability</w:t>
            </w:r>
          </w:p>
        </w:tc>
        <w:tc>
          <w:tcPr>
            <w:tcW w:w="3038" w:type="dxa"/>
          </w:tcPr>
          <w:p w:rsidR="00DA563B" w:rsidRPr="00D46911" w:rsidRDefault="00DA563B" w:rsidP="00366F0C">
            <w:pPr>
              <w:rPr>
                <w:rFonts w:ascii="Calibri" w:hAnsi="Calibri"/>
              </w:rPr>
            </w:pPr>
            <w:r w:rsidRPr="00D46911">
              <w:rPr>
                <w:rFonts w:ascii="Calibri" w:hAnsi="Calibri"/>
                <w:szCs w:val="22"/>
              </w:rPr>
              <w:t>Depending on the beneficiary’s circumstance; either $27.20 or $40 per quarter (</w:t>
            </w:r>
            <w:r w:rsidR="008022E6">
              <w:rPr>
                <w:rFonts w:ascii="Calibri" w:hAnsi="Calibri"/>
                <w:szCs w:val="22"/>
              </w:rPr>
              <w:t>approx.</w:t>
            </w:r>
            <w:r w:rsidRPr="00D46911">
              <w:rPr>
                <w:rFonts w:ascii="Calibri" w:hAnsi="Calibri"/>
                <w:szCs w:val="22"/>
              </w:rPr>
              <w:t xml:space="preserve"> $40m p.a.)</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Commonwealth</w:t>
            </w:r>
          </w:p>
        </w:tc>
        <w:tc>
          <w:tcPr>
            <w:tcW w:w="3153" w:type="dxa"/>
          </w:tcPr>
          <w:p w:rsidR="00DA563B" w:rsidRPr="00D46911" w:rsidRDefault="00DA563B" w:rsidP="00366F0C">
            <w:pPr>
              <w:rPr>
                <w:rFonts w:ascii="Calibri" w:hAnsi="Calibri"/>
              </w:rPr>
            </w:pPr>
            <w:r w:rsidRPr="00D46911">
              <w:rPr>
                <w:rFonts w:ascii="Calibri" w:hAnsi="Calibri"/>
                <w:szCs w:val="22"/>
              </w:rPr>
              <w:t>New Satellite Support Scheme</w:t>
            </w:r>
          </w:p>
          <w:p w:rsidR="00DA563B" w:rsidRPr="00D46911" w:rsidRDefault="00DA563B" w:rsidP="00366F0C">
            <w:pPr>
              <w:rPr>
                <w:rFonts w:ascii="Calibri" w:hAnsi="Calibri"/>
              </w:rPr>
            </w:pPr>
          </w:p>
        </w:tc>
        <w:tc>
          <w:tcPr>
            <w:tcW w:w="1392" w:type="dxa"/>
          </w:tcPr>
          <w:p w:rsidR="00DA563B" w:rsidRPr="00D46911" w:rsidRDefault="00DA563B" w:rsidP="00366F0C">
            <w:pPr>
              <w:rPr>
                <w:rFonts w:ascii="Calibri" w:hAnsi="Calibri"/>
              </w:rPr>
            </w:pPr>
            <w:r w:rsidRPr="00D46911">
              <w:rPr>
                <w:rFonts w:ascii="Calibri" w:hAnsi="Calibri"/>
                <w:szCs w:val="22"/>
              </w:rPr>
              <w:t>Availability</w:t>
            </w:r>
          </w:p>
        </w:tc>
        <w:tc>
          <w:tcPr>
            <w:tcW w:w="3038" w:type="dxa"/>
          </w:tcPr>
          <w:p w:rsidR="00DA563B" w:rsidRPr="00D46911" w:rsidRDefault="00DA563B" w:rsidP="001571EA">
            <w:pPr>
              <w:rPr>
                <w:rFonts w:ascii="Calibri" w:hAnsi="Calibri"/>
              </w:rPr>
            </w:pPr>
            <w:r w:rsidRPr="00D46911">
              <w:rPr>
                <w:rFonts w:ascii="Calibri" w:hAnsi="Calibri"/>
                <w:szCs w:val="22"/>
              </w:rPr>
              <w:t xml:space="preserve">To allow 9,000 premises unable to access </w:t>
            </w:r>
            <w:proofErr w:type="spellStart"/>
            <w:r w:rsidR="001571EA">
              <w:rPr>
                <w:rFonts w:ascii="Calibri" w:hAnsi="Calibri"/>
                <w:szCs w:val="22"/>
              </w:rPr>
              <w:t>nbn</w:t>
            </w:r>
            <w:r w:rsidRPr="00D46911">
              <w:rPr>
                <w:rFonts w:ascii="Calibri" w:hAnsi="Calibri"/>
                <w:szCs w:val="22"/>
              </w:rPr>
              <w:t>’s</w:t>
            </w:r>
            <w:proofErr w:type="spellEnd"/>
            <w:r w:rsidRPr="00D46911">
              <w:rPr>
                <w:rFonts w:ascii="Calibri" w:hAnsi="Calibri"/>
                <w:szCs w:val="22"/>
              </w:rPr>
              <w:t xml:space="preserve"> I</w:t>
            </w:r>
            <w:r w:rsidR="005D29A4">
              <w:rPr>
                <w:rFonts w:ascii="Calibri" w:hAnsi="Calibri"/>
                <w:szCs w:val="22"/>
              </w:rPr>
              <w:t xml:space="preserve">nterim </w:t>
            </w:r>
            <w:r w:rsidRPr="00D46911">
              <w:rPr>
                <w:rFonts w:ascii="Calibri" w:hAnsi="Calibri"/>
                <w:szCs w:val="22"/>
              </w:rPr>
              <w:t>S</w:t>
            </w:r>
            <w:r w:rsidR="005D29A4">
              <w:rPr>
                <w:rFonts w:ascii="Calibri" w:hAnsi="Calibri"/>
                <w:szCs w:val="22"/>
              </w:rPr>
              <w:t xml:space="preserve">atellite </w:t>
            </w:r>
            <w:r w:rsidRPr="00D46911">
              <w:rPr>
                <w:rFonts w:ascii="Calibri" w:hAnsi="Calibri"/>
                <w:szCs w:val="22"/>
              </w:rPr>
              <w:t>S</w:t>
            </w:r>
            <w:r w:rsidR="005D29A4">
              <w:rPr>
                <w:rFonts w:ascii="Calibri" w:hAnsi="Calibri"/>
                <w:szCs w:val="22"/>
              </w:rPr>
              <w:t>ervice</w:t>
            </w:r>
            <w:r w:rsidRPr="00D46911">
              <w:rPr>
                <w:rFonts w:ascii="Calibri" w:hAnsi="Calibri"/>
                <w:szCs w:val="22"/>
              </w:rPr>
              <w:t xml:space="preserve"> to access commercial satellite services (2014)</w:t>
            </w:r>
          </w:p>
        </w:tc>
      </w:tr>
      <w:tr w:rsidR="00DA563B" w:rsidTr="00D46911">
        <w:tc>
          <w:tcPr>
            <w:tcW w:w="1659" w:type="dxa"/>
          </w:tcPr>
          <w:p w:rsidR="00DA563B" w:rsidRPr="00D46911" w:rsidRDefault="00DA563B" w:rsidP="00366F0C">
            <w:pPr>
              <w:rPr>
                <w:rFonts w:ascii="Calibri" w:hAnsi="Calibri"/>
              </w:rPr>
            </w:pPr>
            <w:r w:rsidRPr="00D46911">
              <w:rPr>
                <w:rFonts w:ascii="Calibri" w:hAnsi="Calibri"/>
                <w:szCs w:val="22"/>
              </w:rPr>
              <w:t>Telstra</w:t>
            </w:r>
          </w:p>
        </w:tc>
        <w:tc>
          <w:tcPr>
            <w:tcW w:w="3153" w:type="dxa"/>
          </w:tcPr>
          <w:p w:rsidR="00DA563B" w:rsidRPr="00D46911" w:rsidRDefault="00C6590E" w:rsidP="00217B8B">
            <w:pPr>
              <w:rPr>
                <w:rFonts w:ascii="Calibri" w:hAnsi="Calibri"/>
              </w:rPr>
            </w:pPr>
            <w:hyperlink r:id="rId41" w:history="1">
              <w:r w:rsidR="00DA563B" w:rsidRPr="00D46911">
                <w:rPr>
                  <w:rStyle w:val="Hyperlink"/>
                  <w:rFonts w:ascii="Calibri" w:hAnsi="Calibri"/>
                  <w:i/>
                  <w:szCs w:val="22"/>
                </w:rPr>
                <w:t>Access for Everyone</w:t>
              </w:r>
            </w:hyperlink>
            <w:r w:rsidR="00DA563B" w:rsidRPr="00D46911">
              <w:rPr>
                <w:rFonts w:ascii="Calibri" w:hAnsi="Calibri"/>
                <w:bCs/>
                <w:szCs w:val="22"/>
              </w:rPr>
              <w:t xml:space="preserve">  </w:t>
            </w:r>
            <w:r w:rsidR="00990D83">
              <w:rPr>
                <w:rFonts w:ascii="Calibri" w:hAnsi="Calibri"/>
                <w:bCs/>
                <w:szCs w:val="22"/>
              </w:rPr>
              <w:t>meets</w:t>
            </w:r>
            <w:r w:rsidR="00DA563B" w:rsidRPr="00D46911">
              <w:rPr>
                <w:rFonts w:ascii="Calibri" w:hAnsi="Calibri"/>
                <w:bCs/>
                <w:szCs w:val="22"/>
              </w:rPr>
              <w:t xml:space="preserve"> licensing conditions </w:t>
            </w:r>
            <w:r w:rsidR="00990D83">
              <w:rPr>
                <w:rFonts w:ascii="Calibri" w:hAnsi="Calibri"/>
                <w:bCs/>
                <w:szCs w:val="22"/>
              </w:rPr>
              <w:t xml:space="preserve">with solutions </w:t>
            </w:r>
            <w:r w:rsidR="00DA563B" w:rsidRPr="00D46911">
              <w:rPr>
                <w:rFonts w:ascii="Calibri" w:hAnsi="Calibri"/>
                <w:bCs/>
                <w:szCs w:val="22"/>
              </w:rPr>
              <w:t>endorsed by the Low-income Measures Assessment Committee (LIMAC).</w:t>
            </w:r>
          </w:p>
        </w:tc>
        <w:tc>
          <w:tcPr>
            <w:tcW w:w="1392" w:type="dxa"/>
          </w:tcPr>
          <w:p w:rsidR="00DA563B" w:rsidRPr="00D46911" w:rsidRDefault="00DA563B" w:rsidP="00366F0C">
            <w:pPr>
              <w:rPr>
                <w:rFonts w:ascii="Calibri" w:hAnsi="Calibri"/>
              </w:rPr>
            </w:pPr>
            <w:r w:rsidRPr="00D46911">
              <w:rPr>
                <w:rFonts w:ascii="Calibri" w:hAnsi="Calibri"/>
                <w:szCs w:val="22"/>
              </w:rPr>
              <w:t>Affordability and Accessibility</w:t>
            </w:r>
          </w:p>
        </w:tc>
        <w:tc>
          <w:tcPr>
            <w:tcW w:w="3038" w:type="dxa"/>
          </w:tcPr>
          <w:p w:rsidR="00DA563B" w:rsidRPr="00D46911" w:rsidRDefault="00DA563B" w:rsidP="00366F0C">
            <w:pPr>
              <w:rPr>
                <w:rFonts w:ascii="Calibri" w:hAnsi="Calibri"/>
              </w:rPr>
            </w:pPr>
            <w:r w:rsidRPr="00D46911">
              <w:rPr>
                <w:rFonts w:ascii="Calibri" w:hAnsi="Calibri"/>
                <w:szCs w:val="22"/>
              </w:rPr>
              <w:t xml:space="preserve"> A variety of support measures with a focus on voice (e.g. </w:t>
            </w:r>
            <w:proofErr w:type="spellStart"/>
            <w:r w:rsidRPr="00D46911">
              <w:rPr>
                <w:rFonts w:ascii="Calibri" w:hAnsi="Calibri"/>
                <w:szCs w:val="22"/>
              </w:rPr>
              <w:t>InContact</w:t>
            </w:r>
            <w:proofErr w:type="spellEnd"/>
            <w:r w:rsidRPr="00D46911">
              <w:rPr>
                <w:rFonts w:ascii="Calibri" w:hAnsi="Calibri"/>
                <w:szCs w:val="22"/>
              </w:rPr>
              <w:t>); all funded by Telstra for around $145m pa (2013-14)</w:t>
            </w:r>
          </w:p>
        </w:tc>
      </w:tr>
    </w:tbl>
    <w:p w:rsidR="00DA563B" w:rsidRDefault="00DA563B" w:rsidP="006A7C13">
      <w:pPr>
        <w:rPr>
          <w:rFonts w:ascii="Calibri" w:hAnsi="Calibri"/>
        </w:rPr>
      </w:pPr>
      <w:r>
        <w:rPr>
          <w:rFonts w:ascii="Calibri" w:hAnsi="Calibri"/>
        </w:rPr>
        <w:t>Sources: Hawkin</w:t>
      </w:r>
      <w:r w:rsidR="00825780">
        <w:rPr>
          <w:rFonts w:ascii="Calibri" w:hAnsi="Calibri"/>
        </w:rPr>
        <w:t>s</w:t>
      </w:r>
      <w:r>
        <w:rPr>
          <w:rFonts w:ascii="Calibri" w:hAnsi="Calibri"/>
        </w:rPr>
        <w:t xml:space="preserve"> and </w:t>
      </w:r>
      <w:proofErr w:type="spellStart"/>
      <w:r>
        <w:rPr>
          <w:rFonts w:ascii="Calibri" w:hAnsi="Calibri"/>
        </w:rPr>
        <w:t>Pavlidis</w:t>
      </w:r>
      <w:proofErr w:type="spellEnd"/>
      <w:r w:rsidR="005D29A4">
        <w:rPr>
          <w:rFonts w:ascii="Calibri" w:hAnsi="Calibri"/>
        </w:rPr>
        <w:t xml:space="preserve"> (2015)</w:t>
      </w:r>
      <w:r>
        <w:rPr>
          <w:rFonts w:ascii="Calibri" w:hAnsi="Calibri"/>
        </w:rPr>
        <w:t>, author (objectives) and sites as linked.</w:t>
      </w:r>
    </w:p>
    <w:p w:rsidR="00DA563B" w:rsidRDefault="00DA563B" w:rsidP="00A9483F">
      <w:pPr>
        <w:rPr>
          <w:rFonts w:ascii="Calibri" w:hAnsi="Calibri"/>
          <w:szCs w:val="22"/>
        </w:rPr>
      </w:pPr>
    </w:p>
    <w:p w:rsidR="00DA563B" w:rsidRDefault="00DA563B" w:rsidP="007443C7">
      <w:pPr>
        <w:rPr>
          <w:rFonts w:ascii="Calibri" w:hAnsi="Calibri"/>
          <w:szCs w:val="22"/>
        </w:rPr>
      </w:pPr>
      <w:r>
        <w:rPr>
          <w:rFonts w:ascii="Calibri" w:hAnsi="Calibri"/>
          <w:szCs w:val="22"/>
        </w:rPr>
        <w:t xml:space="preserve">What do we mean by affordable? </w:t>
      </w:r>
      <w:r w:rsidRPr="007443C7">
        <w:rPr>
          <w:rFonts w:ascii="Calibri" w:hAnsi="Calibri"/>
          <w:szCs w:val="22"/>
        </w:rPr>
        <w:t xml:space="preserve">Ofcom considers </w:t>
      </w:r>
      <w:r>
        <w:rPr>
          <w:rFonts w:ascii="Calibri" w:hAnsi="Calibri"/>
          <w:szCs w:val="22"/>
        </w:rPr>
        <w:t>that</w:t>
      </w:r>
      <w:r w:rsidRPr="007443C7">
        <w:rPr>
          <w:rFonts w:ascii="Calibri" w:hAnsi="Calibri"/>
          <w:szCs w:val="22"/>
        </w:rPr>
        <w:t xml:space="preserve"> </w:t>
      </w:r>
      <w:r>
        <w:rPr>
          <w:rFonts w:ascii="Calibri" w:hAnsi="Calibri"/>
          <w:szCs w:val="22"/>
        </w:rPr>
        <w:t xml:space="preserve">a </w:t>
      </w:r>
      <w:r w:rsidRPr="007443C7">
        <w:rPr>
          <w:rFonts w:ascii="Calibri" w:hAnsi="Calibri"/>
          <w:szCs w:val="22"/>
        </w:rPr>
        <w:t>“</w:t>
      </w:r>
      <w:r w:rsidRPr="007443C7">
        <w:rPr>
          <w:rFonts w:ascii="Calibri" w:hAnsi="Calibri"/>
          <w:i/>
          <w:szCs w:val="22"/>
        </w:rPr>
        <w:t>service is considered to be affordable for a consumer if the consumer is able to purchase it without suffering undue hardship</w:t>
      </w:r>
      <w:r w:rsidRPr="007443C7">
        <w:rPr>
          <w:rFonts w:ascii="Calibri" w:hAnsi="Calibri"/>
          <w:szCs w:val="22"/>
        </w:rPr>
        <w:t>” (Ofcom 2014).</w:t>
      </w:r>
      <w:r>
        <w:rPr>
          <w:rFonts w:ascii="Calibri" w:hAnsi="Calibri"/>
          <w:szCs w:val="22"/>
        </w:rPr>
        <w:t xml:space="preserve"> </w:t>
      </w:r>
      <w:r w:rsidRPr="007443C7">
        <w:rPr>
          <w:rFonts w:ascii="Calibri" w:hAnsi="Calibri"/>
          <w:szCs w:val="22"/>
        </w:rPr>
        <w:lastRenderedPageBreak/>
        <w:t xml:space="preserve">This echoes </w:t>
      </w:r>
      <w:r w:rsidR="00CF1DB4">
        <w:rPr>
          <w:rFonts w:ascii="Calibri" w:hAnsi="Calibri"/>
          <w:szCs w:val="22"/>
        </w:rPr>
        <w:t>another</w:t>
      </w:r>
      <w:r w:rsidRPr="007443C7">
        <w:rPr>
          <w:rFonts w:ascii="Calibri" w:hAnsi="Calibri"/>
          <w:szCs w:val="22"/>
        </w:rPr>
        <w:t xml:space="preserve"> definition of affordability as “</w:t>
      </w:r>
      <w:r w:rsidRPr="007443C7">
        <w:rPr>
          <w:rFonts w:ascii="Calibri" w:hAnsi="Calibri"/>
          <w:i/>
          <w:szCs w:val="22"/>
        </w:rPr>
        <w:t>a consumer’s ability to pay for and use telecommunications without sacrificing expenditure on other essential services and items”</w:t>
      </w:r>
      <w:r w:rsidRPr="007443C7">
        <w:rPr>
          <w:rFonts w:ascii="Calibri" w:hAnsi="Calibri"/>
          <w:szCs w:val="22"/>
        </w:rPr>
        <w:t xml:space="preserve"> (Lewin &amp; Milne 2010, p4-5).</w:t>
      </w:r>
    </w:p>
    <w:p w:rsidR="00DA563B" w:rsidRDefault="00973958" w:rsidP="00A9686E">
      <w:pPr>
        <w:rPr>
          <w:rFonts w:ascii="Calibri" w:hAnsi="Calibri"/>
          <w:szCs w:val="22"/>
        </w:rPr>
      </w:pPr>
      <w:r>
        <w:rPr>
          <w:noProof/>
        </w:rPr>
        <w:drawing>
          <wp:anchor distT="0" distB="0" distL="114300" distR="114300" simplePos="0" relativeHeight="251659776" behindDoc="1" locked="0" layoutInCell="1" allowOverlap="1" wp14:anchorId="731FEDD9" wp14:editId="2AF488AE">
            <wp:simplePos x="0" y="0"/>
            <wp:positionH relativeFrom="column">
              <wp:posOffset>4046220</wp:posOffset>
            </wp:positionH>
            <wp:positionV relativeFrom="paragraph">
              <wp:posOffset>8255</wp:posOffset>
            </wp:positionV>
            <wp:extent cx="1716405" cy="1146175"/>
            <wp:effectExtent l="0" t="0" r="0" b="0"/>
            <wp:wrapTight wrapText="bothSides">
              <wp:wrapPolygon edited="0">
                <wp:start x="0" y="0"/>
                <wp:lineTo x="0" y="21181"/>
                <wp:lineTo x="21336" y="21181"/>
                <wp:lineTo x="21336" y="0"/>
                <wp:lineTo x="0" y="0"/>
              </wp:wrapPolygon>
            </wp:wrapTight>
            <wp:docPr id="14" name="Picture 17" descr="Angli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licare Victoria"/>
                    <pic:cNvPicPr>
                      <a:picLocks noChangeAspect="1" noChangeArrowheads="1"/>
                    </pic:cNvPicPr>
                  </pic:nvPicPr>
                  <pic:blipFill>
                    <a:blip r:embed="rId42"/>
                    <a:srcRect/>
                    <a:stretch>
                      <a:fillRect/>
                    </a:stretch>
                  </pic:blipFill>
                  <pic:spPr bwMode="auto">
                    <a:xfrm>
                      <a:off x="0" y="0"/>
                      <a:ext cx="1716405" cy="1146175"/>
                    </a:xfrm>
                    <a:prstGeom prst="rect">
                      <a:avLst/>
                    </a:prstGeom>
                    <a:noFill/>
                  </pic:spPr>
                </pic:pic>
              </a:graphicData>
            </a:graphic>
          </wp:anchor>
        </w:drawing>
      </w:r>
      <w:r w:rsidR="00DA563B">
        <w:rPr>
          <w:rFonts w:ascii="Calibri" w:hAnsi="Calibri"/>
          <w:szCs w:val="22"/>
        </w:rPr>
        <w:t xml:space="preserve">On this definition, </w:t>
      </w:r>
      <w:r w:rsidR="00CF1DB4">
        <w:rPr>
          <w:rFonts w:ascii="Calibri" w:hAnsi="Calibri"/>
          <w:szCs w:val="22"/>
        </w:rPr>
        <w:t>affordability</w:t>
      </w:r>
      <w:r w:rsidR="00DA563B">
        <w:rPr>
          <w:rFonts w:ascii="Calibri" w:hAnsi="Calibri"/>
          <w:szCs w:val="22"/>
        </w:rPr>
        <w:t xml:space="preserve"> is a problem</w:t>
      </w:r>
      <w:r w:rsidR="00DA563B" w:rsidRPr="00325D1B">
        <w:rPr>
          <w:rFonts w:ascii="Calibri" w:hAnsi="Calibri"/>
          <w:szCs w:val="22"/>
        </w:rPr>
        <w:t xml:space="preserve">. </w:t>
      </w:r>
      <w:proofErr w:type="spellStart"/>
      <w:r w:rsidR="00DA563B" w:rsidRPr="00325D1B">
        <w:rPr>
          <w:rFonts w:ascii="Calibri" w:hAnsi="Calibri"/>
          <w:szCs w:val="22"/>
        </w:rPr>
        <w:t>Pavlidis</w:t>
      </w:r>
      <w:proofErr w:type="spellEnd"/>
      <w:r w:rsidR="00DA563B" w:rsidRPr="00325D1B">
        <w:rPr>
          <w:rFonts w:ascii="Calibri" w:hAnsi="Calibri"/>
          <w:szCs w:val="22"/>
        </w:rPr>
        <w:t xml:space="preserve"> and </w:t>
      </w:r>
      <w:proofErr w:type="spellStart"/>
      <w:r w:rsidR="00DA563B" w:rsidRPr="00325D1B">
        <w:rPr>
          <w:rFonts w:ascii="Calibri" w:hAnsi="Calibri"/>
          <w:szCs w:val="22"/>
        </w:rPr>
        <w:t>Gadir</w:t>
      </w:r>
      <w:proofErr w:type="spellEnd"/>
      <w:r w:rsidR="00DA563B" w:rsidRPr="00325D1B">
        <w:rPr>
          <w:rFonts w:ascii="Calibri" w:hAnsi="Calibri"/>
          <w:szCs w:val="22"/>
        </w:rPr>
        <w:t xml:space="preserve"> report</w:t>
      </w:r>
      <w:r w:rsidR="00DA563B" w:rsidRPr="00325D1B">
        <w:rPr>
          <w:rFonts w:ascii="Calibri" w:hAnsi="Calibri"/>
          <w:szCs w:val="22"/>
          <w:vertAlign w:val="superscript"/>
        </w:rPr>
        <w:footnoteReference w:id="24"/>
      </w:r>
      <w:r w:rsidR="00DA563B">
        <w:rPr>
          <w:rFonts w:ascii="Calibri" w:hAnsi="Calibri"/>
          <w:szCs w:val="22"/>
        </w:rPr>
        <w:t xml:space="preserve"> </w:t>
      </w:r>
      <w:r w:rsidR="00DA563B" w:rsidRPr="00325D1B">
        <w:rPr>
          <w:rFonts w:ascii="Calibri" w:hAnsi="Calibri"/>
          <w:szCs w:val="22"/>
        </w:rPr>
        <w:t>findings fro</w:t>
      </w:r>
      <w:r w:rsidR="00DA563B">
        <w:rPr>
          <w:rFonts w:ascii="Calibri" w:hAnsi="Calibri"/>
          <w:szCs w:val="22"/>
        </w:rPr>
        <w:t xml:space="preserve">m the 2013 </w:t>
      </w:r>
      <w:proofErr w:type="spellStart"/>
      <w:r w:rsidR="00DA563B">
        <w:rPr>
          <w:rFonts w:ascii="Calibri" w:hAnsi="Calibri"/>
          <w:szCs w:val="22"/>
        </w:rPr>
        <w:t>Anglicare</w:t>
      </w:r>
      <w:proofErr w:type="spellEnd"/>
      <w:r w:rsidR="00DA563B">
        <w:rPr>
          <w:rFonts w:ascii="Calibri" w:hAnsi="Calibri"/>
          <w:szCs w:val="22"/>
        </w:rPr>
        <w:t xml:space="preserve"> Victoria </w:t>
      </w:r>
      <w:r w:rsidR="00DA563B" w:rsidRPr="00325D1B">
        <w:rPr>
          <w:rFonts w:ascii="Calibri" w:hAnsi="Calibri"/>
          <w:szCs w:val="22"/>
        </w:rPr>
        <w:t xml:space="preserve">hardship survey </w:t>
      </w:r>
      <w:r w:rsidR="00DA563B">
        <w:rPr>
          <w:rFonts w:ascii="Calibri" w:hAnsi="Calibri"/>
          <w:szCs w:val="22"/>
        </w:rPr>
        <w:t>that show a</w:t>
      </w:r>
      <w:r w:rsidR="00DA563B" w:rsidRPr="003D3D0C">
        <w:rPr>
          <w:rFonts w:ascii="Calibri" w:hAnsi="Calibri"/>
          <w:szCs w:val="22"/>
        </w:rPr>
        <w:t>lmost 6% of clients were deprived of all forms of telecommunications and almost half had only had one form of telecommunication</w:t>
      </w:r>
      <w:r w:rsidR="00DA563B">
        <w:rPr>
          <w:rFonts w:ascii="Calibri" w:hAnsi="Calibri"/>
          <w:szCs w:val="22"/>
        </w:rPr>
        <w:t xml:space="preserve">. </w:t>
      </w:r>
      <w:r w:rsidR="00DA563B" w:rsidRPr="00A9686E">
        <w:rPr>
          <w:rFonts w:ascii="Calibri" w:hAnsi="Calibri"/>
          <w:szCs w:val="22"/>
        </w:rPr>
        <w:t xml:space="preserve">Deprivation of home </w:t>
      </w:r>
      <w:r w:rsidR="008022E6">
        <w:rPr>
          <w:rFonts w:ascii="Calibri" w:hAnsi="Calibri"/>
          <w:szCs w:val="22"/>
        </w:rPr>
        <w:t>i</w:t>
      </w:r>
      <w:r w:rsidR="00DA563B" w:rsidRPr="00A9686E">
        <w:rPr>
          <w:rFonts w:ascii="Calibri" w:hAnsi="Calibri"/>
          <w:szCs w:val="22"/>
        </w:rPr>
        <w:t xml:space="preserve">nternet (49.2%) </w:t>
      </w:r>
      <w:r w:rsidR="00DA563B">
        <w:rPr>
          <w:rFonts w:ascii="Calibri" w:hAnsi="Calibri"/>
          <w:szCs w:val="22"/>
        </w:rPr>
        <w:t xml:space="preserve">and mobile </w:t>
      </w:r>
      <w:r w:rsidR="008022E6">
        <w:rPr>
          <w:rFonts w:ascii="Calibri" w:hAnsi="Calibri"/>
          <w:szCs w:val="22"/>
        </w:rPr>
        <w:t>i</w:t>
      </w:r>
      <w:r w:rsidR="00DA563B">
        <w:rPr>
          <w:rFonts w:ascii="Calibri" w:hAnsi="Calibri"/>
          <w:szCs w:val="22"/>
        </w:rPr>
        <w:t>nternet (56.1%) was</w:t>
      </w:r>
      <w:r w:rsidR="00DA563B" w:rsidRPr="00A9686E">
        <w:rPr>
          <w:rFonts w:ascii="Calibri" w:hAnsi="Calibri"/>
          <w:szCs w:val="22"/>
        </w:rPr>
        <w:t xml:space="preserve"> </w:t>
      </w:r>
      <w:r w:rsidR="00DA563B">
        <w:rPr>
          <w:rFonts w:ascii="Calibri" w:hAnsi="Calibri"/>
          <w:szCs w:val="22"/>
        </w:rPr>
        <w:t xml:space="preserve">also </w:t>
      </w:r>
      <w:r w:rsidR="00DA563B" w:rsidRPr="00A9686E">
        <w:rPr>
          <w:rFonts w:ascii="Calibri" w:hAnsi="Calibri"/>
          <w:szCs w:val="22"/>
        </w:rPr>
        <w:t xml:space="preserve">high. </w:t>
      </w:r>
    </w:p>
    <w:p w:rsidR="00DA563B" w:rsidRPr="00A9686E" w:rsidRDefault="00DA563B" w:rsidP="00CF1DB4">
      <w:pPr>
        <w:rPr>
          <w:rFonts w:ascii="Calibri" w:hAnsi="Calibri"/>
          <w:szCs w:val="22"/>
        </w:rPr>
      </w:pPr>
      <w:r w:rsidRPr="00A9686E">
        <w:rPr>
          <w:rFonts w:ascii="Calibri" w:hAnsi="Calibri"/>
          <w:szCs w:val="22"/>
        </w:rPr>
        <w:t xml:space="preserve">In contrast, </w:t>
      </w:r>
      <w:r>
        <w:rPr>
          <w:rFonts w:ascii="Calibri" w:hAnsi="Calibri"/>
          <w:szCs w:val="22"/>
        </w:rPr>
        <w:t>only</w:t>
      </w:r>
      <w:r w:rsidRPr="00A9686E">
        <w:rPr>
          <w:rFonts w:ascii="Calibri" w:hAnsi="Calibri"/>
          <w:szCs w:val="22"/>
        </w:rPr>
        <w:t xml:space="preserve"> 10.9</w:t>
      </w:r>
      <w:r>
        <w:rPr>
          <w:rFonts w:ascii="Calibri" w:hAnsi="Calibri"/>
          <w:szCs w:val="22"/>
        </w:rPr>
        <w:t>%</w:t>
      </w:r>
      <w:r w:rsidRPr="00A9686E">
        <w:rPr>
          <w:rFonts w:ascii="Calibri" w:hAnsi="Calibri"/>
          <w:szCs w:val="22"/>
        </w:rPr>
        <w:t xml:space="preserve"> of survey respondents did not own a mobile for affordability reasons. However, over one third of </w:t>
      </w:r>
      <w:r w:rsidR="00CF1DB4">
        <w:rPr>
          <w:rFonts w:ascii="Calibri" w:hAnsi="Calibri"/>
          <w:szCs w:val="22"/>
        </w:rPr>
        <w:t xml:space="preserve">those with </w:t>
      </w:r>
      <w:r w:rsidRPr="00A9686E">
        <w:rPr>
          <w:rFonts w:ascii="Calibri" w:hAnsi="Calibri"/>
          <w:szCs w:val="22"/>
        </w:rPr>
        <w:t xml:space="preserve">mobile phones </w:t>
      </w:r>
      <w:r w:rsidR="00CF1DB4">
        <w:rPr>
          <w:rFonts w:ascii="Calibri" w:hAnsi="Calibri"/>
          <w:szCs w:val="22"/>
        </w:rPr>
        <w:t xml:space="preserve">thought that they </w:t>
      </w:r>
      <w:r w:rsidRPr="00A9686E">
        <w:rPr>
          <w:rFonts w:ascii="Calibri" w:hAnsi="Calibri"/>
          <w:szCs w:val="22"/>
        </w:rPr>
        <w:t>were either ‘somewhat’ or ‘very’ unaffordable</w:t>
      </w:r>
      <w:r>
        <w:rPr>
          <w:rFonts w:ascii="Calibri" w:hAnsi="Calibri"/>
          <w:szCs w:val="22"/>
        </w:rPr>
        <w:t>.</w:t>
      </w:r>
      <w:r w:rsidRPr="00A9686E">
        <w:rPr>
          <w:rFonts w:ascii="Calibri" w:hAnsi="Calibri"/>
          <w:szCs w:val="22"/>
        </w:rPr>
        <w:t xml:space="preserve"> This perception, coupled with the respondents’ widespread use of mobile phones, suggests an element of ‘essentiality’. That is, mobile phones are considered such an essential item that despite many respondents finding them unaffordable, they continue to use them.</w:t>
      </w:r>
    </w:p>
    <w:p w:rsidR="00DA563B" w:rsidRDefault="00DA563B" w:rsidP="007443C7">
      <w:pPr>
        <w:rPr>
          <w:rFonts w:ascii="Calibri" w:hAnsi="Calibri"/>
          <w:szCs w:val="22"/>
        </w:rPr>
      </w:pPr>
      <w:r>
        <w:rPr>
          <w:rFonts w:ascii="Calibri" w:hAnsi="Calibri"/>
          <w:szCs w:val="22"/>
        </w:rPr>
        <w:t xml:space="preserve">Internet deprivation is significant because the survey respondents know it can improve their lives. As </w:t>
      </w:r>
      <w:proofErr w:type="spellStart"/>
      <w:r w:rsidRPr="00974F08">
        <w:rPr>
          <w:rFonts w:ascii="Calibri" w:hAnsi="Calibri"/>
          <w:szCs w:val="22"/>
        </w:rPr>
        <w:t>Pavlidis</w:t>
      </w:r>
      <w:proofErr w:type="spellEnd"/>
      <w:r w:rsidRPr="00974F08">
        <w:rPr>
          <w:rFonts w:ascii="Calibri" w:hAnsi="Calibri"/>
          <w:szCs w:val="22"/>
        </w:rPr>
        <w:t xml:space="preserve"> and </w:t>
      </w:r>
      <w:proofErr w:type="spellStart"/>
      <w:r w:rsidRPr="00974F08">
        <w:rPr>
          <w:rFonts w:ascii="Calibri" w:hAnsi="Calibri"/>
          <w:szCs w:val="22"/>
        </w:rPr>
        <w:t>Gadir</w:t>
      </w:r>
      <w:proofErr w:type="spellEnd"/>
      <w:r>
        <w:rPr>
          <w:rFonts w:ascii="Calibri" w:hAnsi="Calibri"/>
          <w:szCs w:val="22"/>
        </w:rPr>
        <w:t xml:space="preserve"> say</w:t>
      </w:r>
      <w:r>
        <w:rPr>
          <w:rStyle w:val="FootnoteReference"/>
          <w:rFonts w:ascii="Calibri" w:hAnsi="Calibri"/>
          <w:szCs w:val="22"/>
        </w:rPr>
        <w:footnoteReference w:id="25"/>
      </w:r>
      <w:r>
        <w:rPr>
          <w:rFonts w:ascii="Calibri" w:hAnsi="Calibri"/>
          <w:szCs w:val="22"/>
        </w:rPr>
        <w:t>, “</w:t>
      </w:r>
      <w:r w:rsidRPr="00974F08">
        <w:rPr>
          <w:rFonts w:ascii="Calibri" w:hAnsi="Calibri"/>
          <w:i/>
          <w:szCs w:val="22"/>
        </w:rPr>
        <w:t>This is hardly surprising given that the Internet is a tool in multiple everyday activities across all spheres of life. One salient aspect of Internet deprivation would be severe limitation on access to employment opportunities and job application processes which have largely shifted online. Without easy Internet access one is less likely to benefit from government services which might require recipients to have an online account. Government agencies, including Medicare and Centrelink, are moving to online m</w:t>
      </w:r>
      <w:r w:rsidR="00367A47">
        <w:rPr>
          <w:rFonts w:ascii="Calibri" w:hAnsi="Calibri"/>
          <w:i/>
          <w:szCs w:val="22"/>
        </w:rPr>
        <w:t>ethods of service delivery and ‘</w:t>
      </w:r>
      <w:r w:rsidRPr="00974F08">
        <w:rPr>
          <w:rFonts w:ascii="Calibri" w:hAnsi="Calibri"/>
          <w:i/>
          <w:szCs w:val="22"/>
        </w:rPr>
        <w:t>app</w:t>
      </w:r>
      <w:r w:rsidR="00367A47">
        <w:rPr>
          <w:rFonts w:ascii="Calibri" w:hAnsi="Calibri"/>
          <w:i/>
          <w:szCs w:val="22"/>
        </w:rPr>
        <w:t>’</w:t>
      </w:r>
      <w:r w:rsidRPr="00974F08">
        <w:rPr>
          <w:rFonts w:ascii="Calibri" w:hAnsi="Calibri"/>
          <w:i/>
          <w:szCs w:val="22"/>
        </w:rPr>
        <w:t xml:space="preserve"> based interaction</w:t>
      </w:r>
      <w:r>
        <w:rPr>
          <w:rFonts w:ascii="Calibri" w:hAnsi="Calibri"/>
          <w:szCs w:val="22"/>
        </w:rPr>
        <w:t>”</w:t>
      </w:r>
      <w:r w:rsidRPr="00A9686E">
        <w:rPr>
          <w:rFonts w:ascii="Calibri" w:hAnsi="Calibri"/>
          <w:szCs w:val="22"/>
        </w:rPr>
        <w:t>.</w:t>
      </w:r>
    </w:p>
    <w:p w:rsidR="00367A47" w:rsidRPr="00CF1DB4" w:rsidRDefault="00367A47" w:rsidP="00367A47">
      <w:pPr>
        <w:rPr>
          <w:rFonts w:ascii="Calibri" w:hAnsi="Calibri"/>
          <w:szCs w:val="22"/>
        </w:rPr>
      </w:pPr>
      <w:r>
        <w:rPr>
          <w:rFonts w:ascii="Calibri" w:hAnsi="Calibri"/>
          <w:szCs w:val="22"/>
        </w:rPr>
        <w:t xml:space="preserve">This has become even more critical with the Government’s </w:t>
      </w:r>
      <w:hyperlink r:id="rId43" w:history="1">
        <w:r w:rsidRPr="00367A47">
          <w:rPr>
            <w:rStyle w:val="Hyperlink"/>
            <w:rFonts w:ascii="Calibri" w:hAnsi="Calibri"/>
            <w:szCs w:val="22"/>
          </w:rPr>
          <w:t>Digital First Strategy</w:t>
        </w:r>
      </w:hyperlink>
      <w:r>
        <w:rPr>
          <w:rFonts w:ascii="Calibri" w:hAnsi="Calibri"/>
          <w:szCs w:val="22"/>
        </w:rPr>
        <w:t xml:space="preserve">   which says that “</w:t>
      </w:r>
      <w:r w:rsidRPr="00367A47">
        <w:rPr>
          <w:rFonts w:ascii="Calibri" w:hAnsi="Calibri"/>
          <w:i/>
          <w:szCs w:val="22"/>
        </w:rPr>
        <w:t>A more digital, networked economy is about far more than broadband. It is about tumultuous change in workplaces …  It’s about expanding options and opportunities for individuals, whether as consumers, workers or entrepreneurs</w:t>
      </w:r>
      <w:r>
        <w:rPr>
          <w:rFonts w:ascii="Calibri" w:hAnsi="Calibri"/>
          <w:i/>
          <w:szCs w:val="22"/>
        </w:rPr>
        <w:t>”</w:t>
      </w:r>
      <w:r w:rsidRPr="00367A47">
        <w:rPr>
          <w:rFonts w:ascii="Calibri" w:hAnsi="Calibri"/>
          <w:i/>
          <w:szCs w:val="22"/>
        </w:rPr>
        <w:t>.</w:t>
      </w:r>
      <w:r w:rsidR="00CF1DB4">
        <w:rPr>
          <w:rFonts w:ascii="Calibri" w:hAnsi="Calibri"/>
          <w:i/>
          <w:szCs w:val="22"/>
        </w:rPr>
        <w:t xml:space="preserve"> </w:t>
      </w:r>
      <w:r w:rsidR="00CF1DB4">
        <w:rPr>
          <w:rFonts w:ascii="Calibri" w:hAnsi="Calibri"/>
          <w:szCs w:val="22"/>
        </w:rPr>
        <w:t>The corollary is that those without access will be deprived  of these opportunities.</w:t>
      </w:r>
    </w:p>
    <w:p w:rsidR="00DA563B" w:rsidRDefault="00CF1DB4" w:rsidP="007443C7">
      <w:pPr>
        <w:rPr>
          <w:rFonts w:ascii="Calibri" w:hAnsi="Calibri"/>
          <w:szCs w:val="22"/>
        </w:rPr>
      </w:pPr>
      <w:r>
        <w:rPr>
          <w:rFonts w:ascii="Calibri" w:hAnsi="Calibri"/>
          <w:szCs w:val="22"/>
        </w:rPr>
        <w:t xml:space="preserve">The need to </w:t>
      </w:r>
      <w:r w:rsidR="00B5321A">
        <w:rPr>
          <w:rFonts w:ascii="Calibri" w:hAnsi="Calibri"/>
          <w:szCs w:val="22"/>
        </w:rPr>
        <w:t xml:space="preserve">do </w:t>
      </w:r>
      <w:r>
        <w:rPr>
          <w:rFonts w:ascii="Calibri" w:hAnsi="Calibri"/>
          <w:szCs w:val="22"/>
        </w:rPr>
        <w:t>more i</w:t>
      </w:r>
      <w:r w:rsidR="006407FA">
        <w:rPr>
          <w:rFonts w:ascii="Calibri" w:hAnsi="Calibri"/>
          <w:szCs w:val="22"/>
        </w:rPr>
        <w:t>s discussed in Section 3.4</w:t>
      </w:r>
      <w:r>
        <w:rPr>
          <w:rFonts w:ascii="Calibri" w:hAnsi="Calibri"/>
          <w:szCs w:val="22"/>
        </w:rPr>
        <w:t>.</w:t>
      </w:r>
    </w:p>
    <w:p w:rsidR="00DA563B" w:rsidRDefault="00AE529A" w:rsidP="002A03B0">
      <w:pPr>
        <w:pStyle w:val="Heading3"/>
      </w:pPr>
      <w:r>
        <w:t>3.3.1</w:t>
      </w:r>
      <w:r w:rsidR="002A03B0">
        <w:tab/>
      </w:r>
      <w:r w:rsidR="00DA563B">
        <w:t>The market for affordability support</w:t>
      </w:r>
    </w:p>
    <w:p w:rsidR="00DA563B" w:rsidRDefault="00DA563B" w:rsidP="00E14067">
      <w:pPr>
        <w:rPr>
          <w:rFonts w:ascii="Calibri" w:hAnsi="Calibri"/>
          <w:szCs w:val="22"/>
        </w:rPr>
      </w:pPr>
      <w:r>
        <w:rPr>
          <w:rFonts w:ascii="Calibri" w:hAnsi="Calibri"/>
          <w:szCs w:val="22"/>
        </w:rPr>
        <w:t xml:space="preserve">The </w:t>
      </w:r>
      <w:proofErr w:type="spellStart"/>
      <w:r>
        <w:rPr>
          <w:rFonts w:ascii="Calibri" w:hAnsi="Calibri"/>
          <w:szCs w:val="22"/>
        </w:rPr>
        <w:t>Anglicare</w:t>
      </w:r>
      <w:proofErr w:type="spellEnd"/>
      <w:r>
        <w:rPr>
          <w:rFonts w:ascii="Calibri" w:hAnsi="Calibri"/>
          <w:szCs w:val="22"/>
        </w:rPr>
        <w:t xml:space="preserve"> Victoria and similar surveys are </w:t>
      </w:r>
      <w:r w:rsidR="00300369">
        <w:rPr>
          <w:rFonts w:ascii="Calibri" w:hAnsi="Calibri"/>
          <w:szCs w:val="22"/>
        </w:rPr>
        <w:t>useful</w:t>
      </w:r>
      <w:r>
        <w:rPr>
          <w:rFonts w:ascii="Calibri" w:hAnsi="Calibri"/>
          <w:szCs w:val="22"/>
        </w:rPr>
        <w:t xml:space="preserve"> because they give important insights about demand from those that need help with affordability. But, how big is the market for affordability support? One view of market </w:t>
      </w:r>
      <w:r w:rsidR="002358C5">
        <w:rPr>
          <w:rFonts w:ascii="Calibri" w:hAnsi="Calibri"/>
          <w:szCs w:val="22"/>
        </w:rPr>
        <w:t xml:space="preserve">segments </w:t>
      </w:r>
      <w:r>
        <w:rPr>
          <w:rFonts w:ascii="Calibri" w:hAnsi="Calibri"/>
          <w:szCs w:val="22"/>
        </w:rPr>
        <w:t>is given in Table 4 below.</w:t>
      </w:r>
    </w:p>
    <w:p w:rsidR="00C261D2" w:rsidRDefault="00C261D2" w:rsidP="0048625A">
      <w:pPr>
        <w:keepNext/>
        <w:jc w:val="center"/>
        <w:rPr>
          <w:rFonts w:ascii="Calibri" w:hAnsi="Calibri"/>
          <w:szCs w:val="22"/>
        </w:rPr>
      </w:pPr>
      <w:r w:rsidRPr="00C261D2">
        <w:rPr>
          <w:rFonts w:ascii="Calibri" w:hAnsi="Calibri"/>
          <w:b/>
          <w:szCs w:val="22"/>
        </w:rPr>
        <w:lastRenderedPageBreak/>
        <w:t xml:space="preserve">Table 4 – Disadvantaged Customer Segments in 2010 </w:t>
      </w:r>
      <w:r w:rsidR="00265DB5" w:rsidRPr="00265DB5">
        <w:rPr>
          <w:noProof/>
        </w:rPr>
        <w:drawing>
          <wp:inline distT="0" distB="0" distL="0" distR="0" wp14:anchorId="022C55CE" wp14:editId="79E46419">
            <wp:extent cx="5731510" cy="2072491"/>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072491"/>
                    </a:xfrm>
                    <a:prstGeom prst="rect">
                      <a:avLst/>
                    </a:prstGeom>
                    <a:noFill/>
                    <a:ln>
                      <a:noFill/>
                    </a:ln>
                  </pic:spPr>
                </pic:pic>
              </a:graphicData>
            </a:graphic>
          </wp:inline>
        </w:drawing>
      </w:r>
    </w:p>
    <w:p w:rsidR="0048625A" w:rsidRDefault="0048625A" w:rsidP="00C261D2">
      <w:pPr>
        <w:rPr>
          <w:rFonts w:ascii="Calibri" w:hAnsi="Calibri"/>
          <w:szCs w:val="22"/>
        </w:rPr>
      </w:pPr>
    </w:p>
    <w:p w:rsidR="00DA563B" w:rsidRPr="00C261D2" w:rsidRDefault="00C261D2" w:rsidP="00C261D2">
      <w:pPr>
        <w:rPr>
          <w:rFonts w:ascii="Calibri" w:hAnsi="Calibri"/>
          <w:szCs w:val="22"/>
        </w:rPr>
      </w:pPr>
      <w:r w:rsidRPr="00C261D2">
        <w:rPr>
          <w:rFonts w:ascii="Calibri" w:hAnsi="Calibri"/>
          <w:szCs w:val="22"/>
        </w:rPr>
        <w:t xml:space="preserve">The </w:t>
      </w:r>
      <w:r>
        <w:rPr>
          <w:rFonts w:ascii="Calibri" w:hAnsi="Calibri"/>
          <w:szCs w:val="22"/>
        </w:rPr>
        <w:t xml:space="preserve">customer segments shown already receive various forms of support so </w:t>
      </w:r>
      <w:r w:rsidR="003C79D9">
        <w:rPr>
          <w:rFonts w:ascii="Calibri" w:hAnsi="Calibri"/>
          <w:szCs w:val="22"/>
        </w:rPr>
        <w:t>they</w:t>
      </w:r>
      <w:r>
        <w:rPr>
          <w:rFonts w:ascii="Calibri" w:hAnsi="Calibri"/>
          <w:szCs w:val="22"/>
        </w:rPr>
        <w:t xml:space="preserve"> are likely to </w:t>
      </w:r>
      <w:r w:rsidR="003C79D9">
        <w:rPr>
          <w:rFonts w:ascii="Calibri" w:hAnsi="Calibri"/>
          <w:szCs w:val="22"/>
        </w:rPr>
        <w:t>include some of</w:t>
      </w:r>
      <w:r>
        <w:rPr>
          <w:rFonts w:ascii="Calibri" w:hAnsi="Calibri"/>
          <w:szCs w:val="22"/>
        </w:rPr>
        <w:t xml:space="preserve"> those that need support for affordable telecommunications. Note that the table shows only those for whom the pension or allowance is the “main source” of household income – e.g. there are many more age pensions than shown above.</w:t>
      </w:r>
      <w:r w:rsidR="00847219">
        <w:rPr>
          <w:rFonts w:ascii="Calibri" w:hAnsi="Calibri"/>
          <w:szCs w:val="22"/>
        </w:rPr>
        <w:t xml:space="preserve"> Note also that some households may receive more than one type of allowance (</w:t>
      </w:r>
      <w:r w:rsidR="001921C4">
        <w:rPr>
          <w:rFonts w:ascii="Calibri" w:hAnsi="Calibri"/>
          <w:szCs w:val="22"/>
        </w:rPr>
        <w:t>e.g. the total number of households where government pensions and allowances are the main source of income is 2.12 million; not 2.93 million, the sum</w:t>
      </w:r>
      <w:r w:rsidR="001778AE">
        <w:rPr>
          <w:rFonts w:ascii="Calibri" w:hAnsi="Calibri"/>
          <w:szCs w:val="22"/>
        </w:rPr>
        <w:t xml:space="preserve"> across the row</w:t>
      </w:r>
      <w:r w:rsidR="001921C4">
        <w:rPr>
          <w:rFonts w:ascii="Calibri" w:hAnsi="Calibri"/>
          <w:szCs w:val="22"/>
        </w:rPr>
        <w:t>).</w:t>
      </w:r>
    </w:p>
    <w:p w:rsidR="00057E8D" w:rsidRDefault="00057E8D" w:rsidP="00057E8D">
      <w:pPr>
        <w:tabs>
          <w:tab w:val="left" w:pos="5245"/>
        </w:tabs>
        <w:rPr>
          <w:rFonts w:ascii="Calibri" w:hAnsi="Calibri"/>
          <w:i/>
          <w:szCs w:val="22"/>
        </w:rPr>
      </w:pPr>
      <w:r w:rsidRPr="00057E8D">
        <w:rPr>
          <w:rFonts w:ascii="Calibri" w:hAnsi="Calibri"/>
          <w:szCs w:val="22"/>
        </w:rPr>
        <w:t>Another view of the market for affordability support is derived from what the Australian Bureau of Statistics (ABS) calls the relative poverty line: “</w:t>
      </w:r>
      <w:r w:rsidRPr="00057E8D">
        <w:rPr>
          <w:rFonts w:ascii="Calibri" w:hAnsi="Calibri"/>
          <w:i/>
          <w:szCs w:val="22"/>
        </w:rPr>
        <w:t>Many developed countries use relative poverty to measure the economic wellbeing of households. These measures identify the proportion of people with an income below a certain fraction</w:t>
      </w:r>
      <w:r w:rsidRPr="00057E8D">
        <w:rPr>
          <w:rFonts w:ascii="Calibri" w:hAnsi="Calibri"/>
          <w:b/>
          <w:bCs/>
          <w:i/>
          <w:szCs w:val="22"/>
        </w:rPr>
        <w:t xml:space="preserve"> </w:t>
      </w:r>
      <w:r w:rsidRPr="00057E8D">
        <w:rPr>
          <w:rFonts w:ascii="Calibri" w:hAnsi="Calibri"/>
          <w:i/>
          <w:szCs w:val="22"/>
        </w:rPr>
        <w:t xml:space="preserve">of median </w:t>
      </w:r>
      <w:proofErr w:type="spellStart"/>
      <w:r w:rsidRPr="00057E8D">
        <w:rPr>
          <w:rFonts w:ascii="Calibri" w:hAnsi="Calibri"/>
          <w:i/>
          <w:szCs w:val="22"/>
        </w:rPr>
        <w:t>equivalised</w:t>
      </w:r>
      <w:proofErr w:type="spellEnd"/>
      <w:r w:rsidRPr="00057E8D">
        <w:rPr>
          <w:rFonts w:ascii="Calibri" w:hAnsi="Calibri"/>
          <w:i/>
          <w:szCs w:val="22"/>
        </w:rPr>
        <w:t xml:space="preserve"> disposable household income (EDHI)”</w:t>
      </w:r>
      <w:r w:rsidRPr="00057E8D">
        <w:rPr>
          <w:rFonts w:ascii="Calibri" w:hAnsi="Calibri"/>
          <w:i/>
          <w:szCs w:val="22"/>
          <w:vertAlign w:val="superscript"/>
        </w:rPr>
        <w:footnoteReference w:id="26"/>
      </w:r>
      <w:r w:rsidRPr="00057E8D">
        <w:rPr>
          <w:rFonts w:ascii="Calibri" w:hAnsi="Calibri"/>
          <w:i/>
          <w:szCs w:val="22"/>
        </w:rPr>
        <w:t>.</w:t>
      </w:r>
    </w:p>
    <w:p w:rsidR="00057E8D" w:rsidRDefault="001921C4" w:rsidP="001921C4">
      <w:pPr>
        <w:tabs>
          <w:tab w:val="left" w:pos="5245"/>
        </w:tabs>
        <w:rPr>
          <w:rFonts w:ascii="Calibri" w:hAnsi="Calibri"/>
          <w:szCs w:val="22"/>
        </w:rPr>
      </w:pPr>
      <w:proofErr w:type="spellStart"/>
      <w:r w:rsidRPr="001921C4">
        <w:rPr>
          <w:rFonts w:ascii="Calibri" w:hAnsi="Calibri"/>
          <w:szCs w:val="22"/>
          <w:lang w:val="en-GB"/>
        </w:rPr>
        <w:t>Equivalised</w:t>
      </w:r>
      <w:proofErr w:type="spellEnd"/>
      <w:r w:rsidRPr="001921C4">
        <w:rPr>
          <w:rFonts w:ascii="Calibri" w:hAnsi="Calibri"/>
          <w:szCs w:val="22"/>
          <w:lang w:val="en-GB"/>
        </w:rPr>
        <w:t xml:space="preserve"> means standardised for household composition. For example, “</w:t>
      </w:r>
      <w:r w:rsidRPr="001921C4">
        <w:rPr>
          <w:rFonts w:ascii="Calibri" w:hAnsi="Calibri"/>
          <w:i/>
          <w:szCs w:val="22"/>
        </w:rPr>
        <w:t xml:space="preserve">a couple household with one child would need $1,800 weekly disposable income to have the same </w:t>
      </w:r>
      <w:proofErr w:type="spellStart"/>
      <w:r w:rsidRPr="001921C4">
        <w:rPr>
          <w:rFonts w:ascii="Calibri" w:hAnsi="Calibri"/>
          <w:i/>
          <w:szCs w:val="22"/>
        </w:rPr>
        <w:t>equivalised</w:t>
      </w:r>
      <w:proofErr w:type="spellEnd"/>
      <w:r w:rsidRPr="001921C4">
        <w:rPr>
          <w:rFonts w:ascii="Calibri" w:hAnsi="Calibri"/>
          <w:i/>
          <w:szCs w:val="22"/>
        </w:rPr>
        <w:t xml:space="preserve"> disposable household income (EDHI) as a lone person household with a disposable income of $1,000”.</w:t>
      </w:r>
      <w:r>
        <w:rPr>
          <w:rFonts w:ascii="Calibri" w:hAnsi="Calibri"/>
          <w:szCs w:val="22"/>
        </w:rPr>
        <w:t xml:space="preserve">The median is a form of average where exactly the same number of people or households fall either side of a certain amount. The mean is the simple average. These two averages are included in </w:t>
      </w:r>
      <w:r w:rsidR="00512677">
        <w:rPr>
          <w:rFonts w:ascii="Calibri" w:hAnsi="Calibri"/>
          <w:szCs w:val="22"/>
        </w:rPr>
        <w:t>F</w:t>
      </w:r>
      <w:r>
        <w:rPr>
          <w:rFonts w:ascii="Calibri" w:hAnsi="Calibri"/>
          <w:szCs w:val="22"/>
        </w:rPr>
        <w:t xml:space="preserve">igure </w:t>
      </w:r>
      <w:r w:rsidR="00512677">
        <w:rPr>
          <w:rFonts w:ascii="Calibri" w:hAnsi="Calibri"/>
          <w:szCs w:val="22"/>
        </w:rPr>
        <w:t xml:space="preserve">2 </w:t>
      </w:r>
      <w:r>
        <w:rPr>
          <w:rFonts w:ascii="Calibri" w:hAnsi="Calibri"/>
          <w:szCs w:val="22"/>
        </w:rPr>
        <w:t xml:space="preserve">below which shows </w:t>
      </w:r>
      <w:r w:rsidR="003774AF" w:rsidRPr="003774AF">
        <w:rPr>
          <w:rFonts w:ascii="Calibri" w:hAnsi="Calibri"/>
          <w:szCs w:val="22"/>
        </w:rPr>
        <w:t>average weekly EDHI by percentile</w:t>
      </w:r>
      <w:r w:rsidR="003774AF" w:rsidRPr="003774AF">
        <w:rPr>
          <w:rFonts w:ascii="Calibri" w:hAnsi="Calibri"/>
          <w:i/>
          <w:szCs w:val="22"/>
        </w:rPr>
        <w:t xml:space="preserve">.  </w:t>
      </w:r>
      <w:r w:rsidR="003774AF">
        <w:rPr>
          <w:rFonts w:ascii="Calibri" w:hAnsi="Calibri"/>
          <w:szCs w:val="22"/>
        </w:rPr>
        <w:t xml:space="preserve"> </w:t>
      </w:r>
    </w:p>
    <w:p w:rsidR="00512677" w:rsidRDefault="00512677" w:rsidP="001921C4">
      <w:pPr>
        <w:tabs>
          <w:tab w:val="left" w:pos="5245"/>
        </w:tabs>
        <w:rPr>
          <w:rFonts w:ascii="Calibri" w:hAnsi="Calibri"/>
          <w:szCs w:val="22"/>
        </w:rPr>
      </w:pPr>
      <w:r w:rsidRPr="00512677">
        <w:rPr>
          <w:rFonts w:ascii="Calibri" w:hAnsi="Calibri"/>
          <w:szCs w:val="22"/>
        </w:rPr>
        <w:t xml:space="preserve">There is no general agreement on where to draw the line on relative poverty.  The OECD publishes various analyses based on 40%, 50% or 60% of median incomes (50% used most often), while Eurostat commonly uses 60% as the cut-off. </w:t>
      </w:r>
    </w:p>
    <w:p w:rsidR="00057E8D" w:rsidRDefault="00FF66A2" w:rsidP="00057E8D">
      <w:pPr>
        <w:jc w:val="center"/>
        <w:rPr>
          <w:noProof/>
        </w:rPr>
      </w:pPr>
      <w:r>
        <w:rPr>
          <w:noProof/>
        </w:rPr>
        <w:lastRenderedPageBreak/>
        <w:drawing>
          <wp:inline distT="0" distB="0" distL="0" distR="0" wp14:anchorId="49E10FFD" wp14:editId="5A2F45E2">
            <wp:extent cx="4572635" cy="3429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54D11" w:rsidRPr="00FF66A2" w:rsidRDefault="00254D11" w:rsidP="00254D11">
      <w:r w:rsidRPr="00673538">
        <w:rPr>
          <w:rFonts w:ascii="Calibri" w:hAnsi="Calibri"/>
          <w:color w:val="000000"/>
          <w:szCs w:val="22"/>
          <w:lang w:eastAsia="en-GB"/>
        </w:rPr>
        <w:t>At 60% of the median income, the relative povert</w:t>
      </w:r>
      <w:r>
        <w:rPr>
          <w:rFonts w:ascii="Calibri" w:hAnsi="Calibri"/>
          <w:color w:val="000000"/>
          <w:szCs w:val="22"/>
          <w:lang w:eastAsia="en-GB"/>
        </w:rPr>
        <w:t>y line in Australia in 2013-14 wa</w:t>
      </w:r>
      <w:r w:rsidRPr="00673538">
        <w:rPr>
          <w:rFonts w:ascii="Calibri" w:hAnsi="Calibri"/>
          <w:color w:val="000000"/>
          <w:szCs w:val="22"/>
          <w:lang w:eastAsia="en-GB"/>
        </w:rPr>
        <w:t xml:space="preserve">s $506 per week. </w:t>
      </w:r>
      <w:r>
        <w:rPr>
          <w:rFonts w:ascii="Calibri" w:hAnsi="Calibri"/>
          <w:color w:val="000000"/>
          <w:szCs w:val="22"/>
          <w:lang w:eastAsia="en-GB"/>
        </w:rPr>
        <w:t>This puts</w:t>
      </w:r>
      <w:r w:rsidRPr="00673538">
        <w:rPr>
          <w:rFonts w:ascii="Calibri" w:hAnsi="Calibri"/>
          <w:color w:val="000000"/>
          <w:szCs w:val="22"/>
          <w:lang w:eastAsia="en-GB"/>
        </w:rPr>
        <w:t xml:space="preserve"> three of the customer segments in Table 4</w:t>
      </w:r>
      <w:r>
        <w:rPr>
          <w:rFonts w:ascii="Calibri" w:hAnsi="Calibri"/>
          <w:color w:val="000000"/>
          <w:szCs w:val="22"/>
          <w:lang w:eastAsia="en-GB"/>
        </w:rPr>
        <w:t>,</w:t>
      </w:r>
      <w:r w:rsidRPr="00673538">
        <w:rPr>
          <w:rFonts w:ascii="Calibri" w:hAnsi="Calibri"/>
          <w:color w:val="000000"/>
          <w:szCs w:val="22"/>
          <w:lang w:eastAsia="en-GB"/>
        </w:rPr>
        <w:t xml:space="preserve"> </w:t>
      </w:r>
      <w:r>
        <w:rPr>
          <w:rFonts w:ascii="Calibri" w:hAnsi="Calibri"/>
          <w:color w:val="000000"/>
          <w:szCs w:val="22"/>
          <w:lang w:eastAsia="en-GB"/>
        </w:rPr>
        <w:t>that is, up to 4</w:t>
      </w:r>
      <w:r w:rsidRPr="00673538">
        <w:rPr>
          <w:rFonts w:ascii="Calibri" w:hAnsi="Calibri"/>
          <w:color w:val="000000"/>
          <w:szCs w:val="22"/>
          <w:lang w:eastAsia="en-GB"/>
        </w:rPr>
        <w:t xml:space="preserve"> million people </w:t>
      </w:r>
      <w:r>
        <w:rPr>
          <w:rFonts w:ascii="Calibri" w:hAnsi="Calibri"/>
          <w:color w:val="000000"/>
          <w:szCs w:val="22"/>
          <w:lang w:eastAsia="en-GB"/>
        </w:rPr>
        <w:t>and up to one million households,</w:t>
      </w:r>
      <w:r w:rsidRPr="00673538">
        <w:rPr>
          <w:rFonts w:ascii="Calibri" w:hAnsi="Calibri"/>
          <w:color w:val="000000"/>
          <w:szCs w:val="22"/>
          <w:lang w:eastAsia="en-GB"/>
        </w:rPr>
        <w:t xml:space="preserve"> below the relative poverty line (Table 5).  </w:t>
      </w:r>
    </w:p>
    <w:p w:rsidR="003A39D5" w:rsidRDefault="00254D11" w:rsidP="00254D11">
      <w:pPr>
        <w:rPr>
          <w:rFonts w:ascii="Calibri" w:hAnsi="Calibri"/>
          <w:color w:val="000000"/>
          <w:szCs w:val="22"/>
          <w:lang w:eastAsia="en-GB"/>
        </w:rPr>
      </w:pPr>
      <w:r w:rsidRPr="00673538">
        <w:rPr>
          <w:rFonts w:ascii="Calibri" w:hAnsi="Calibri"/>
          <w:color w:val="000000"/>
          <w:szCs w:val="22"/>
          <w:lang w:eastAsia="en-GB"/>
        </w:rPr>
        <w:t xml:space="preserve">At 50% of the median income, the relative poverty line </w:t>
      </w:r>
      <w:r>
        <w:rPr>
          <w:rFonts w:ascii="Calibri" w:hAnsi="Calibri"/>
          <w:color w:val="000000"/>
          <w:szCs w:val="22"/>
          <w:lang w:eastAsia="en-GB"/>
        </w:rPr>
        <w:t xml:space="preserve">in the same time period was </w:t>
      </w:r>
      <w:r w:rsidRPr="00673538">
        <w:rPr>
          <w:rFonts w:ascii="Calibri" w:hAnsi="Calibri"/>
          <w:color w:val="000000"/>
          <w:szCs w:val="22"/>
          <w:lang w:eastAsia="en-GB"/>
        </w:rPr>
        <w:t>$422 per week</w:t>
      </w:r>
      <w:r>
        <w:rPr>
          <w:rFonts w:ascii="Calibri" w:hAnsi="Calibri"/>
          <w:color w:val="000000"/>
          <w:szCs w:val="22"/>
          <w:lang w:eastAsia="en-GB"/>
        </w:rPr>
        <w:t xml:space="preserve">, placing </w:t>
      </w:r>
      <w:r w:rsidRPr="00673538">
        <w:rPr>
          <w:rFonts w:ascii="Calibri" w:hAnsi="Calibri"/>
          <w:color w:val="000000"/>
          <w:szCs w:val="22"/>
          <w:lang w:eastAsia="en-GB"/>
        </w:rPr>
        <w:t xml:space="preserve">two of the customer segments in Table 4 below the relative poverty line (Table 5).  </w:t>
      </w:r>
    </w:p>
    <w:p w:rsidR="003774AF" w:rsidRDefault="003A39D5" w:rsidP="00673538">
      <w:pPr>
        <w:jc w:val="center"/>
        <w:rPr>
          <w:rFonts w:ascii="Calibri" w:hAnsi="Calibri"/>
          <w:color w:val="000000"/>
          <w:szCs w:val="22"/>
          <w:lang w:eastAsia="en-GB"/>
        </w:rPr>
      </w:pPr>
      <w:r w:rsidRPr="003A39D5">
        <w:rPr>
          <w:rFonts w:ascii="Calibri" w:hAnsi="Calibri"/>
          <w:b/>
          <w:color w:val="000000"/>
          <w:szCs w:val="22"/>
          <w:lang w:eastAsia="en-GB"/>
        </w:rPr>
        <w:t>Ta</w:t>
      </w:r>
      <w:r>
        <w:rPr>
          <w:rFonts w:ascii="Calibri" w:hAnsi="Calibri"/>
          <w:b/>
          <w:color w:val="000000"/>
          <w:szCs w:val="22"/>
          <w:lang w:eastAsia="en-GB"/>
        </w:rPr>
        <w:t xml:space="preserve">ble 5 </w:t>
      </w:r>
      <w:r w:rsidRPr="003A39D5">
        <w:rPr>
          <w:rFonts w:ascii="Calibri" w:hAnsi="Calibri"/>
          <w:b/>
          <w:color w:val="000000"/>
          <w:szCs w:val="22"/>
          <w:lang w:eastAsia="en-GB"/>
        </w:rPr>
        <w:t xml:space="preserve">- People and Households </w:t>
      </w:r>
      <w:r w:rsidR="00885D74">
        <w:rPr>
          <w:rFonts w:ascii="Calibri" w:hAnsi="Calibri"/>
          <w:b/>
          <w:color w:val="000000"/>
          <w:szCs w:val="22"/>
          <w:lang w:eastAsia="en-GB"/>
        </w:rPr>
        <w:t>b</w:t>
      </w:r>
      <w:r w:rsidRPr="003A39D5">
        <w:rPr>
          <w:rFonts w:ascii="Calibri" w:hAnsi="Calibri"/>
          <w:b/>
          <w:color w:val="000000"/>
          <w:szCs w:val="22"/>
          <w:lang w:eastAsia="en-GB"/>
        </w:rPr>
        <w:t>elow the Relative Poverty Line, 2013-14</w:t>
      </w:r>
    </w:p>
    <w:tbl>
      <w:tblPr>
        <w:tblStyle w:val="TableGrid"/>
        <w:tblW w:w="0" w:type="auto"/>
        <w:tblLook w:val="04A0" w:firstRow="1" w:lastRow="0" w:firstColumn="1" w:lastColumn="0" w:noHBand="0" w:noVBand="1"/>
      </w:tblPr>
      <w:tblGrid>
        <w:gridCol w:w="1848"/>
        <w:gridCol w:w="1848"/>
        <w:gridCol w:w="1848"/>
        <w:gridCol w:w="1849"/>
        <w:gridCol w:w="1849"/>
      </w:tblGrid>
      <w:tr w:rsidR="003A39D5" w:rsidTr="00DC1A08">
        <w:tc>
          <w:tcPr>
            <w:tcW w:w="1848" w:type="dxa"/>
          </w:tcPr>
          <w:p w:rsidR="003A39D5" w:rsidRDefault="003A39D5" w:rsidP="003774AF">
            <w:pPr>
              <w:rPr>
                <w:rFonts w:ascii="Calibri" w:hAnsi="Calibri"/>
                <w:color w:val="000000"/>
                <w:sz w:val="22"/>
                <w:szCs w:val="22"/>
                <w:lang w:eastAsia="en-GB"/>
              </w:rPr>
            </w:pPr>
          </w:p>
        </w:tc>
        <w:tc>
          <w:tcPr>
            <w:tcW w:w="3696" w:type="dxa"/>
            <w:gridSpan w:val="2"/>
          </w:tcPr>
          <w:p w:rsidR="003A39D5" w:rsidRDefault="003A39D5" w:rsidP="003A39D5">
            <w:pPr>
              <w:jc w:val="center"/>
              <w:rPr>
                <w:rFonts w:ascii="Calibri" w:hAnsi="Calibri"/>
                <w:color w:val="000000"/>
                <w:sz w:val="22"/>
                <w:szCs w:val="22"/>
                <w:lang w:eastAsia="en-GB"/>
              </w:rPr>
            </w:pPr>
            <w:r>
              <w:rPr>
                <w:rFonts w:ascii="Calibri" w:hAnsi="Calibri"/>
                <w:color w:val="000000"/>
                <w:sz w:val="22"/>
                <w:szCs w:val="22"/>
                <w:lang w:eastAsia="en-GB"/>
              </w:rPr>
              <w:t>Population</w:t>
            </w:r>
          </w:p>
        </w:tc>
        <w:tc>
          <w:tcPr>
            <w:tcW w:w="3698" w:type="dxa"/>
            <w:gridSpan w:val="2"/>
          </w:tcPr>
          <w:p w:rsidR="003A39D5" w:rsidRDefault="003A39D5" w:rsidP="003A39D5">
            <w:pPr>
              <w:jc w:val="center"/>
              <w:rPr>
                <w:rFonts w:ascii="Calibri" w:hAnsi="Calibri"/>
                <w:color w:val="000000"/>
                <w:sz w:val="22"/>
                <w:szCs w:val="22"/>
                <w:lang w:eastAsia="en-GB"/>
              </w:rPr>
            </w:pPr>
            <w:r>
              <w:rPr>
                <w:rFonts w:ascii="Calibri" w:hAnsi="Calibri"/>
                <w:color w:val="000000"/>
                <w:sz w:val="22"/>
                <w:szCs w:val="22"/>
                <w:lang w:eastAsia="en-GB"/>
              </w:rPr>
              <w:t>Households</w:t>
            </w:r>
          </w:p>
        </w:tc>
      </w:tr>
      <w:tr w:rsidR="003A39D5" w:rsidTr="003A39D5">
        <w:tc>
          <w:tcPr>
            <w:tcW w:w="1848"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Poverty Line at:</w:t>
            </w:r>
          </w:p>
        </w:tc>
        <w:tc>
          <w:tcPr>
            <w:tcW w:w="1848"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Millions</w:t>
            </w:r>
          </w:p>
        </w:tc>
        <w:tc>
          <w:tcPr>
            <w:tcW w:w="1848"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Percent</w:t>
            </w:r>
          </w:p>
        </w:tc>
        <w:tc>
          <w:tcPr>
            <w:tcW w:w="1849"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Millions</w:t>
            </w:r>
            <w:r>
              <w:rPr>
                <w:rFonts w:ascii="Calibri" w:hAnsi="Calibri"/>
                <w:color w:val="000000"/>
                <w:sz w:val="22"/>
                <w:szCs w:val="22"/>
                <w:lang w:eastAsia="en-GB"/>
              </w:rPr>
              <w:tab/>
            </w:r>
          </w:p>
        </w:tc>
        <w:tc>
          <w:tcPr>
            <w:tcW w:w="1849"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Percent</w:t>
            </w:r>
          </w:p>
        </w:tc>
      </w:tr>
      <w:tr w:rsidR="003A39D5" w:rsidTr="003A39D5">
        <w:tc>
          <w:tcPr>
            <w:tcW w:w="1848"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$506</w:t>
            </w:r>
            <w:r w:rsidR="00172C3B">
              <w:rPr>
                <w:rFonts w:ascii="Calibri" w:hAnsi="Calibri"/>
                <w:color w:val="000000"/>
                <w:sz w:val="22"/>
                <w:szCs w:val="22"/>
                <w:lang w:eastAsia="en-GB"/>
              </w:rPr>
              <w:t xml:space="preserve"> (60%)</w:t>
            </w:r>
          </w:p>
        </w:tc>
        <w:tc>
          <w:tcPr>
            <w:tcW w:w="1848"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4.3</w:t>
            </w:r>
          </w:p>
        </w:tc>
        <w:tc>
          <w:tcPr>
            <w:tcW w:w="1848"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19.0</w:t>
            </w:r>
          </w:p>
        </w:tc>
        <w:tc>
          <w:tcPr>
            <w:tcW w:w="1849"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1</w:t>
            </w:r>
          </w:p>
        </w:tc>
        <w:tc>
          <w:tcPr>
            <w:tcW w:w="1849" w:type="dxa"/>
          </w:tcPr>
          <w:p w:rsidR="003A39D5" w:rsidRDefault="003A39D5" w:rsidP="003774AF">
            <w:pPr>
              <w:rPr>
                <w:rFonts w:ascii="Calibri" w:hAnsi="Calibri"/>
                <w:color w:val="000000"/>
                <w:sz w:val="22"/>
                <w:szCs w:val="22"/>
                <w:lang w:eastAsia="en-GB"/>
              </w:rPr>
            </w:pPr>
            <w:r>
              <w:rPr>
                <w:rFonts w:ascii="Calibri" w:hAnsi="Calibri"/>
                <w:color w:val="000000"/>
                <w:sz w:val="22"/>
                <w:szCs w:val="22"/>
                <w:lang w:eastAsia="en-GB"/>
              </w:rPr>
              <w:t>12.2</w:t>
            </w:r>
          </w:p>
        </w:tc>
      </w:tr>
      <w:tr w:rsidR="003A39D5" w:rsidTr="003A39D5">
        <w:tc>
          <w:tcPr>
            <w:tcW w:w="1848"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$422</w:t>
            </w:r>
            <w:r w:rsidR="00172C3B">
              <w:rPr>
                <w:rFonts w:ascii="Calibri" w:hAnsi="Calibri"/>
                <w:color w:val="000000"/>
                <w:sz w:val="22"/>
                <w:szCs w:val="22"/>
                <w:lang w:eastAsia="en-GB"/>
              </w:rPr>
              <w:t xml:space="preserve"> (50%)</w:t>
            </w:r>
          </w:p>
        </w:tc>
        <w:tc>
          <w:tcPr>
            <w:tcW w:w="1848"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2.0</w:t>
            </w:r>
          </w:p>
        </w:tc>
        <w:tc>
          <w:tcPr>
            <w:tcW w:w="1848"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8.8</w:t>
            </w:r>
          </w:p>
        </w:tc>
        <w:tc>
          <w:tcPr>
            <w:tcW w:w="1849"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0.5</w:t>
            </w:r>
          </w:p>
        </w:tc>
        <w:tc>
          <w:tcPr>
            <w:tcW w:w="1849" w:type="dxa"/>
          </w:tcPr>
          <w:p w:rsidR="003A39D5" w:rsidRDefault="00B76070" w:rsidP="003774AF">
            <w:pPr>
              <w:rPr>
                <w:rFonts w:ascii="Calibri" w:hAnsi="Calibri"/>
                <w:color w:val="000000"/>
                <w:sz w:val="22"/>
                <w:szCs w:val="22"/>
                <w:lang w:eastAsia="en-GB"/>
              </w:rPr>
            </w:pPr>
            <w:r>
              <w:rPr>
                <w:rFonts w:ascii="Calibri" w:hAnsi="Calibri"/>
                <w:color w:val="000000"/>
                <w:sz w:val="22"/>
                <w:szCs w:val="22"/>
                <w:lang w:eastAsia="en-GB"/>
              </w:rPr>
              <w:t>6.0</w:t>
            </w:r>
          </w:p>
        </w:tc>
      </w:tr>
    </w:tbl>
    <w:p w:rsidR="003A39D5" w:rsidRDefault="00673538" w:rsidP="003774AF">
      <w:pPr>
        <w:rPr>
          <w:rFonts w:ascii="Calibri" w:hAnsi="Calibri"/>
          <w:color w:val="000000"/>
          <w:szCs w:val="22"/>
          <w:lang w:eastAsia="en-GB"/>
        </w:rPr>
      </w:pPr>
      <w:r>
        <w:rPr>
          <w:rFonts w:ascii="Calibri" w:hAnsi="Calibri"/>
          <w:color w:val="000000"/>
          <w:szCs w:val="22"/>
          <w:lang w:eastAsia="en-GB"/>
        </w:rPr>
        <w:t>Source: ABS 6523, Household Income and Wealth 2013-14, Table 1.3</w:t>
      </w:r>
    </w:p>
    <w:p w:rsidR="003A39D5" w:rsidRPr="003774AF" w:rsidRDefault="003A39D5" w:rsidP="003774AF">
      <w:pPr>
        <w:rPr>
          <w:rFonts w:ascii="Calibri" w:hAnsi="Calibri"/>
          <w:color w:val="000000"/>
          <w:szCs w:val="22"/>
          <w:lang w:eastAsia="en-GB"/>
        </w:rPr>
      </w:pPr>
    </w:p>
    <w:p w:rsidR="005431EF" w:rsidRDefault="003774AF" w:rsidP="00D64D3B">
      <w:pPr>
        <w:rPr>
          <w:rFonts w:ascii="Calibri" w:hAnsi="Calibri"/>
          <w:color w:val="000000"/>
          <w:szCs w:val="22"/>
          <w:lang w:eastAsia="en-GB"/>
        </w:rPr>
      </w:pPr>
      <w:r w:rsidRPr="003774AF">
        <w:rPr>
          <w:rFonts w:ascii="Calibri" w:hAnsi="Calibri"/>
          <w:color w:val="000000"/>
          <w:szCs w:val="22"/>
          <w:lang w:eastAsia="en-GB"/>
        </w:rPr>
        <w:t xml:space="preserve">To </w:t>
      </w:r>
      <w:r w:rsidR="00704264">
        <w:rPr>
          <w:rFonts w:ascii="Calibri" w:hAnsi="Calibri"/>
          <w:color w:val="000000"/>
          <w:szCs w:val="22"/>
          <w:lang w:eastAsia="en-GB"/>
        </w:rPr>
        <w:t>give</w:t>
      </w:r>
      <w:r w:rsidRPr="003774AF">
        <w:rPr>
          <w:rFonts w:ascii="Calibri" w:hAnsi="Calibri"/>
          <w:color w:val="000000"/>
          <w:szCs w:val="22"/>
          <w:lang w:eastAsia="en-GB"/>
        </w:rPr>
        <w:t xml:space="preserve"> some concrete examples of low incomes, at April 2015, the base rate with energy supplement and household assistance for a single aged pensioner was $430.10 per week. For an unemployed person with two children at home, </w:t>
      </w:r>
      <w:proofErr w:type="spellStart"/>
      <w:r w:rsidRPr="003774AF">
        <w:rPr>
          <w:rFonts w:ascii="Calibri" w:hAnsi="Calibri"/>
          <w:color w:val="000000"/>
          <w:szCs w:val="22"/>
          <w:lang w:eastAsia="en-GB"/>
        </w:rPr>
        <w:t>Newstart</w:t>
      </w:r>
      <w:proofErr w:type="spellEnd"/>
      <w:r w:rsidRPr="003774AF">
        <w:rPr>
          <w:rFonts w:ascii="Calibri" w:hAnsi="Calibri"/>
          <w:color w:val="000000"/>
          <w:szCs w:val="22"/>
          <w:lang w:eastAsia="en-GB"/>
        </w:rPr>
        <w:t xml:space="preserve"> with related benefits is worth $544.67 per week</w:t>
      </w:r>
      <w:r w:rsidRPr="003774AF">
        <w:rPr>
          <w:rFonts w:ascii="Calibri" w:hAnsi="Calibri"/>
          <w:color w:val="000000"/>
          <w:szCs w:val="22"/>
          <w:vertAlign w:val="superscript"/>
          <w:lang w:eastAsia="en-GB"/>
        </w:rPr>
        <w:footnoteReference w:id="27"/>
      </w:r>
      <w:r w:rsidRPr="003774AF">
        <w:rPr>
          <w:rFonts w:ascii="Calibri" w:hAnsi="Calibri"/>
          <w:color w:val="000000"/>
          <w:szCs w:val="22"/>
          <w:lang w:eastAsia="en-GB"/>
        </w:rPr>
        <w:t xml:space="preserve">. </w:t>
      </w:r>
    </w:p>
    <w:p w:rsidR="00DA563B" w:rsidRPr="00D64D3B" w:rsidRDefault="00DA563B" w:rsidP="002A03B0">
      <w:pPr>
        <w:pStyle w:val="Heading3"/>
      </w:pPr>
      <w:r>
        <w:lastRenderedPageBreak/>
        <w:t>3.3.2</w:t>
      </w:r>
      <w:r>
        <w:tab/>
        <w:t>Targets for social tariffs</w:t>
      </w:r>
      <w:r w:rsidR="00885D74">
        <w:t xml:space="preserve"> </w:t>
      </w:r>
      <w:r w:rsidR="00331C0F" w:rsidRPr="00331C0F">
        <w:t>as a means to address affordability</w:t>
      </w:r>
    </w:p>
    <w:p w:rsidR="00DA563B" w:rsidRDefault="00C2177E" w:rsidP="005B796E">
      <w:pPr>
        <w:rPr>
          <w:rFonts w:ascii="Calibri" w:hAnsi="Calibri"/>
          <w:szCs w:val="22"/>
        </w:rPr>
      </w:pPr>
      <w:r>
        <w:rPr>
          <w:rFonts w:ascii="Calibri" w:hAnsi="Calibri"/>
          <w:szCs w:val="22"/>
        </w:rPr>
        <w:t xml:space="preserve">A “social tariff” is a price </w:t>
      </w:r>
      <w:r w:rsidR="00C00EA0">
        <w:rPr>
          <w:rFonts w:ascii="Calibri" w:hAnsi="Calibri"/>
          <w:szCs w:val="22"/>
        </w:rPr>
        <w:t>determined</w:t>
      </w:r>
      <w:r>
        <w:rPr>
          <w:rFonts w:ascii="Calibri" w:hAnsi="Calibri"/>
          <w:szCs w:val="22"/>
        </w:rPr>
        <w:t xml:space="preserve"> for low income customers. It may be offered voluntarily by service providers as an entry-level tariff or they may be required to offer such tariffs – as argued below.</w:t>
      </w:r>
      <w:r w:rsidR="00F0677A">
        <w:rPr>
          <w:rFonts w:ascii="Calibri" w:hAnsi="Calibri"/>
          <w:szCs w:val="22"/>
        </w:rPr>
        <w:t xml:space="preserve"> </w:t>
      </w:r>
    </w:p>
    <w:p w:rsidR="00015D24" w:rsidRPr="00015D24" w:rsidRDefault="00AA3F86" w:rsidP="00015D24">
      <w:pPr>
        <w:rPr>
          <w:rFonts w:ascii="Calibri" w:hAnsi="Calibri"/>
          <w:szCs w:val="22"/>
        </w:rPr>
      </w:pPr>
      <w:r w:rsidRPr="00AA3F86">
        <w:rPr>
          <w:rFonts w:ascii="Calibri" w:hAnsi="Calibri"/>
          <w:szCs w:val="22"/>
        </w:rPr>
        <w:t xml:space="preserve">What can </w:t>
      </w:r>
      <w:r w:rsidR="007826DF">
        <w:rPr>
          <w:rFonts w:ascii="Calibri" w:hAnsi="Calibri"/>
          <w:szCs w:val="22"/>
        </w:rPr>
        <w:t xml:space="preserve">up to </w:t>
      </w:r>
      <w:r w:rsidRPr="00AA3F86">
        <w:rPr>
          <w:rFonts w:ascii="Calibri" w:hAnsi="Calibri"/>
          <w:szCs w:val="22"/>
        </w:rPr>
        <w:t>4 million low income people afford? Can we set quantitative affordability targets?</w:t>
      </w:r>
      <w:r>
        <w:rPr>
          <w:rFonts w:ascii="Calibri" w:hAnsi="Calibri"/>
          <w:szCs w:val="22"/>
        </w:rPr>
        <w:t xml:space="preserve"> </w:t>
      </w:r>
      <w:r w:rsidR="00015D24" w:rsidRPr="00015D24">
        <w:rPr>
          <w:rFonts w:ascii="Calibri" w:hAnsi="Calibri"/>
          <w:szCs w:val="22"/>
        </w:rPr>
        <w:t xml:space="preserve">Defining affordability </w:t>
      </w:r>
      <w:r w:rsidR="00015D24">
        <w:rPr>
          <w:rFonts w:ascii="Calibri" w:hAnsi="Calibri"/>
          <w:szCs w:val="22"/>
        </w:rPr>
        <w:t>for</w:t>
      </w:r>
      <w:r w:rsidR="00015D24" w:rsidRPr="00015D24">
        <w:rPr>
          <w:rFonts w:ascii="Calibri" w:hAnsi="Calibri"/>
          <w:szCs w:val="22"/>
        </w:rPr>
        <w:t xml:space="preserve"> a minimum level of service requires identifying a threshold above which a household’s ability to pay for the service is compromised. Thresholds based on the share of income or expenditure is recognised as one way of analysing affordability</w:t>
      </w:r>
      <w:r w:rsidR="00015D24" w:rsidRPr="00015D24">
        <w:rPr>
          <w:rFonts w:ascii="Calibri" w:hAnsi="Calibri"/>
          <w:szCs w:val="22"/>
          <w:vertAlign w:val="superscript"/>
        </w:rPr>
        <w:footnoteReference w:id="28"/>
      </w:r>
      <w:r w:rsidR="00015D24" w:rsidRPr="00015D24">
        <w:rPr>
          <w:rFonts w:ascii="Calibri" w:hAnsi="Calibri"/>
          <w:szCs w:val="22"/>
        </w:rPr>
        <w:t xml:space="preserve">. </w:t>
      </w:r>
    </w:p>
    <w:p w:rsidR="00F37E89" w:rsidRDefault="00E821AE" w:rsidP="005B796E">
      <w:pPr>
        <w:rPr>
          <w:rFonts w:ascii="Calibri" w:hAnsi="Calibri"/>
          <w:szCs w:val="22"/>
        </w:rPr>
      </w:pPr>
      <w:r>
        <w:rPr>
          <w:rFonts w:ascii="Calibri" w:hAnsi="Calibri"/>
          <w:szCs w:val="22"/>
        </w:rPr>
        <w:t xml:space="preserve">Let’s start with where we are now. </w:t>
      </w:r>
      <w:r w:rsidR="00F37E89">
        <w:rPr>
          <w:rFonts w:ascii="Calibri" w:hAnsi="Calibri"/>
          <w:szCs w:val="22"/>
        </w:rPr>
        <w:t xml:space="preserve">The following table shows what our target segments spend on three main groups of communications services. </w:t>
      </w:r>
      <w:r>
        <w:rPr>
          <w:rFonts w:ascii="Calibri" w:hAnsi="Calibri"/>
          <w:szCs w:val="22"/>
        </w:rPr>
        <w:t>The household expenditure survey averages spending by item over all households</w:t>
      </w:r>
      <w:r w:rsidR="00191FC9">
        <w:rPr>
          <w:rFonts w:ascii="Calibri" w:hAnsi="Calibri"/>
          <w:szCs w:val="22"/>
        </w:rPr>
        <w:t>,</w:t>
      </w:r>
      <w:r>
        <w:rPr>
          <w:rFonts w:ascii="Calibri" w:hAnsi="Calibri"/>
          <w:szCs w:val="22"/>
        </w:rPr>
        <w:t xml:space="preserve"> whether they bought the item or not. The table uses some adoption rates to </w:t>
      </w:r>
      <w:r w:rsidR="00C00EA0">
        <w:rPr>
          <w:rFonts w:ascii="Calibri" w:hAnsi="Calibri"/>
          <w:szCs w:val="22"/>
        </w:rPr>
        <w:t xml:space="preserve">exclude people not using the service and </w:t>
      </w:r>
      <w:r>
        <w:rPr>
          <w:rFonts w:ascii="Calibri" w:hAnsi="Calibri"/>
          <w:szCs w:val="22"/>
        </w:rPr>
        <w:t>then looks at the resulting shares of disposable income and total spending on goods and services</w:t>
      </w:r>
      <w:r>
        <w:rPr>
          <w:rStyle w:val="FootnoteReference"/>
          <w:rFonts w:ascii="Calibri" w:hAnsi="Calibri"/>
          <w:szCs w:val="22"/>
        </w:rPr>
        <w:footnoteReference w:id="29"/>
      </w:r>
      <w:r>
        <w:rPr>
          <w:rFonts w:ascii="Calibri" w:hAnsi="Calibri"/>
          <w:szCs w:val="22"/>
        </w:rPr>
        <w:t>.</w:t>
      </w:r>
    </w:p>
    <w:p w:rsidR="004F002B" w:rsidRPr="000F2656" w:rsidRDefault="000F2656" w:rsidP="000F2656">
      <w:pPr>
        <w:jc w:val="center"/>
        <w:rPr>
          <w:rFonts w:ascii="Calibri" w:hAnsi="Calibri"/>
          <w:b/>
          <w:szCs w:val="22"/>
        </w:rPr>
      </w:pPr>
      <w:r>
        <w:rPr>
          <w:rFonts w:ascii="Calibri" w:hAnsi="Calibri"/>
          <w:b/>
          <w:szCs w:val="22"/>
        </w:rPr>
        <w:t xml:space="preserve">Table </w:t>
      </w:r>
      <w:r w:rsidR="007826DF">
        <w:rPr>
          <w:rFonts w:ascii="Calibri" w:hAnsi="Calibri"/>
          <w:b/>
          <w:szCs w:val="22"/>
        </w:rPr>
        <w:t>6</w:t>
      </w:r>
      <w:r>
        <w:rPr>
          <w:rFonts w:ascii="Calibri" w:hAnsi="Calibri"/>
          <w:b/>
          <w:szCs w:val="22"/>
        </w:rPr>
        <w:t xml:space="preserve"> – Disadvantaged Segments Communications, 200</w:t>
      </w:r>
      <w:r w:rsidR="005251F0">
        <w:rPr>
          <w:rFonts w:ascii="Calibri" w:hAnsi="Calibri"/>
          <w:b/>
          <w:szCs w:val="22"/>
        </w:rPr>
        <w:t>9</w:t>
      </w:r>
      <w:r>
        <w:rPr>
          <w:rFonts w:ascii="Calibri" w:hAnsi="Calibri"/>
          <w:b/>
          <w:szCs w:val="22"/>
        </w:rPr>
        <w:t>-10</w:t>
      </w:r>
      <w:r w:rsidRPr="000F2656">
        <w:rPr>
          <w:rFonts w:ascii="Calibri" w:hAnsi="Calibri"/>
          <w:b/>
          <w:szCs w:val="22"/>
        </w:rPr>
        <w:t xml:space="preserve"> </w:t>
      </w:r>
      <w:r w:rsidR="00080C46" w:rsidRPr="00080C46">
        <w:rPr>
          <w:noProof/>
        </w:rPr>
        <w:drawing>
          <wp:inline distT="0" distB="0" distL="0" distR="0" wp14:anchorId="6298DB4C" wp14:editId="1D21D78A">
            <wp:extent cx="5731510" cy="47452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745290"/>
                    </a:xfrm>
                    <a:prstGeom prst="rect">
                      <a:avLst/>
                    </a:prstGeom>
                    <a:noFill/>
                    <a:ln>
                      <a:noFill/>
                    </a:ln>
                  </pic:spPr>
                </pic:pic>
              </a:graphicData>
            </a:graphic>
          </wp:inline>
        </w:drawing>
      </w:r>
    </w:p>
    <w:p w:rsidR="004F002B" w:rsidRDefault="004F002B" w:rsidP="005B796E">
      <w:pPr>
        <w:rPr>
          <w:rFonts w:ascii="Calibri" w:hAnsi="Calibri"/>
          <w:szCs w:val="22"/>
        </w:rPr>
      </w:pPr>
    </w:p>
    <w:p w:rsidR="007826DF" w:rsidRDefault="005251F0" w:rsidP="005B796E">
      <w:pPr>
        <w:rPr>
          <w:rFonts w:ascii="Calibri" w:hAnsi="Calibri"/>
          <w:szCs w:val="22"/>
        </w:rPr>
      </w:pPr>
      <w:r>
        <w:rPr>
          <w:rFonts w:ascii="Calibri" w:hAnsi="Calibri"/>
          <w:szCs w:val="22"/>
        </w:rPr>
        <w:t xml:space="preserve">To </w:t>
      </w:r>
      <w:r w:rsidR="00A76F08">
        <w:rPr>
          <w:rFonts w:ascii="Calibri" w:hAnsi="Calibri"/>
          <w:szCs w:val="22"/>
        </w:rPr>
        <w:t xml:space="preserve">set an affordable social tariff, we need to know what measure of income or expenditure will be </w:t>
      </w:r>
      <w:r>
        <w:rPr>
          <w:rFonts w:ascii="Calibri" w:hAnsi="Calibri"/>
          <w:szCs w:val="22"/>
        </w:rPr>
        <w:t>measured against</w:t>
      </w:r>
      <w:r w:rsidR="00A76F08">
        <w:rPr>
          <w:rFonts w:ascii="Calibri" w:hAnsi="Calibri"/>
          <w:szCs w:val="22"/>
        </w:rPr>
        <w:t xml:space="preserve"> the target percentage for affordability. </w:t>
      </w:r>
      <w:r w:rsidR="007826DF">
        <w:rPr>
          <w:rFonts w:ascii="Calibri" w:hAnsi="Calibri"/>
          <w:szCs w:val="22"/>
        </w:rPr>
        <w:t>It</w:t>
      </w:r>
      <w:r w:rsidR="00A76F08">
        <w:rPr>
          <w:rFonts w:ascii="Calibri" w:hAnsi="Calibri"/>
          <w:szCs w:val="22"/>
        </w:rPr>
        <w:t xml:space="preserve"> needs to be easily obtainable and current. For now, let’s use </w:t>
      </w:r>
      <w:r w:rsidR="007826DF">
        <w:rPr>
          <w:rFonts w:ascii="Calibri" w:hAnsi="Calibri"/>
          <w:szCs w:val="22"/>
        </w:rPr>
        <w:t xml:space="preserve">median </w:t>
      </w:r>
      <w:r w:rsidR="00A76F08">
        <w:rPr>
          <w:rFonts w:ascii="Calibri" w:hAnsi="Calibri"/>
          <w:szCs w:val="22"/>
        </w:rPr>
        <w:t xml:space="preserve">EDHI which in 2013-14 was </w:t>
      </w:r>
      <w:r w:rsidR="007826DF">
        <w:rPr>
          <w:rFonts w:ascii="Calibri" w:hAnsi="Calibri"/>
          <w:szCs w:val="22"/>
        </w:rPr>
        <w:t>$</w:t>
      </w:r>
      <w:r w:rsidR="009001F1">
        <w:rPr>
          <w:rFonts w:ascii="Calibri" w:hAnsi="Calibri"/>
          <w:szCs w:val="22"/>
        </w:rPr>
        <w:t>844</w:t>
      </w:r>
      <w:r w:rsidR="00765134">
        <w:rPr>
          <w:rStyle w:val="FootnoteReference"/>
          <w:rFonts w:ascii="Calibri" w:hAnsi="Calibri"/>
          <w:szCs w:val="22"/>
        </w:rPr>
        <w:footnoteReference w:id="30"/>
      </w:r>
      <w:r w:rsidR="007826DF">
        <w:rPr>
          <w:rFonts w:ascii="Calibri" w:hAnsi="Calibri"/>
          <w:szCs w:val="22"/>
        </w:rPr>
        <w:t>.</w:t>
      </w:r>
      <w:r w:rsidR="00A76F08">
        <w:rPr>
          <w:rFonts w:ascii="Calibri" w:hAnsi="Calibri"/>
          <w:szCs w:val="22"/>
        </w:rPr>
        <w:t xml:space="preserve"> </w:t>
      </w:r>
    </w:p>
    <w:p w:rsidR="00DA563B" w:rsidRPr="009B30F6" w:rsidRDefault="00765134" w:rsidP="00CD2923">
      <w:pPr>
        <w:rPr>
          <w:rFonts w:ascii="Calibri" w:hAnsi="Calibri"/>
          <w:szCs w:val="22"/>
        </w:rPr>
      </w:pPr>
      <w:r>
        <w:rPr>
          <w:rFonts w:ascii="Calibri" w:hAnsi="Calibri"/>
          <w:szCs w:val="22"/>
        </w:rPr>
        <w:t xml:space="preserve">To illustrate the setting of an affordability target, let’s take fixed broadband. </w:t>
      </w:r>
      <w:r w:rsidR="00DA563B">
        <w:rPr>
          <w:rFonts w:ascii="Calibri" w:hAnsi="Calibri"/>
          <w:szCs w:val="22"/>
        </w:rPr>
        <w:t>As ACCAN says, “</w:t>
      </w:r>
      <w:r w:rsidR="00DA563B" w:rsidRPr="009B30F6">
        <w:rPr>
          <w:rFonts w:ascii="Calibri" w:hAnsi="Calibri"/>
          <w:i/>
          <w:szCs w:val="22"/>
        </w:rPr>
        <w:t>a broadband service at a reasonable price should be a universal right … The NBN is a publicly funded initiative and it should serve community needs. The Government therefore has an obligation to work with retailers to deliver specific services for low income consumers and other classes of consumers for whom the market alone may not deliver adequate or appropriate services</w:t>
      </w:r>
      <w:r w:rsidR="00DA563B">
        <w:rPr>
          <w:rFonts w:ascii="Calibri" w:hAnsi="Calibri"/>
          <w:i/>
          <w:szCs w:val="22"/>
        </w:rPr>
        <w:t>”</w:t>
      </w:r>
      <w:r w:rsidR="00DA563B">
        <w:rPr>
          <w:rStyle w:val="FootnoteReference"/>
          <w:rFonts w:ascii="Calibri" w:hAnsi="Calibri"/>
          <w:i/>
          <w:szCs w:val="22"/>
        </w:rPr>
        <w:footnoteReference w:id="31"/>
      </w:r>
      <w:r w:rsidR="00DA563B">
        <w:rPr>
          <w:rFonts w:ascii="Calibri" w:hAnsi="Calibri"/>
          <w:szCs w:val="22"/>
        </w:rPr>
        <w:t xml:space="preserve">.  </w:t>
      </w:r>
    </w:p>
    <w:p w:rsidR="00147D4A" w:rsidRDefault="0083289C" w:rsidP="005B796E">
      <w:pPr>
        <w:rPr>
          <w:rFonts w:ascii="Calibri" w:hAnsi="Calibri"/>
          <w:szCs w:val="22"/>
          <w:lang w:val="en-GB"/>
        </w:rPr>
      </w:pPr>
      <w:r w:rsidRPr="0083289C">
        <w:rPr>
          <w:rFonts w:ascii="Calibri" w:hAnsi="Calibri"/>
          <w:szCs w:val="22"/>
          <w:lang w:val="en-GB"/>
        </w:rPr>
        <w:t>In August 2015, the cheapest retail NBN plans for Telstra, Optus, TPG and ii</w:t>
      </w:r>
      <w:r w:rsidR="00831CBD">
        <w:rPr>
          <w:rFonts w:ascii="Calibri" w:hAnsi="Calibri"/>
          <w:szCs w:val="22"/>
          <w:lang w:val="en-GB"/>
        </w:rPr>
        <w:t>N</w:t>
      </w:r>
      <w:r w:rsidRPr="0083289C">
        <w:rPr>
          <w:rFonts w:ascii="Calibri" w:hAnsi="Calibri"/>
          <w:szCs w:val="22"/>
          <w:lang w:val="en-GB"/>
        </w:rPr>
        <w:t>et averaged $69</w:t>
      </w:r>
      <w:r>
        <w:rPr>
          <w:rFonts w:ascii="Calibri" w:hAnsi="Calibri"/>
          <w:szCs w:val="22"/>
          <w:lang w:val="en-GB"/>
        </w:rPr>
        <w:t xml:space="preserve"> pm</w:t>
      </w:r>
      <w:r w:rsidR="00765134">
        <w:rPr>
          <w:rFonts w:ascii="Calibri" w:hAnsi="Calibri"/>
          <w:szCs w:val="22"/>
          <w:lang w:val="en-GB"/>
        </w:rPr>
        <w:t>; which includes line rental but not calls.</w:t>
      </w:r>
      <w:r w:rsidRPr="0083289C">
        <w:rPr>
          <w:rFonts w:ascii="Calibri" w:hAnsi="Calibri"/>
          <w:szCs w:val="22"/>
          <w:lang w:val="en-GB"/>
        </w:rPr>
        <w:t xml:space="preserve"> </w:t>
      </w:r>
      <w:r w:rsidR="00624900">
        <w:rPr>
          <w:rFonts w:ascii="Calibri" w:hAnsi="Calibri"/>
          <w:szCs w:val="22"/>
          <w:lang w:val="en-GB"/>
        </w:rPr>
        <w:t xml:space="preserve">That’s $17.25/week and </w:t>
      </w:r>
      <w:r w:rsidR="00765134">
        <w:rPr>
          <w:rFonts w:ascii="Calibri" w:hAnsi="Calibri"/>
          <w:szCs w:val="22"/>
          <w:lang w:val="en-GB"/>
        </w:rPr>
        <w:t xml:space="preserve">2.0% </w:t>
      </w:r>
      <w:r w:rsidR="00624900">
        <w:rPr>
          <w:rFonts w:ascii="Calibri" w:hAnsi="Calibri"/>
          <w:szCs w:val="22"/>
          <w:lang w:val="en-GB"/>
        </w:rPr>
        <w:t xml:space="preserve">of </w:t>
      </w:r>
      <w:r w:rsidR="00765134">
        <w:rPr>
          <w:rFonts w:ascii="Calibri" w:hAnsi="Calibri"/>
          <w:szCs w:val="22"/>
          <w:lang w:val="en-GB"/>
        </w:rPr>
        <w:t xml:space="preserve">median </w:t>
      </w:r>
      <w:r w:rsidR="00624900">
        <w:rPr>
          <w:rFonts w:ascii="Calibri" w:hAnsi="Calibri"/>
          <w:szCs w:val="22"/>
          <w:lang w:val="en-GB"/>
        </w:rPr>
        <w:t>EDHI</w:t>
      </w:r>
      <w:r w:rsidR="00765134">
        <w:rPr>
          <w:rFonts w:ascii="Calibri" w:hAnsi="Calibri"/>
          <w:szCs w:val="22"/>
          <w:lang w:val="en-GB"/>
        </w:rPr>
        <w:t>. It is up to twice as much as</w:t>
      </w:r>
      <w:r w:rsidR="00624900">
        <w:rPr>
          <w:rFonts w:ascii="Calibri" w:hAnsi="Calibri"/>
          <w:szCs w:val="22"/>
          <w:lang w:val="en-GB"/>
        </w:rPr>
        <w:t xml:space="preserve"> what </w:t>
      </w:r>
      <w:r w:rsidR="00765134">
        <w:rPr>
          <w:rFonts w:ascii="Calibri" w:hAnsi="Calibri"/>
          <w:szCs w:val="22"/>
          <w:lang w:val="en-GB"/>
        </w:rPr>
        <w:t>the customer segments in Table 6</w:t>
      </w:r>
      <w:r w:rsidR="00624900">
        <w:rPr>
          <w:rFonts w:ascii="Calibri" w:hAnsi="Calibri"/>
          <w:szCs w:val="22"/>
          <w:lang w:val="en-GB"/>
        </w:rPr>
        <w:t xml:space="preserve"> were paying </w:t>
      </w:r>
      <w:r w:rsidR="00765134">
        <w:rPr>
          <w:rFonts w:ascii="Calibri" w:hAnsi="Calibri"/>
          <w:szCs w:val="22"/>
          <w:lang w:val="en-GB"/>
        </w:rPr>
        <w:t>for fixed internet</w:t>
      </w:r>
      <w:r w:rsidR="00624900">
        <w:rPr>
          <w:rFonts w:ascii="Calibri" w:hAnsi="Calibri"/>
          <w:szCs w:val="22"/>
          <w:lang w:val="en-GB"/>
        </w:rPr>
        <w:t xml:space="preserve">.  </w:t>
      </w:r>
    </w:p>
    <w:p w:rsidR="00624900" w:rsidRDefault="00CD3126" w:rsidP="005B796E">
      <w:pPr>
        <w:rPr>
          <w:rFonts w:ascii="Calibri" w:hAnsi="Calibri"/>
          <w:szCs w:val="22"/>
        </w:rPr>
      </w:pPr>
      <w:r>
        <w:rPr>
          <w:rFonts w:ascii="Calibri" w:hAnsi="Calibri"/>
          <w:szCs w:val="22"/>
          <w:lang w:val="en-GB"/>
        </w:rPr>
        <w:t xml:space="preserve">It is not getting any better. </w:t>
      </w:r>
      <w:r w:rsidR="0083289C" w:rsidRPr="0083289C">
        <w:rPr>
          <w:rFonts w:ascii="Calibri" w:hAnsi="Calibri"/>
          <w:szCs w:val="22"/>
          <w:lang w:val="en-GB"/>
        </w:rPr>
        <w:t xml:space="preserve">The ACCC (2015) reports that </w:t>
      </w:r>
      <w:r w:rsidR="0083289C" w:rsidRPr="0083289C">
        <w:rPr>
          <w:rFonts w:ascii="Calibri" w:hAnsi="Calibri"/>
          <w:szCs w:val="22"/>
        </w:rPr>
        <w:t>NBN retail prices increased 4.6% in real terms (about 7.6% nominal) in 2013-14; the only telecommunications service whose prices increased in the year.</w:t>
      </w:r>
      <w:r w:rsidR="00624900">
        <w:rPr>
          <w:rFonts w:ascii="Calibri" w:hAnsi="Calibri"/>
          <w:szCs w:val="22"/>
        </w:rPr>
        <w:t xml:space="preserve"> This is not helping</w:t>
      </w:r>
      <w:r w:rsidR="00885D74">
        <w:rPr>
          <w:rFonts w:ascii="Calibri" w:hAnsi="Calibri"/>
          <w:szCs w:val="22"/>
        </w:rPr>
        <w:t xml:space="preserve"> to achieve</w:t>
      </w:r>
      <w:r w:rsidR="00624900">
        <w:rPr>
          <w:rFonts w:ascii="Calibri" w:hAnsi="Calibri"/>
          <w:szCs w:val="22"/>
        </w:rPr>
        <w:t xml:space="preserve"> affordability. A social tariff for affordable fixed broadband at around $5/week or </w:t>
      </w:r>
      <w:r>
        <w:rPr>
          <w:rFonts w:ascii="Calibri" w:hAnsi="Calibri"/>
          <w:szCs w:val="22"/>
        </w:rPr>
        <w:t xml:space="preserve">0.6% </w:t>
      </w:r>
      <w:r w:rsidR="00624900">
        <w:rPr>
          <w:rFonts w:ascii="Calibri" w:hAnsi="Calibri"/>
          <w:szCs w:val="22"/>
        </w:rPr>
        <w:t xml:space="preserve">of </w:t>
      </w:r>
      <w:r>
        <w:rPr>
          <w:rFonts w:ascii="Calibri" w:hAnsi="Calibri"/>
          <w:szCs w:val="22"/>
        </w:rPr>
        <w:t xml:space="preserve">median </w:t>
      </w:r>
      <w:r w:rsidR="00624900">
        <w:rPr>
          <w:rFonts w:ascii="Calibri" w:hAnsi="Calibri"/>
          <w:szCs w:val="22"/>
        </w:rPr>
        <w:t>EDHI in 2013-14</w:t>
      </w:r>
      <w:r>
        <w:rPr>
          <w:rFonts w:ascii="Calibri" w:hAnsi="Calibri"/>
          <w:szCs w:val="22"/>
        </w:rPr>
        <w:t xml:space="preserve"> is needed</w:t>
      </w:r>
      <w:r w:rsidR="00624900">
        <w:rPr>
          <w:rFonts w:ascii="Calibri" w:hAnsi="Calibri"/>
          <w:szCs w:val="22"/>
        </w:rPr>
        <w:t xml:space="preserve">. </w:t>
      </w:r>
    </w:p>
    <w:p w:rsidR="00DA563B" w:rsidRDefault="005D264E" w:rsidP="00255350">
      <w:pPr>
        <w:rPr>
          <w:rFonts w:ascii="Calibri" w:hAnsi="Calibri"/>
          <w:szCs w:val="22"/>
        </w:rPr>
      </w:pPr>
      <w:r>
        <w:rPr>
          <w:rFonts w:ascii="Calibri" w:hAnsi="Calibri"/>
          <w:szCs w:val="22"/>
        </w:rPr>
        <w:t>A similar approach needs to be taken to defining social tariffs for fixed voice and mobile voice/data.</w:t>
      </w:r>
      <w:r w:rsidR="005F4FBF">
        <w:rPr>
          <w:rFonts w:ascii="Calibri" w:hAnsi="Calibri"/>
          <w:szCs w:val="22"/>
        </w:rPr>
        <w:t xml:space="preserve"> </w:t>
      </w:r>
    </w:p>
    <w:p w:rsidR="00DA563B" w:rsidRDefault="00DA563B" w:rsidP="002A03B0">
      <w:pPr>
        <w:pStyle w:val="Heading3"/>
      </w:pPr>
      <w:r>
        <w:t>3.3</w:t>
      </w:r>
      <w:r w:rsidR="009902C4">
        <w:t>.3</w:t>
      </w:r>
      <w:r w:rsidR="009902C4">
        <w:tab/>
      </w:r>
      <w:r w:rsidR="005A6E2A">
        <w:t>Implementing</w:t>
      </w:r>
      <w:r w:rsidR="009902C4">
        <w:t xml:space="preserve"> affordable broadband </w:t>
      </w:r>
    </w:p>
    <w:p w:rsidR="008251AA" w:rsidRDefault="008251AA" w:rsidP="00255350">
      <w:pPr>
        <w:rPr>
          <w:rFonts w:ascii="Calibri" w:hAnsi="Calibri"/>
          <w:szCs w:val="22"/>
        </w:rPr>
      </w:pPr>
      <w:r>
        <w:rPr>
          <w:rFonts w:ascii="Calibri" w:hAnsi="Calibri"/>
          <w:szCs w:val="22"/>
        </w:rPr>
        <w:t xml:space="preserve">The problem with making a social tariff available to, say, </w:t>
      </w:r>
      <w:r w:rsidR="001F2ADA">
        <w:rPr>
          <w:rFonts w:ascii="Calibri" w:hAnsi="Calibri"/>
          <w:szCs w:val="22"/>
        </w:rPr>
        <w:t xml:space="preserve">those who receive </w:t>
      </w:r>
      <w:r>
        <w:rPr>
          <w:rFonts w:ascii="Calibri" w:hAnsi="Calibri"/>
          <w:szCs w:val="22"/>
        </w:rPr>
        <w:t>age pension</w:t>
      </w:r>
      <w:r w:rsidR="001F2ADA">
        <w:rPr>
          <w:rFonts w:ascii="Calibri" w:hAnsi="Calibri"/>
          <w:szCs w:val="22"/>
        </w:rPr>
        <w:t>s</w:t>
      </w:r>
      <w:r>
        <w:rPr>
          <w:rFonts w:ascii="Calibri" w:hAnsi="Calibri"/>
          <w:szCs w:val="22"/>
        </w:rPr>
        <w:t xml:space="preserve"> is that they are not all needy. Tables </w:t>
      </w:r>
      <w:r w:rsidR="00885D74">
        <w:rPr>
          <w:rFonts w:ascii="Calibri" w:hAnsi="Calibri"/>
          <w:szCs w:val="22"/>
        </w:rPr>
        <w:t xml:space="preserve">4 and 5 included only those whose main source of income was government pensions/allowances. </w:t>
      </w:r>
      <w:r w:rsidR="001F2ADA">
        <w:rPr>
          <w:rFonts w:ascii="Calibri" w:hAnsi="Calibri"/>
          <w:szCs w:val="22"/>
        </w:rPr>
        <w:t>But, that is an ABS construct; not an administrative construct. Tying rights to social tariffs to existing pensions and allowance regimes may be problematic.</w:t>
      </w:r>
    </w:p>
    <w:p w:rsidR="00DA563B" w:rsidRDefault="001F2ADA" w:rsidP="00255350">
      <w:pPr>
        <w:rPr>
          <w:szCs w:val="22"/>
        </w:rPr>
      </w:pPr>
      <w:r>
        <w:rPr>
          <w:rFonts w:ascii="Calibri" w:hAnsi="Calibri"/>
          <w:szCs w:val="22"/>
        </w:rPr>
        <w:t>A</w:t>
      </w:r>
      <w:r w:rsidR="00DA563B">
        <w:rPr>
          <w:rFonts w:ascii="Calibri" w:hAnsi="Calibri"/>
          <w:szCs w:val="22"/>
        </w:rPr>
        <w:t>n</w:t>
      </w:r>
      <w:r>
        <w:rPr>
          <w:rFonts w:ascii="Calibri" w:hAnsi="Calibri"/>
          <w:szCs w:val="22"/>
        </w:rPr>
        <w:t>other</w:t>
      </w:r>
      <w:r w:rsidR="00DA563B">
        <w:rPr>
          <w:rFonts w:ascii="Calibri" w:hAnsi="Calibri"/>
          <w:szCs w:val="22"/>
        </w:rPr>
        <w:t xml:space="preserve"> approach is targeting, say, those in social housing (see Box 4).</w:t>
      </w:r>
      <w:r w:rsidR="00DA563B" w:rsidRPr="0037466D">
        <w:rPr>
          <w:szCs w:val="22"/>
        </w:rPr>
        <w:t xml:space="preserve"> </w:t>
      </w:r>
      <w:r w:rsidR="00DA563B">
        <w:rPr>
          <w:szCs w:val="22"/>
        </w:rPr>
        <w:t xml:space="preserve">A local example of assistance targeted to users in social housing is that provided by </w:t>
      </w:r>
      <w:hyperlink r:id="rId47" w:history="1">
        <w:proofErr w:type="spellStart"/>
        <w:r w:rsidR="00DA563B" w:rsidRPr="002A03B0">
          <w:rPr>
            <w:rStyle w:val="Hyperlink"/>
            <w:szCs w:val="22"/>
          </w:rPr>
          <w:t>info</w:t>
        </w:r>
        <w:r w:rsidR="00831CBD">
          <w:rPr>
            <w:rStyle w:val="Hyperlink"/>
            <w:szCs w:val="22"/>
          </w:rPr>
          <w:t>X</w:t>
        </w:r>
        <w:r w:rsidR="00DA563B" w:rsidRPr="002A03B0">
          <w:rPr>
            <w:rStyle w:val="Hyperlink"/>
            <w:szCs w:val="22"/>
          </w:rPr>
          <w:t>change</w:t>
        </w:r>
        <w:proofErr w:type="spellEnd"/>
      </w:hyperlink>
      <w:r w:rsidR="00DA563B">
        <w:rPr>
          <w:szCs w:val="22"/>
        </w:rPr>
        <w:t xml:space="preserve"> in Melbourne. </w:t>
      </w:r>
      <w:r w:rsidR="00DA563B">
        <w:rPr>
          <w:rFonts w:ascii="Calibri" w:hAnsi="Calibri"/>
          <w:szCs w:val="22"/>
        </w:rPr>
        <w:t xml:space="preserve"> </w:t>
      </w:r>
      <w:r w:rsidR="009C0E8B">
        <w:rPr>
          <w:szCs w:val="22"/>
        </w:rPr>
        <w:t>In Australia, there are over 30</w:t>
      </w:r>
      <w:r w:rsidR="00DA563B">
        <w:rPr>
          <w:szCs w:val="22"/>
        </w:rPr>
        <w:t>0,000 households in social housing</w:t>
      </w:r>
      <w:r w:rsidR="00DA563B">
        <w:rPr>
          <w:rStyle w:val="FootnoteReference"/>
          <w:szCs w:val="22"/>
        </w:rPr>
        <w:footnoteReference w:id="32"/>
      </w:r>
      <w:r w:rsidR="00DA563B">
        <w:rPr>
          <w:szCs w:val="22"/>
        </w:rPr>
        <w:t xml:space="preserve">. </w:t>
      </w:r>
    </w:p>
    <w:p w:rsidR="00DA563B" w:rsidRPr="000E0653" w:rsidRDefault="00DA563B" w:rsidP="007015BA">
      <w:pPr>
        <w:shd w:val="clear" w:color="auto" w:fill="C6D9F1"/>
        <w:rPr>
          <w:rFonts w:ascii="Calibri" w:hAnsi="Calibri" w:cs="Arial"/>
          <w:b/>
          <w:szCs w:val="22"/>
        </w:rPr>
      </w:pPr>
      <w:r w:rsidRPr="000E0653">
        <w:rPr>
          <w:rFonts w:ascii="Calibri" w:hAnsi="Calibri" w:cs="Arial"/>
          <w:b/>
          <w:szCs w:val="22"/>
        </w:rPr>
        <w:t xml:space="preserve">Box </w:t>
      </w:r>
      <w:r>
        <w:rPr>
          <w:rFonts w:ascii="Calibri" w:hAnsi="Calibri" w:cs="Arial"/>
          <w:b/>
          <w:szCs w:val="22"/>
        </w:rPr>
        <w:t>4</w:t>
      </w:r>
      <w:r w:rsidRPr="000E0653">
        <w:rPr>
          <w:rFonts w:ascii="Calibri" w:hAnsi="Calibri" w:cs="Arial"/>
          <w:b/>
          <w:szCs w:val="22"/>
        </w:rPr>
        <w:t xml:space="preserve"> - Rogers Communications in Toronto</w:t>
      </w:r>
    </w:p>
    <w:p w:rsidR="00DA563B" w:rsidRDefault="00DA563B" w:rsidP="007015BA">
      <w:pPr>
        <w:shd w:val="clear" w:color="auto" w:fill="C6D9F1"/>
        <w:rPr>
          <w:rFonts w:ascii="Calibri" w:hAnsi="Calibri" w:cs="Arial"/>
          <w:szCs w:val="22"/>
        </w:rPr>
      </w:pPr>
      <w:r>
        <w:rPr>
          <w:rFonts w:ascii="Calibri" w:hAnsi="Calibri" w:cs="Arial"/>
          <w:szCs w:val="22"/>
        </w:rPr>
        <w:t xml:space="preserve">In June 2013, Rogers Communications </w:t>
      </w:r>
      <w:hyperlink r:id="rId48" w:history="1">
        <w:r w:rsidRPr="000E0653">
          <w:rPr>
            <w:rStyle w:val="Hyperlink"/>
            <w:rFonts w:ascii="Calibri" w:hAnsi="Calibri" w:cs="Arial"/>
            <w:szCs w:val="22"/>
          </w:rPr>
          <w:t>announced</w:t>
        </w:r>
      </w:hyperlink>
      <w:r>
        <w:rPr>
          <w:rFonts w:ascii="Calibri" w:hAnsi="Calibri" w:cs="Arial"/>
          <w:szCs w:val="22"/>
        </w:rPr>
        <w:t xml:space="preserve"> t</w:t>
      </w:r>
      <w:r w:rsidRPr="000E0653">
        <w:rPr>
          <w:rFonts w:ascii="Calibri" w:hAnsi="Calibri" w:cs="Arial"/>
          <w:szCs w:val="22"/>
        </w:rPr>
        <w:t>hat youth living in Toronto community housing would have access to C$9.99 per month (versus C$41.9 for the cheapest plan</w:t>
      </w:r>
      <w:r>
        <w:rPr>
          <w:rStyle w:val="FootnoteReference"/>
          <w:rFonts w:ascii="Calibri" w:hAnsi="Calibri" w:cs="Arial"/>
          <w:szCs w:val="22"/>
        </w:rPr>
        <w:footnoteReference w:id="33"/>
      </w:r>
      <w:r>
        <w:rPr>
          <w:rFonts w:ascii="Calibri" w:hAnsi="Calibri" w:cs="Arial"/>
          <w:szCs w:val="22"/>
        </w:rPr>
        <w:t>)</w:t>
      </w:r>
      <w:r w:rsidRPr="000E0653">
        <w:rPr>
          <w:rFonts w:ascii="Calibri" w:hAnsi="Calibri" w:cs="Arial"/>
          <w:szCs w:val="22"/>
        </w:rPr>
        <w:t xml:space="preserve"> for broadband internet speeds of 3Mbps and </w:t>
      </w:r>
      <w:r>
        <w:rPr>
          <w:rFonts w:ascii="Calibri" w:hAnsi="Calibri" w:cs="Arial"/>
          <w:szCs w:val="22"/>
        </w:rPr>
        <w:t xml:space="preserve">a </w:t>
      </w:r>
      <w:r w:rsidRPr="000E0653">
        <w:rPr>
          <w:rFonts w:ascii="Calibri" w:hAnsi="Calibri" w:cs="Arial"/>
          <w:szCs w:val="22"/>
        </w:rPr>
        <w:t xml:space="preserve">usage allowance up to 30 GB. </w:t>
      </w:r>
    </w:p>
    <w:p w:rsidR="00DA563B" w:rsidRDefault="00DA563B" w:rsidP="007015BA">
      <w:pPr>
        <w:shd w:val="clear" w:color="auto" w:fill="C6D9F1"/>
        <w:rPr>
          <w:rFonts w:ascii="Calibri" w:hAnsi="Calibri" w:cs="Arial"/>
          <w:szCs w:val="22"/>
        </w:rPr>
      </w:pPr>
      <w:r w:rsidRPr="000E0653">
        <w:rPr>
          <w:rFonts w:ascii="Calibri" w:hAnsi="Calibri" w:cs="Arial"/>
          <w:szCs w:val="22"/>
        </w:rPr>
        <w:t xml:space="preserve">Microsoft Canada and </w:t>
      </w:r>
      <w:proofErr w:type="spellStart"/>
      <w:r w:rsidRPr="000E0653">
        <w:rPr>
          <w:rFonts w:ascii="Calibri" w:hAnsi="Calibri" w:cs="Arial"/>
          <w:szCs w:val="22"/>
        </w:rPr>
        <w:t>Compugen</w:t>
      </w:r>
      <w:proofErr w:type="spellEnd"/>
      <w:r w:rsidRPr="000E0653">
        <w:rPr>
          <w:rFonts w:ascii="Calibri" w:hAnsi="Calibri" w:cs="Arial"/>
          <w:szCs w:val="22"/>
        </w:rPr>
        <w:t xml:space="preserve"> are supporting the program by providing the option to purchase a computer for $150 that will come pre-loaded with complimentary software along with access to technical support. </w:t>
      </w:r>
    </w:p>
    <w:p w:rsidR="00DA563B" w:rsidRPr="000E0653" w:rsidRDefault="00DA563B" w:rsidP="007015BA">
      <w:pPr>
        <w:shd w:val="clear" w:color="auto" w:fill="C6D9F1"/>
        <w:rPr>
          <w:rFonts w:ascii="Calibri" w:hAnsi="Calibri" w:cs="Arial"/>
          <w:szCs w:val="22"/>
        </w:rPr>
      </w:pPr>
      <w:r w:rsidRPr="000E0653">
        <w:rPr>
          <w:rFonts w:ascii="Calibri" w:hAnsi="Calibri" w:cs="Arial"/>
          <w:szCs w:val="22"/>
        </w:rPr>
        <w:t>The C$9.99 translates to just</w:t>
      </w:r>
      <w:r>
        <w:rPr>
          <w:rFonts w:ascii="Calibri" w:hAnsi="Calibri" w:cs="Arial"/>
          <w:szCs w:val="22"/>
        </w:rPr>
        <w:t xml:space="preserve"> </w:t>
      </w:r>
      <w:r w:rsidRPr="000E0653">
        <w:rPr>
          <w:rFonts w:ascii="Calibri" w:hAnsi="Calibri" w:cs="Arial"/>
          <w:szCs w:val="22"/>
        </w:rPr>
        <w:t>0.3%</w:t>
      </w:r>
      <w:r>
        <w:rPr>
          <w:rFonts w:ascii="Calibri" w:hAnsi="Calibri" w:cs="Arial"/>
          <w:szCs w:val="22"/>
        </w:rPr>
        <w:t xml:space="preserve"> of per capita Gross National Income (GNI) in Canada.</w:t>
      </w:r>
    </w:p>
    <w:p w:rsidR="00DA563B" w:rsidRDefault="00DA563B" w:rsidP="00255350">
      <w:pPr>
        <w:rPr>
          <w:rFonts w:ascii="Calibri" w:hAnsi="Calibri"/>
          <w:szCs w:val="22"/>
        </w:rPr>
      </w:pPr>
    </w:p>
    <w:p w:rsidR="00DA563B" w:rsidRPr="007015BA" w:rsidRDefault="00DA563B" w:rsidP="00512677">
      <w:pPr>
        <w:rPr>
          <w:rFonts w:ascii="Calibri" w:hAnsi="Calibri"/>
          <w:szCs w:val="22"/>
        </w:rPr>
      </w:pPr>
      <w:r>
        <w:rPr>
          <w:rFonts w:ascii="Calibri" w:hAnsi="Calibri"/>
          <w:szCs w:val="22"/>
        </w:rPr>
        <w:t xml:space="preserve">A </w:t>
      </w:r>
      <w:r w:rsidR="001F2ADA">
        <w:rPr>
          <w:rFonts w:ascii="Calibri" w:hAnsi="Calibri"/>
          <w:szCs w:val="22"/>
        </w:rPr>
        <w:t>third</w:t>
      </w:r>
      <w:r>
        <w:rPr>
          <w:rFonts w:ascii="Calibri" w:hAnsi="Calibri"/>
          <w:szCs w:val="22"/>
        </w:rPr>
        <w:t xml:space="preserve"> approach is to mandate social tariffs</w:t>
      </w:r>
      <w:r w:rsidR="00A16C1A">
        <w:rPr>
          <w:rFonts w:ascii="Calibri" w:hAnsi="Calibri"/>
          <w:szCs w:val="22"/>
        </w:rPr>
        <w:t>; w</w:t>
      </w:r>
      <w:r w:rsidR="009C0E8B">
        <w:rPr>
          <w:rFonts w:ascii="Calibri" w:hAnsi="Calibri"/>
          <w:szCs w:val="22"/>
        </w:rPr>
        <w:t>hich could be imposed by the AC</w:t>
      </w:r>
      <w:r w:rsidR="00A16C1A">
        <w:rPr>
          <w:rFonts w:ascii="Calibri" w:hAnsi="Calibri"/>
          <w:szCs w:val="22"/>
        </w:rPr>
        <w:t>M</w:t>
      </w:r>
      <w:r w:rsidR="009C0E8B">
        <w:rPr>
          <w:rFonts w:ascii="Calibri" w:hAnsi="Calibri"/>
          <w:szCs w:val="22"/>
        </w:rPr>
        <w:t>A</w:t>
      </w:r>
      <w:r w:rsidR="00512677">
        <w:rPr>
          <w:rFonts w:ascii="Calibri" w:hAnsi="Calibri"/>
          <w:szCs w:val="22"/>
        </w:rPr>
        <w:t xml:space="preserve"> (</w:t>
      </w:r>
      <w:r w:rsidR="00B5321A">
        <w:rPr>
          <w:rFonts w:ascii="Calibri" w:hAnsi="Calibri"/>
          <w:szCs w:val="22"/>
        </w:rPr>
        <w:t>Section 3.2</w:t>
      </w:r>
      <w:r w:rsidR="00512677">
        <w:rPr>
          <w:rFonts w:ascii="Calibri" w:hAnsi="Calibri"/>
          <w:szCs w:val="22"/>
        </w:rPr>
        <w:t>.1</w:t>
      </w:r>
      <w:r w:rsidR="00A16C1A">
        <w:rPr>
          <w:rFonts w:ascii="Calibri" w:hAnsi="Calibri"/>
          <w:szCs w:val="22"/>
        </w:rPr>
        <w:t xml:space="preserve">). </w:t>
      </w:r>
    </w:p>
    <w:p w:rsidR="00DA563B" w:rsidRDefault="00DA563B" w:rsidP="00255350">
      <w:pPr>
        <w:rPr>
          <w:rFonts w:ascii="Calibri" w:hAnsi="Calibri"/>
          <w:szCs w:val="22"/>
        </w:rPr>
      </w:pPr>
      <w:r>
        <w:rPr>
          <w:rFonts w:ascii="Calibri" w:hAnsi="Calibri"/>
          <w:szCs w:val="22"/>
        </w:rPr>
        <w:t xml:space="preserve">A </w:t>
      </w:r>
      <w:r w:rsidR="001218DF">
        <w:rPr>
          <w:rFonts w:ascii="Calibri" w:hAnsi="Calibri"/>
          <w:szCs w:val="22"/>
        </w:rPr>
        <w:t>fourth</w:t>
      </w:r>
      <w:r>
        <w:rPr>
          <w:rFonts w:ascii="Calibri" w:hAnsi="Calibri"/>
          <w:szCs w:val="22"/>
        </w:rPr>
        <w:t xml:space="preserve"> approach </w:t>
      </w:r>
      <w:r w:rsidR="00737B32">
        <w:rPr>
          <w:rFonts w:ascii="Calibri" w:hAnsi="Calibri"/>
          <w:szCs w:val="22"/>
        </w:rPr>
        <w:t>change</w:t>
      </w:r>
      <w:r>
        <w:rPr>
          <w:rFonts w:ascii="Calibri" w:hAnsi="Calibri"/>
          <w:szCs w:val="22"/>
        </w:rPr>
        <w:t>s NBN wholesale pricing to help achieve</w:t>
      </w:r>
      <w:r w:rsidR="00737B32">
        <w:rPr>
          <w:rFonts w:ascii="Calibri" w:hAnsi="Calibri"/>
          <w:szCs w:val="22"/>
        </w:rPr>
        <w:t xml:space="preserve"> affordability. </w:t>
      </w:r>
      <w:hyperlink r:id="rId49" w:history="1">
        <w:r w:rsidR="00737B32" w:rsidRPr="00737B32">
          <w:rPr>
            <w:rStyle w:val="Hyperlink"/>
            <w:rFonts w:ascii="Calibri" w:hAnsi="Calibri"/>
            <w:szCs w:val="22"/>
          </w:rPr>
          <w:t>Currently</w:t>
        </w:r>
      </w:hyperlink>
      <w:r w:rsidR="00737B32">
        <w:rPr>
          <w:rFonts w:ascii="Calibri" w:hAnsi="Calibri"/>
          <w:szCs w:val="22"/>
        </w:rPr>
        <w:t xml:space="preserve">, the minimum wholesale cost on the NBN is $24 pm (for 12/1 Mbps); which is </w:t>
      </w:r>
      <w:r w:rsidR="009001F1">
        <w:rPr>
          <w:rFonts w:ascii="Calibri" w:hAnsi="Calibri"/>
          <w:szCs w:val="22"/>
        </w:rPr>
        <w:t xml:space="preserve">a </w:t>
      </w:r>
      <w:r w:rsidR="00737B32">
        <w:rPr>
          <w:rFonts w:ascii="Calibri" w:hAnsi="Calibri"/>
          <w:szCs w:val="22"/>
        </w:rPr>
        <w:t>high place to start from for affordable retail pricing. A</w:t>
      </w:r>
      <w:r w:rsidR="005F4FBF">
        <w:rPr>
          <w:rFonts w:ascii="Calibri" w:hAnsi="Calibri"/>
          <w:szCs w:val="22"/>
        </w:rPr>
        <w:t xml:space="preserve">s illustrated in Figure </w:t>
      </w:r>
      <w:r w:rsidR="00512677">
        <w:rPr>
          <w:rFonts w:ascii="Calibri" w:hAnsi="Calibri"/>
          <w:szCs w:val="22"/>
        </w:rPr>
        <w:t>3</w:t>
      </w:r>
      <w:r w:rsidR="000025FE">
        <w:rPr>
          <w:rFonts w:ascii="Calibri" w:hAnsi="Calibri"/>
          <w:szCs w:val="22"/>
        </w:rPr>
        <w:t>, a</w:t>
      </w:r>
      <w:r w:rsidR="00737B32">
        <w:rPr>
          <w:rFonts w:ascii="Calibri" w:hAnsi="Calibri"/>
          <w:szCs w:val="22"/>
        </w:rPr>
        <w:t xml:space="preserve"> “Traffic” pricing model</w:t>
      </w:r>
      <w:r w:rsidR="000025FE">
        <w:rPr>
          <w:rStyle w:val="FootnoteReference"/>
          <w:rFonts w:ascii="Calibri" w:hAnsi="Calibri"/>
          <w:szCs w:val="22"/>
        </w:rPr>
        <w:footnoteReference w:id="34"/>
      </w:r>
      <w:r w:rsidR="00737B32">
        <w:rPr>
          <w:rFonts w:ascii="Calibri" w:hAnsi="Calibri"/>
          <w:szCs w:val="22"/>
        </w:rPr>
        <w:t xml:space="preserve"> would allow the </w:t>
      </w:r>
      <w:proofErr w:type="spellStart"/>
      <w:r w:rsidR="001571EA">
        <w:rPr>
          <w:rFonts w:ascii="Calibri" w:hAnsi="Calibri"/>
          <w:szCs w:val="22"/>
        </w:rPr>
        <w:t>nbn</w:t>
      </w:r>
      <w:proofErr w:type="spellEnd"/>
      <w:r w:rsidR="00737B32">
        <w:rPr>
          <w:rFonts w:ascii="Calibri" w:hAnsi="Calibri"/>
          <w:szCs w:val="22"/>
        </w:rPr>
        <w:t xml:space="preserve"> to cut </w:t>
      </w:r>
      <w:r w:rsidR="00CF09AF">
        <w:rPr>
          <w:rFonts w:ascii="Calibri" w:hAnsi="Calibri"/>
          <w:szCs w:val="22"/>
        </w:rPr>
        <w:t>the current minimum cost</w:t>
      </w:r>
      <w:r w:rsidR="009001F1">
        <w:rPr>
          <w:rFonts w:ascii="Calibri" w:hAnsi="Calibri"/>
          <w:szCs w:val="22"/>
        </w:rPr>
        <w:t xml:space="preserve"> by more than</w:t>
      </w:r>
      <w:r w:rsidR="00737B32">
        <w:rPr>
          <w:rFonts w:ascii="Calibri" w:hAnsi="Calibri"/>
          <w:szCs w:val="22"/>
        </w:rPr>
        <w:t xml:space="preserve"> half, leading to affordable retail pricing.</w:t>
      </w:r>
      <w:r w:rsidR="001218DF">
        <w:rPr>
          <w:rFonts w:ascii="Calibri" w:hAnsi="Calibri"/>
          <w:szCs w:val="22"/>
        </w:rPr>
        <w:t xml:space="preserve"> The estimated retail price for the entry level plan is below the $5/week target suggested earlier. The scheme administers itself</w:t>
      </w:r>
      <w:r w:rsidR="007A1D12" w:rsidRPr="007A1D12">
        <w:t xml:space="preserve"> </w:t>
      </w:r>
      <w:r w:rsidR="007A1D12" w:rsidRPr="007A1D12">
        <w:rPr>
          <w:rFonts w:ascii="Calibri" w:hAnsi="Calibri"/>
          <w:szCs w:val="22"/>
        </w:rPr>
        <w:t>because only low data usage users will take an entry level plan and their service provider will shift the wholesale tariff to the standard tariff when usage grows beyond the breakeven point – and, hopefully, move th</w:t>
      </w:r>
      <w:r w:rsidR="007A1D12">
        <w:rPr>
          <w:rFonts w:ascii="Calibri" w:hAnsi="Calibri"/>
          <w:szCs w:val="22"/>
        </w:rPr>
        <w:t>e user to a new retail plan too</w:t>
      </w:r>
      <w:r w:rsidR="001218DF">
        <w:rPr>
          <w:rFonts w:ascii="Calibri" w:hAnsi="Calibri"/>
          <w:szCs w:val="22"/>
        </w:rPr>
        <w:t>.</w:t>
      </w:r>
      <w:r w:rsidR="00737B32">
        <w:rPr>
          <w:rFonts w:ascii="Calibri" w:hAnsi="Calibri"/>
          <w:szCs w:val="22"/>
        </w:rPr>
        <w:t xml:space="preserve"> </w:t>
      </w:r>
      <w:r>
        <w:rPr>
          <w:rFonts w:ascii="Calibri" w:hAnsi="Calibri"/>
          <w:szCs w:val="22"/>
        </w:rPr>
        <w:t xml:space="preserve"> </w:t>
      </w:r>
    </w:p>
    <w:p w:rsidR="00DA563B" w:rsidRDefault="00512677" w:rsidP="0048625A">
      <w:pPr>
        <w:keepNext/>
        <w:jc w:val="center"/>
        <w:rPr>
          <w:rFonts w:ascii="Calibri" w:hAnsi="Calibri"/>
          <w:szCs w:val="22"/>
        </w:rPr>
      </w:pPr>
      <w:r>
        <w:rPr>
          <w:rFonts w:ascii="Calibri" w:hAnsi="Calibri"/>
          <w:b/>
          <w:bCs/>
          <w:szCs w:val="22"/>
        </w:rPr>
        <w:t>Figure 3</w:t>
      </w:r>
      <w:r w:rsidR="00DA563B">
        <w:rPr>
          <w:rFonts w:ascii="Calibri" w:hAnsi="Calibri"/>
          <w:b/>
          <w:bCs/>
          <w:szCs w:val="22"/>
        </w:rPr>
        <w:t xml:space="preserve">: </w:t>
      </w:r>
      <w:r w:rsidR="00DA563B" w:rsidRPr="0000448C">
        <w:rPr>
          <w:rFonts w:ascii="Calibri" w:hAnsi="Calibri"/>
          <w:b/>
          <w:bCs/>
          <w:szCs w:val="22"/>
        </w:rPr>
        <w:t>Proposed Standard and Entry Level NBN Wholesale Plans</w:t>
      </w:r>
    </w:p>
    <w:p w:rsidR="00DA563B" w:rsidRPr="0000448C" w:rsidRDefault="00737B32" w:rsidP="002A03B0">
      <w:pPr>
        <w:jc w:val="center"/>
        <w:rPr>
          <w:rFonts w:ascii="Calibri" w:hAnsi="Calibri"/>
          <w:szCs w:val="22"/>
        </w:rPr>
      </w:pPr>
      <w:r>
        <w:rPr>
          <w:rFonts w:ascii="Calibri" w:hAnsi="Calibri"/>
          <w:noProof/>
          <w:szCs w:val="22"/>
        </w:rPr>
        <w:drawing>
          <wp:inline distT="0" distB="0" distL="0" distR="0" wp14:anchorId="3656964F" wp14:editId="32D131FC">
            <wp:extent cx="4486275" cy="336486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7106" cy="3365486"/>
                    </a:xfrm>
                    <a:prstGeom prst="rect">
                      <a:avLst/>
                    </a:prstGeom>
                    <a:noFill/>
                  </pic:spPr>
                </pic:pic>
              </a:graphicData>
            </a:graphic>
          </wp:inline>
        </w:drawing>
      </w:r>
    </w:p>
    <w:p w:rsidR="00DA563B" w:rsidRPr="00946DE5" w:rsidRDefault="00DA563B" w:rsidP="0048625A">
      <w:pPr>
        <w:keepNext/>
        <w:rPr>
          <w:rFonts w:ascii="Calibri" w:hAnsi="Calibri"/>
          <w:b/>
          <w:bCs/>
          <w:szCs w:val="22"/>
        </w:rPr>
      </w:pPr>
      <w:r w:rsidRPr="00946DE5">
        <w:rPr>
          <w:rFonts w:ascii="Calibri" w:hAnsi="Calibri"/>
          <w:b/>
          <w:bCs/>
          <w:szCs w:val="22"/>
        </w:rPr>
        <w:lastRenderedPageBreak/>
        <w:t>Table</w:t>
      </w:r>
      <w:r>
        <w:rPr>
          <w:rFonts w:ascii="Calibri" w:hAnsi="Calibri"/>
          <w:b/>
          <w:bCs/>
          <w:szCs w:val="22"/>
        </w:rPr>
        <w:t xml:space="preserve"> </w:t>
      </w:r>
      <w:r w:rsidR="0034607A">
        <w:rPr>
          <w:rFonts w:ascii="Calibri" w:hAnsi="Calibri"/>
          <w:b/>
          <w:bCs/>
          <w:szCs w:val="22"/>
        </w:rPr>
        <w:t>7</w:t>
      </w:r>
      <w:r w:rsidRPr="00946DE5">
        <w:rPr>
          <w:rFonts w:ascii="Calibri" w:hAnsi="Calibri"/>
          <w:b/>
          <w:bCs/>
          <w:szCs w:val="22"/>
        </w:rPr>
        <w:t>: The total cost of ownership – options for low income households</w:t>
      </w:r>
      <w:r w:rsidR="00B91E9E">
        <w:rPr>
          <w:rFonts w:ascii="Calibri" w:hAnsi="Calibri"/>
          <w:b/>
          <w:bCs/>
          <w:szCs w:val="22"/>
        </w:rPr>
        <w:t>, 201</w:t>
      </w:r>
      <w:r w:rsidR="00725246">
        <w:rPr>
          <w:rFonts w:ascii="Calibri" w:hAnsi="Calibri"/>
          <w:b/>
          <w:bCs/>
          <w:szCs w:val="22"/>
        </w:rPr>
        <w:t>5</w:t>
      </w:r>
      <w:r w:rsidR="003860B6" w:rsidRPr="003860B6">
        <w:rPr>
          <w:rFonts w:ascii="Calibri" w:hAnsi="Calibri"/>
          <w:b/>
          <w:bCs/>
          <w:szCs w:val="22"/>
        </w:rPr>
        <w:t xml:space="preserve"> </w:t>
      </w:r>
      <w:r w:rsidR="003860B6" w:rsidRPr="003860B6">
        <w:rPr>
          <w:noProof/>
        </w:rPr>
        <w:drawing>
          <wp:inline distT="0" distB="0" distL="0" distR="0" wp14:anchorId="1E776FDC" wp14:editId="670B0032">
            <wp:extent cx="5334000" cy="2711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2711698"/>
                    </a:xfrm>
                    <a:prstGeom prst="rect">
                      <a:avLst/>
                    </a:prstGeom>
                    <a:noFill/>
                    <a:ln>
                      <a:noFill/>
                    </a:ln>
                  </pic:spPr>
                </pic:pic>
              </a:graphicData>
            </a:graphic>
          </wp:inline>
        </w:drawing>
      </w:r>
    </w:p>
    <w:p w:rsidR="00DA563B" w:rsidRDefault="00DA563B" w:rsidP="009274F1">
      <w:pPr>
        <w:rPr>
          <w:rFonts w:ascii="Calibri" w:hAnsi="Calibri"/>
          <w:szCs w:val="22"/>
        </w:rPr>
      </w:pPr>
      <w:r w:rsidRPr="00946DE5">
        <w:rPr>
          <w:rFonts w:ascii="Calibri" w:hAnsi="Calibri"/>
          <w:szCs w:val="22"/>
        </w:rPr>
        <w:t xml:space="preserve">Source: </w:t>
      </w:r>
      <w:proofErr w:type="spellStart"/>
      <w:r w:rsidR="00B91E9E">
        <w:rPr>
          <w:rFonts w:ascii="Calibri" w:hAnsi="Calibri"/>
          <w:szCs w:val="22"/>
        </w:rPr>
        <w:t>Morsillo</w:t>
      </w:r>
      <w:proofErr w:type="spellEnd"/>
      <w:r w:rsidR="00B91E9E">
        <w:rPr>
          <w:rFonts w:ascii="Calibri" w:hAnsi="Calibri"/>
          <w:szCs w:val="22"/>
        </w:rPr>
        <w:t xml:space="preserve"> method and web sites accessed 15 September 2015</w:t>
      </w:r>
    </w:p>
    <w:p w:rsidR="0048625A" w:rsidRPr="00946DE5" w:rsidRDefault="0048625A" w:rsidP="009274F1">
      <w:pPr>
        <w:rPr>
          <w:rFonts w:ascii="Calibri" w:hAnsi="Calibri"/>
          <w:szCs w:val="22"/>
        </w:rPr>
      </w:pPr>
    </w:p>
    <w:p w:rsidR="00DC7174" w:rsidRPr="00DC7174" w:rsidRDefault="00DC7174" w:rsidP="00DC7174">
      <w:pPr>
        <w:rPr>
          <w:rFonts w:ascii="Calibri" w:hAnsi="Calibri"/>
          <w:szCs w:val="22"/>
          <w:lang w:val="en-GB"/>
        </w:rPr>
      </w:pPr>
      <w:proofErr w:type="spellStart"/>
      <w:r w:rsidRPr="00DC7174">
        <w:rPr>
          <w:rFonts w:ascii="Calibri" w:hAnsi="Calibri"/>
          <w:szCs w:val="22"/>
          <w:lang w:val="en-GB"/>
        </w:rPr>
        <w:t>Morsillo</w:t>
      </w:r>
      <w:proofErr w:type="spellEnd"/>
      <w:r w:rsidRPr="00DC7174">
        <w:rPr>
          <w:rFonts w:ascii="Calibri" w:hAnsi="Calibri"/>
          <w:szCs w:val="22"/>
          <w:vertAlign w:val="superscript"/>
          <w:lang w:val="en-GB"/>
        </w:rPr>
        <w:footnoteReference w:id="35"/>
      </w:r>
      <w:r w:rsidRPr="00DC7174">
        <w:rPr>
          <w:rFonts w:ascii="Calibri" w:hAnsi="Calibri"/>
          <w:szCs w:val="22"/>
          <w:lang w:val="en-GB"/>
        </w:rPr>
        <w:t xml:space="preserve"> estimated the total cost of ownership of internet access for low income households. The wholesale traffic pricing proposal above would make a significant difference, as shown in Table 7. The revised prices are based on only 1GB per month of data with Telstra. This would be sufficient to support an affordable voice service but the 1GB might need to be supported by unmetered access to on-line government services to fulfil the empowerment objective. </w:t>
      </w:r>
    </w:p>
    <w:p w:rsidR="00DA563B" w:rsidRDefault="00DA563B" w:rsidP="002E16E5">
      <w:pPr>
        <w:rPr>
          <w:rFonts w:ascii="Calibri" w:hAnsi="Calibri"/>
          <w:szCs w:val="22"/>
        </w:rPr>
      </w:pPr>
      <w:r>
        <w:rPr>
          <w:rFonts w:ascii="Calibri" w:hAnsi="Calibri"/>
          <w:szCs w:val="22"/>
        </w:rPr>
        <w:t>Also, w</w:t>
      </w:r>
      <w:r w:rsidRPr="00D545B8">
        <w:rPr>
          <w:rFonts w:ascii="Calibri" w:hAnsi="Calibri"/>
          <w:szCs w:val="22"/>
        </w:rPr>
        <w:t xml:space="preserve">ork needs to </w:t>
      </w:r>
      <w:r w:rsidR="0058574B">
        <w:rPr>
          <w:rFonts w:ascii="Calibri" w:hAnsi="Calibri"/>
          <w:szCs w:val="22"/>
        </w:rPr>
        <w:t xml:space="preserve">be </w:t>
      </w:r>
      <w:r w:rsidRPr="00D545B8">
        <w:rPr>
          <w:rFonts w:ascii="Calibri" w:hAnsi="Calibri"/>
          <w:szCs w:val="22"/>
        </w:rPr>
        <w:t>done on how to structure social tariffs because the regressive nature of communications spend discussed earlier is exacerbated by the “poverty premium”</w:t>
      </w:r>
      <w:r w:rsidRPr="00D545B8">
        <w:rPr>
          <w:rStyle w:val="FootnoteReference"/>
          <w:rFonts w:ascii="Calibri" w:hAnsi="Calibri"/>
          <w:szCs w:val="22"/>
        </w:rPr>
        <w:footnoteReference w:id="36"/>
      </w:r>
      <w:r w:rsidRPr="00D545B8">
        <w:rPr>
          <w:rFonts w:ascii="Calibri" w:hAnsi="Calibri"/>
          <w:szCs w:val="22"/>
        </w:rPr>
        <w:t xml:space="preserve"> which arises through the way low income consumers pay for services</w:t>
      </w:r>
      <w:r w:rsidR="0034607A">
        <w:rPr>
          <w:rFonts w:ascii="Calibri" w:hAnsi="Calibri"/>
          <w:b/>
          <w:szCs w:val="22"/>
        </w:rPr>
        <w:t>;</w:t>
      </w:r>
      <w:r w:rsidRPr="000364E7">
        <w:rPr>
          <w:rFonts w:ascii="Calibri" w:hAnsi="Calibri"/>
          <w:szCs w:val="22"/>
        </w:rPr>
        <w:t xml:space="preserve"> in particular pay as you go for mobile phones or paying for their communications service by non-direct debit payment methods (where a payment surcharge may apply). </w:t>
      </w:r>
      <w:r>
        <w:rPr>
          <w:rFonts w:ascii="Calibri" w:hAnsi="Calibri"/>
          <w:szCs w:val="22"/>
        </w:rPr>
        <w:t xml:space="preserve">               </w:t>
      </w:r>
    </w:p>
    <w:p w:rsidR="00DA563B" w:rsidRDefault="00DA563B" w:rsidP="002E16E5">
      <w:pPr>
        <w:rPr>
          <w:rFonts w:ascii="Calibri" w:hAnsi="Calibri"/>
          <w:szCs w:val="22"/>
        </w:rPr>
      </w:pPr>
      <w:r>
        <w:rPr>
          <w:rFonts w:ascii="Calibri" w:hAnsi="Calibri"/>
          <w:szCs w:val="22"/>
        </w:rPr>
        <w:t xml:space="preserve"> </w:t>
      </w:r>
    </w:p>
    <w:p w:rsidR="00DA563B" w:rsidRPr="006830DB" w:rsidRDefault="00DA563B" w:rsidP="00984A4D">
      <w:pPr>
        <w:pStyle w:val="Heading2"/>
      </w:pPr>
      <w:bookmarkStart w:id="13" w:name="_Toc436121938"/>
      <w:r>
        <w:t>3.4</w:t>
      </w:r>
      <w:r>
        <w:tab/>
        <w:t>Are there other “Universals”?</w:t>
      </w:r>
      <w:bookmarkEnd w:id="13"/>
    </w:p>
    <w:p w:rsidR="00DA563B" w:rsidRDefault="00DA563B" w:rsidP="009D635A">
      <w:pPr>
        <w:rPr>
          <w:rFonts w:ascii="Calibri" w:hAnsi="Calibri"/>
          <w:szCs w:val="22"/>
          <w:lang w:val="en-GB"/>
        </w:rPr>
      </w:pPr>
      <w:r>
        <w:rPr>
          <w:rFonts w:ascii="Calibri" w:hAnsi="Calibri"/>
          <w:szCs w:val="22"/>
          <w:lang w:val="en-GB"/>
        </w:rPr>
        <w:t>Are there other universality principles opened-up by changes in technology and markets? The Regional Telecommunications Review raises the issue “</w:t>
      </w:r>
      <w:r w:rsidRPr="00D42767">
        <w:rPr>
          <w:rFonts w:ascii="Calibri" w:hAnsi="Calibri"/>
          <w:i/>
          <w:szCs w:val="22"/>
          <w:lang w:val="en-GB"/>
        </w:rPr>
        <w:t>Are there new or other services, the availability of which should be underpinned by consumer safeguards</w:t>
      </w:r>
      <w:r w:rsidRPr="00350B63">
        <w:rPr>
          <w:rFonts w:ascii="Calibri" w:hAnsi="Calibri"/>
          <w:szCs w:val="22"/>
          <w:lang w:val="en-GB"/>
        </w:rPr>
        <w:t>?</w:t>
      </w:r>
      <w:r>
        <w:rPr>
          <w:rFonts w:ascii="Calibri" w:hAnsi="Calibri"/>
          <w:szCs w:val="22"/>
          <w:lang w:val="en-GB"/>
        </w:rPr>
        <w:t>”</w:t>
      </w:r>
      <w:r w:rsidRPr="00350B63">
        <w:rPr>
          <w:rFonts w:ascii="Calibri" w:hAnsi="Calibri"/>
          <w:szCs w:val="22"/>
          <w:lang w:val="en-GB"/>
        </w:rPr>
        <w:t xml:space="preserve"> (Q12)</w:t>
      </w:r>
    </w:p>
    <w:p w:rsidR="00DA563B" w:rsidRDefault="00DA563B" w:rsidP="00531A3E">
      <w:pPr>
        <w:rPr>
          <w:rFonts w:ascii="Calibri" w:hAnsi="Calibri"/>
          <w:i/>
          <w:szCs w:val="22"/>
        </w:rPr>
      </w:pPr>
      <w:r>
        <w:rPr>
          <w:rFonts w:ascii="Calibri" w:hAnsi="Calibri"/>
          <w:szCs w:val="22"/>
          <w:lang w:val="en-GB"/>
        </w:rPr>
        <w:t xml:space="preserve">As </w:t>
      </w:r>
      <w:proofErr w:type="spellStart"/>
      <w:r>
        <w:rPr>
          <w:rFonts w:ascii="Calibri" w:hAnsi="Calibri"/>
          <w:szCs w:val="22"/>
          <w:lang w:val="en-GB"/>
        </w:rPr>
        <w:t>Goggin</w:t>
      </w:r>
      <w:proofErr w:type="spellEnd"/>
      <w:r>
        <w:rPr>
          <w:rFonts w:ascii="Calibri" w:hAnsi="Calibri"/>
          <w:szCs w:val="22"/>
          <w:lang w:val="en-GB"/>
        </w:rPr>
        <w:t xml:space="preserve"> points out, “</w:t>
      </w:r>
      <w:r w:rsidRPr="00531A3E">
        <w:rPr>
          <w:rFonts w:ascii="Calibri" w:hAnsi="Calibri"/>
          <w:i/>
          <w:szCs w:val="22"/>
        </w:rPr>
        <w:t>Many of the mooted benefits and imagined uses of the NBN — for instance, in the area of health, welfare, or government services —are predicated on assumptions about consumers being able to easily and affordably access particular kinds of content or applications.</w:t>
      </w:r>
      <w:r>
        <w:rPr>
          <w:rFonts w:ascii="Calibri" w:hAnsi="Calibri"/>
          <w:i/>
          <w:szCs w:val="22"/>
        </w:rPr>
        <w:t>”</w:t>
      </w:r>
      <w:r>
        <w:rPr>
          <w:rStyle w:val="FootnoteReference"/>
          <w:rFonts w:ascii="Calibri" w:hAnsi="Calibri"/>
          <w:i/>
          <w:szCs w:val="22"/>
        </w:rPr>
        <w:footnoteReference w:id="37"/>
      </w:r>
    </w:p>
    <w:p w:rsidR="00DA563B" w:rsidRDefault="00DA563B" w:rsidP="00531A3E">
      <w:pPr>
        <w:rPr>
          <w:rFonts w:ascii="Calibri" w:hAnsi="Calibri"/>
          <w:szCs w:val="22"/>
        </w:rPr>
      </w:pPr>
      <w:r>
        <w:rPr>
          <w:rFonts w:ascii="Calibri" w:hAnsi="Calibri"/>
          <w:szCs w:val="22"/>
        </w:rPr>
        <w:lastRenderedPageBreak/>
        <w:t xml:space="preserve">To the extent that most people have access to some new </w:t>
      </w:r>
      <w:r w:rsidR="007B2675">
        <w:rPr>
          <w:rFonts w:ascii="Calibri" w:hAnsi="Calibri"/>
          <w:szCs w:val="22"/>
        </w:rPr>
        <w:t>content or applications</w:t>
      </w:r>
      <w:r>
        <w:rPr>
          <w:rFonts w:ascii="Calibri" w:hAnsi="Calibri"/>
          <w:szCs w:val="22"/>
        </w:rPr>
        <w:t xml:space="preserve">, but the market is not extending </w:t>
      </w:r>
      <w:r w:rsidR="007B2675">
        <w:rPr>
          <w:rFonts w:ascii="Calibri" w:hAnsi="Calibri"/>
          <w:szCs w:val="22"/>
        </w:rPr>
        <w:t>them</w:t>
      </w:r>
      <w:r>
        <w:rPr>
          <w:rFonts w:ascii="Calibri" w:hAnsi="Calibri"/>
          <w:szCs w:val="22"/>
        </w:rPr>
        <w:t xml:space="preserve"> to all end users and there would be a public benefit (externality) in universal provision, there may be case for public intervention - if it does not distort competition.</w:t>
      </w:r>
    </w:p>
    <w:p w:rsidR="00DA563B" w:rsidRDefault="00DA563B" w:rsidP="00531A3E">
      <w:pPr>
        <w:rPr>
          <w:rFonts w:ascii="Calibri" w:hAnsi="Calibri"/>
          <w:szCs w:val="22"/>
        </w:rPr>
      </w:pPr>
      <w:r>
        <w:rPr>
          <w:rFonts w:ascii="Calibri" w:hAnsi="Calibri"/>
          <w:szCs w:val="22"/>
        </w:rPr>
        <w:t xml:space="preserve">It is likely that these conditions could be </w:t>
      </w:r>
      <w:r w:rsidR="001225E8">
        <w:rPr>
          <w:rFonts w:ascii="Calibri" w:hAnsi="Calibri"/>
          <w:szCs w:val="22"/>
        </w:rPr>
        <w:t xml:space="preserve">satisfied by enabling </w:t>
      </w:r>
      <w:r w:rsidR="001225E8" w:rsidRPr="00B5321A">
        <w:rPr>
          <w:rFonts w:ascii="Calibri" w:hAnsi="Calibri"/>
          <w:szCs w:val="22"/>
          <w:lang w:val="en-GB"/>
        </w:rPr>
        <w:t>access</w:t>
      </w:r>
      <w:r w:rsidRPr="00B5321A">
        <w:rPr>
          <w:rFonts w:ascii="Calibri" w:hAnsi="Calibri"/>
          <w:szCs w:val="22"/>
          <w:lang w:val="en-GB"/>
        </w:rPr>
        <w:t xml:space="preserve"> to e-education, e-health and e-government.</w:t>
      </w:r>
      <w:r>
        <w:rPr>
          <w:rFonts w:ascii="Calibri" w:hAnsi="Calibri"/>
          <w:szCs w:val="22"/>
          <w:lang w:val="en-GB"/>
        </w:rPr>
        <w:t xml:space="preserve"> They s</w:t>
      </w:r>
      <w:r w:rsidR="001225E8">
        <w:rPr>
          <w:rFonts w:ascii="Calibri" w:hAnsi="Calibri"/>
          <w:szCs w:val="22"/>
          <w:lang w:val="en-GB"/>
        </w:rPr>
        <w:t xml:space="preserve">eem likely to be important for </w:t>
      </w:r>
      <w:r w:rsidR="001225E8">
        <w:rPr>
          <w:rFonts w:ascii="Calibri" w:hAnsi="Calibri"/>
          <w:szCs w:val="22"/>
        </w:rPr>
        <w:t>universal</w:t>
      </w:r>
      <w:r>
        <w:rPr>
          <w:rFonts w:ascii="Calibri" w:hAnsi="Calibri"/>
          <w:szCs w:val="22"/>
        </w:rPr>
        <w:t xml:space="preserve"> digita</w:t>
      </w:r>
      <w:r w:rsidRPr="00531A3E">
        <w:rPr>
          <w:rFonts w:ascii="Calibri" w:hAnsi="Calibri"/>
          <w:szCs w:val="22"/>
        </w:rPr>
        <w:t>l inclusion and participation in society</w:t>
      </w:r>
      <w:r>
        <w:rPr>
          <w:rFonts w:ascii="Calibri" w:hAnsi="Calibri"/>
          <w:szCs w:val="22"/>
        </w:rPr>
        <w:t xml:space="preserve">. </w:t>
      </w:r>
      <w:r w:rsidRPr="00533D6A">
        <w:rPr>
          <w:rFonts w:ascii="Calibri" w:hAnsi="Calibri"/>
          <w:szCs w:val="22"/>
        </w:rPr>
        <w:t xml:space="preserve">All of these are key enablers to help lift people out of poverty. </w:t>
      </w:r>
    </w:p>
    <w:p w:rsidR="00DA563B" w:rsidRDefault="002A03B0" w:rsidP="00531A3E">
      <w:pPr>
        <w:rPr>
          <w:rFonts w:ascii="Calibri" w:hAnsi="Calibri"/>
          <w:szCs w:val="22"/>
        </w:rPr>
      </w:pPr>
      <w:r>
        <w:rPr>
          <w:noProof/>
        </w:rPr>
        <w:drawing>
          <wp:anchor distT="0" distB="0" distL="114300" distR="114300" simplePos="0" relativeHeight="251658752" behindDoc="1" locked="0" layoutInCell="1" allowOverlap="1" wp14:anchorId="2C135DA0" wp14:editId="7DFB8655">
            <wp:simplePos x="0" y="0"/>
            <wp:positionH relativeFrom="column">
              <wp:posOffset>4200525</wp:posOffset>
            </wp:positionH>
            <wp:positionV relativeFrom="paragraph">
              <wp:posOffset>62865</wp:posOffset>
            </wp:positionV>
            <wp:extent cx="1619250" cy="1162050"/>
            <wp:effectExtent l="19050" t="0" r="0" b="0"/>
            <wp:wrapTight wrapText="bothSides">
              <wp:wrapPolygon edited="0">
                <wp:start x="-254" y="0"/>
                <wp:lineTo x="-254" y="21246"/>
                <wp:lineTo x="21600" y="21246"/>
                <wp:lineTo x="21600" y="0"/>
                <wp:lineTo x="-254" y="0"/>
              </wp:wrapPolygon>
            </wp:wrapTight>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1619250" cy="1162050"/>
                    </a:xfrm>
                    <a:prstGeom prst="rect">
                      <a:avLst/>
                    </a:prstGeom>
                    <a:noFill/>
                  </pic:spPr>
                </pic:pic>
              </a:graphicData>
            </a:graphic>
          </wp:anchor>
        </w:drawing>
      </w:r>
      <w:r w:rsidR="00DA563B" w:rsidRPr="00533D6A">
        <w:rPr>
          <w:rFonts w:ascii="Calibri" w:hAnsi="Calibri"/>
          <w:szCs w:val="22"/>
        </w:rPr>
        <w:t>With the Coalition Government’s Digital First Strategy, all government services and public interactions are to</w:t>
      </w:r>
      <w:r w:rsidR="00DA563B">
        <w:rPr>
          <w:rFonts w:ascii="Calibri" w:hAnsi="Calibri"/>
          <w:szCs w:val="22"/>
        </w:rPr>
        <w:t xml:space="preserve"> be available digitally by 2017</w:t>
      </w:r>
      <w:r w:rsidR="00DA563B">
        <w:rPr>
          <w:rStyle w:val="FootnoteReference"/>
          <w:rFonts w:ascii="Calibri" w:hAnsi="Calibri"/>
          <w:szCs w:val="22"/>
        </w:rPr>
        <w:footnoteReference w:id="38"/>
      </w:r>
      <w:r w:rsidR="00DA563B">
        <w:rPr>
          <w:rFonts w:ascii="Calibri" w:hAnsi="Calibri"/>
          <w:szCs w:val="22"/>
        </w:rPr>
        <w:t xml:space="preserve">. </w:t>
      </w:r>
      <w:r w:rsidR="00DA563B" w:rsidRPr="00E5090C">
        <w:rPr>
          <w:rFonts w:ascii="Calibri" w:hAnsi="Calibri"/>
          <w:szCs w:val="22"/>
        </w:rPr>
        <w:t xml:space="preserve">Maybe, this could be done with an app for a government portal on mobile phones? On the home page of </w:t>
      </w:r>
      <w:r w:rsidR="007B2675">
        <w:rPr>
          <w:rFonts w:ascii="Calibri" w:hAnsi="Calibri"/>
          <w:szCs w:val="22"/>
        </w:rPr>
        <w:t xml:space="preserve">all </w:t>
      </w:r>
      <w:r w:rsidR="00DA563B" w:rsidRPr="00E5090C">
        <w:rPr>
          <w:rFonts w:ascii="Calibri" w:hAnsi="Calibri"/>
          <w:szCs w:val="22"/>
        </w:rPr>
        <w:t xml:space="preserve">other </w:t>
      </w:r>
      <w:r w:rsidR="007B2675">
        <w:rPr>
          <w:rFonts w:ascii="Calibri" w:hAnsi="Calibri"/>
          <w:szCs w:val="22"/>
        </w:rPr>
        <w:t>p</w:t>
      </w:r>
      <w:r w:rsidR="00DA563B" w:rsidRPr="00E5090C">
        <w:rPr>
          <w:rFonts w:ascii="Calibri" w:hAnsi="Calibri"/>
          <w:szCs w:val="22"/>
        </w:rPr>
        <w:t>roviders, a similar button could be prominently displayed. And, to cap it off, all content delivered through the government portal could be free to the end customer.</w:t>
      </w:r>
    </w:p>
    <w:p w:rsidR="00DA563B" w:rsidRDefault="0058574B" w:rsidP="00E5090C">
      <w:pPr>
        <w:rPr>
          <w:rFonts w:ascii="Calibri" w:hAnsi="Calibri"/>
        </w:rPr>
      </w:pPr>
      <w:proofErr w:type="spellStart"/>
      <w:r>
        <w:rPr>
          <w:rFonts w:ascii="Calibri" w:hAnsi="Calibri"/>
          <w:szCs w:val="22"/>
        </w:rPr>
        <w:t>Goggin</w:t>
      </w:r>
      <w:proofErr w:type="spellEnd"/>
      <w:r>
        <w:rPr>
          <w:rFonts w:ascii="Calibri" w:hAnsi="Calibri"/>
          <w:szCs w:val="22"/>
        </w:rPr>
        <w:t xml:space="preserve"> raises</w:t>
      </w:r>
      <w:r w:rsidR="00DA563B">
        <w:rPr>
          <w:rFonts w:ascii="Calibri" w:hAnsi="Calibri"/>
          <w:szCs w:val="22"/>
        </w:rPr>
        <w:t xml:space="preserve"> “</w:t>
      </w:r>
      <w:r w:rsidR="00DA563B" w:rsidRPr="00365885">
        <w:rPr>
          <w:rFonts w:ascii="Calibri" w:hAnsi="Calibri"/>
          <w:i/>
          <w:szCs w:val="22"/>
        </w:rPr>
        <w:t xml:space="preserve">the role of content, and where it fits into policies of universal communications; this </w:t>
      </w:r>
      <w:r>
        <w:rPr>
          <w:rFonts w:ascii="Calibri" w:hAnsi="Calibri"/>
          <w:i/>
          <w:szCs w:val="22"/>
        </w:rPr>
        <w:t xml:space="preserve">is </w:t>
      </w:r>
      <w:r w:rsidR="00DA563B" w:rsidRPr="00365885">
        <w:rPr>
          <w:rFonts w:ascii="Calibri" w:hAnsi="Calibri"/>
          <w:i/>
          <w:szCs w:val="22"/>
        </w:rPr>
        <w:t>a reprise of an old topic in debates on universal service, and also information society — but a new, urgent emphasis is ushered in with the role played by issues of intellectual property, copyright, and digital rights management</w:t>
      </w:r>
      <w:r w:rsidR="00DA563B">
        <w:rPr>
          <w:rFonts w:ascii="Calibri" w:hAnsi="Calibri"/>
          <w:szCs w:val="22"/>
        </w:rPr>
        <w:t>”. These may</w:t>
      </w:r>
      <w:r w:rsidR="00DA563B" w:rsidRPr="00531A3E">
        <w:rPr>
          <w:rFonts w:ascii="Calibri" w:hAnsi="Calibri"/>
          <w:szCs w:val="22"/>
        </w:rPr>
        <w:t xml:space="preserve"> encroach on property rights beyond the control of government in a USO context – but they can be and should be dealt with by government in other contexts; e.g. not making the existing situation worse with preferential trade agreements.</w:t>
      </w:r>
      <w:r w:rsidR="00DA563B">
        <w:rPr>
          <w:rFonts w:ascii="Calibri" w:hAnsi="Calibri"/>
          <w:szCs w:val="22"/>
        </w:rPr>
        <w:t xml:space="preserve"> </w:t>
      </w:r>
      <w:r w:rsidR="00DA563B">
        <w:rPr>
          <w:rFonts w:ascii="Calibri" w:hAnsi="Calibri"/>
        </w:rPr>
        <w:t xml:space="preserve"> </w:t>
      </w:r>
    </w:p>
    <w:p w:rsidR="00DA563B" w:rsidRDefault="00DA563B" w:rsidP="00B84D8C">
      <w:pPr>
        <w:rPr>
          <w:rFonts w:ascii="Calibri" w:hAnsi="Calibri"/>
          <w:szCs w:val="22"/>
        </w:rPr>
      </w:pPr>
      <w:r>
        <w:rPr>
          <w:rFonts w:ascii="Calibri" w:hAnsi="Calibri"/>
          <w:szCs w:val="22"/>
        </w:rPr>
        <w:t xml:space="preserve">Among new or other services, </w:t>
      </w:r>
      <w:r w:rsidRPr="00B84D8C">
        <w:rPr>
          <w:rFonts w:ascii="Calibri" w:hAnsi="Calibri"/>
          <w:szCs w:val="22"/>
        </w:rPr>
        <w:t>Goggin raises for consideration:</w:t>
      </w:r>
      <w:r>
        <w:rPr>
          <w:rFonts w:ascii="Calibri" w:hAnsi="Calibri"/>
          <w:szCs w:val="22"/>
        </w:rPr>
        <w:t xml:space="preserve"> “</w:t>
      </w:r>
      <w:r w:rsidRPr="00B84D8C">
        <w:rPr>
          <w:rFonts w:ascii="Calibri" w:hAnsi="Calibri"/>
          <w:i/>
          <w:iCs/>
          <w:szCs w:val="22"/>
        </w:rPr>
        <w:t xml:space="preserve">affordable access and use of </w:t>
      </w:r>
      <w:r w:rsidRPr="00B84D8C">
        <w:rPr>
          <w:rFonts w:ascii="Calibri" w:hAnsi="Calibri"/>
          <w:i/>
          <w:iCs/>
          <w:szCs w:val="22"/>
          <w:u w:val="single"/>
        </w:rPr>
        <w:t>applications</w:t>
      </w:r>
      <w:r w:rsidRPr="00B84D8C">
        <w:rPr>
          <w:rFonts w:ascii="Calibri" w:hAnsi="Calibri"/>
          <w:b/>
          <w:i/>
          <w:iCs/>
          <w:szCs w:val="22"/>
          <w:u w:val="single"/>
        </w:rPr>
        <w:t xml:space="preserve"> </w:t>
      </w:r>
      <w:r w:rsidRPr="00B84D8C">
        <w:rPr>
          <w:rFonts w:ascii="Calibri" w:hAnsi="Calibri"/>
          <w:i/>
          <w:iCs/>
          <w:szCs w:val="22"/>
        </w:rPr>
        <w:t>as well as platforms and technologies</w:t>
      </w:r>
      <w:r w:rsidRPr="00B84D8C">
        <w:rPr>
          <w:rFonts w:ascii="Calibri" w:hAnsi="Calibri"/>
          <w:szCs w:val="22"/>
        </w:rPr>
        <w:t xml:space="preserve">; </w:t>
      </w:r>
      <w:r w:rsidRPr="00B84D8C">
        <w:rPr>
          <w:rFonts w:ascii="Calibri" w:hAnsi="Calibri"/>
          <w:i/>
          <w:szCs w:val="22"/>
        </w:rPr>
        <w:t>for instance, search is ubiquitously provided by the good offices of Google and competitors, but in the future other applications may arise that form part of essential services</w:t>
      </w:r>
      <w:r>
        <w:rPr>
          <w:rFonts w:ascii="Calibri" w:hAnsi="Calibri"/>
          <w:i/>
          <w:szCs w:val="22"/>
        </w:rPr>
        <w:t>”</w:t>
      </w:r>
      <w:r w:rsidRPr="00B84D8C">
        <w:rPr>
          <w:rFonts w:ascii="Calibri" w:hAnsi="Calibri"/>
          <w:i/>
          <w:szCs w:val="22"/>
        </w:rPr>
        <w:t xml:space="preserve">. </w:t>
      </w:r>
      <w:r>
        <w:rPr>
          <w:rFonts w:ascii="Calibri" w:hAnsi="Calibri"/>
          <w:szCs w:val="22"/>
        </w:rPr>
        <w:t xml:space="preserve">That is an </w:t>
      </w:r>
      <w:r w:rsidR="00831CBD">
        <w:rPr>
          <w:rFonts w:ascii="Calibri" w:hAnsi="Calibri"/>
          <w:szCs w:val="22"/>
        </w:rPr>
        <w:t>i</w:t>
      </w:r>
      <w:r>
        <w:rPr>
          <w:rFonts w:ascii="Calibri" w:hAnsi="Calibri"/>
          <w:szCs w:val="22"/>
        </w:rPr>
        <w:t xml:space="preserve">nteresting thought. But should government mandate access to a commercial service like Facebook? </w:t>
      </w:r>
      <w:r w:rsidRPr="00F8541B">
        <w:rPr>
          <w:rFonts w:ascii="Calibri" w:hAnsi="Calibri"/>
          <w:szCs w:val="22"/>
        </w:rPr>
        <w:t>In some countries, mobile operators provide free access to services like Facebook or Spotify as a point of differentiation and to generate traffic and customer loyalty</w:t>
      </w:r>
      <w:r>
        <w:rPr>
          <w:rFonts w:ascii="Calibri" w:hAnsi="Calibri"/>
          <w:szCs w:val="22"/>
        </w:rPr>
        <w:t xml:space="preserve"> (see Box 5 on Facebook’s initiative)</w:t>
      </w:r>
      <w:r w:rsidRPr="00F8541B">
        <w:rPr>
          <w:rFonts w:ascii="Calibri" w:hAnsi="Calibri"/>
          <w:szCs w:val="22"/>
        </w:rPr>
        <w:t xml:space="preserve">. </w:t>
      </w:r>
    </w:p>
    <w:p w:rsidR="00DA563B" w:rsidRPr="00EB59DA" w:rsidRDefault="00DA563B" w:rsidP="00FF3349">
      <w:pPr>
        <w:rPr>
          <w:rFonts w:ascii="Calibri" w:hAnsi="Calibri"/>
        </w:rPr>
      </w:pPr>
    </w:p>
    <w:p w:rsidR="00DA563B" w:rsidRPr="00EB59DA" w:rsidRDefault="00DA563B" w:rsidP="00751146">
      <w:pPr>
        <w:shd w:val="clear" w:color="auto" w:fill="C6D9F1"/>
        <w:rPr>
          <w:rFonts w:ascii="Calibri" w:hAnsi="Calibri"/>
          <w:b/>
        </w:rPr>
      </w:pPr>
      <w:r>
        <w:rPr>
          <w:rFonts w:ascii="Calibri" w:hAnsi="Calibri"/>
          <w:b/>
        </w:rPr>
        <w:t xml:space="preserve">Box 5 - </w:t>
      </w:r>
      <w:r w:rsidRPr="00EB59DA">
        <w:rPr>
          <w:rFonts w:ascii="Calibri" w:hAnsi="Calibri"/>
          <w:b/>
        </w:rPr>
        <w:t>Affordab</w:t>
      </w:r>
      <w:r>
        <w:rPr>
          <w:rFonts w:ascii="Calibri" w:hAnsi="Calibri"/>
          <w:b/>
        </w:rPr>
        <w:t xml:space="preserve">le </w:t>
      </w:r>
      <w:r w:rsidR="007B2675">
        <w:rPr>
          <w:rFonts w:ascii="Calibri" w:hAnsi="Calibri"/>
          <w:b/>
        </w:rPr>
        <w:t xml:space="preserve">mobile </w:t>
      </w:r>
      <w:r>
        <w:rPr>
          <w:rFonts w:ascii="Calibri" w:hAnsi="Calibri"/>
          <w:b/>
        </w:rPr>
        <w:t>internet access</w:t>
      </w:r>
    </w:p>
    <w:p w:rsidR="00DA563B" w:rsidRDefault="00DA563B" w:rsidP="00751146">
      <w:pPr>
        <w:shd w:val="clear" w:color="auto" w:fill="C6D9F1"/>
        <w:rPr>
          <w:rFonts w:ascii="Calibri" w:hAnsi="Calibri"/>
        </w:rPr>
      </w:pPr>
      <w:r w:rsidRPr="00EB59DA">
        <w:rPr>
          <w:rFonts w:ascii="Calibri" w:hAnsi="Calibri"/>
        </w:rPr>
        <w:t xml:space="preserve">Internet.org was founded in August 2013 by Facebook, Ericsson, </w:t>
      </w:r>
      <w:proofErr w:type="spellStart"/>
      <w:r w:rsidRPr="00EB59DA">
        <w:rPr>
          <w:rFonts w:ascii="Calibri" w:hAnsi="Calibri"/>
        </w:rPr>
        <w:t>MediaTek</w:t>
      </w:r>
      <w:proofErr w:type="spellEnd"/>
      <w:r w:rsidRPr="00EB59DA">
        <w:rPr>
          <w:rFonts w:ascii="Calibri" w:hAnsi="Calibri"/>
        </w:rPr>
        <w:t>, Nokia, Opera, Qualcomm and Samsung with the object of making internet access available to the two-thirds of the world who are not yet connected. The Internet.org app on a mobile phone provides free basic services to a mobile operator’s customers with access including education sites, healthcare information services and a number of job and news services. Facebook has launched this app in many under-serviced countries in Africa and around the world, including India, Ghana, Kenya and South Africa. Partnerships with mobile operators around the world allow for free or discounted data on Facebook and Internet.org for an initial 12 month period after which customers have the option to buy the mobile operator’s data bundles while on Facebook or Internet.org</w:t>
      </w:r>
    </w:p>
    <w:p w:rsidR="00DA563B" w:rsidRPr="00EB59DA" w:rsidRDefault="00DA563B" w:rsidP="00751146">
      <w:pPr>
        <w:shd w:val="clear" w:color="auto" w:fill="C6D9F1"/>
        <w:rPr>
          <w:rFonts w:ascii="Calibri" w:hAnsi="Calibri"/>
        </w:rPr>
      </w:pPr>
      <w:r>
        <w:rPr>
          <w:rFonts w:ascii="Calibri" w:hAnsi="Calibri"/>
        </w:rPr>
        <w:t xml:space="preserve">Source: </w:t>
      </w:r>
      <w:hyperlink r:id="rId53" w:history="1">
        <w:r w:rsidRPr="00EB59DA">
          <w:rPr>
            <w:rStyle w:val="Hyperlink"/>
            <w:rFonts w:ascii="Calibri" w:hAnsi="Calibri"/>
          </w:rPr>
          <w:t>https://www.internet.org/</w:t>
        </w:r>
      </w:hyperlink>
      <w:r w:rsidRPr="00EB59DA">
        <w:rPr>
          <w:rFonts w:ascii="Calibri" w:hAnsi="Calibri"/>
        </w:rPr>
        <w:t xml:space="preserve"> </w:t>
      </w:r>
    </w:p>
    <w:p w:rsidR="00DA563B" w:rsidRDefault="00DA563B" w:rsidP="00FF3349">
      <w:pPr>
        <w:rPr>
          <w:rFonts w:ascii="Calibri" w:hAnsi="Calibri"/>
          <w:szCs w:val="22"/>
        </w:rPr>
      </w:pPr>
      <w:r>
        <w:rPr>
          <w:rFonts w:ascii="Calibri" w:hAnsi="Calibri"/>
        </w:rPr>
        <w:lastRenderedPageBreak/>
        <w:t xml:space="preserve">After voice, the SMS text service has been a very popular communications tool because of its </w:t>
      </w:r>
      <w:r w:rsidR="0058574B">
        <w:rPr>
          <w:rFonts w:ascii="Calibri" w:hAnsi="Calibri"/>
        </w:rPr>
        <w:t xml:space="preserve">convenience and </w:t>
      </w:r>
      <w:r>
        <w:rPr>
          <w:rFonts w:ascii="Calibri" w:hAnsi="Calibri"/>
        </w:rPr>
        <w:t>affordability</w:t>
      </w:r>
      <w:r w:rsidR="003A2654">
        <w:rPr>
          <w:rFonts w:ascii="Calibri" w:hAnsi="Calibri"/>
        </w:rPr>
        <w:t>,</w:t>
      </w:r>
      <w:r w:rsidR="0058574B">
        <w:rPr>
          <w:rFonts w:ascii="Calibri" w:hAnsi="Calibri"/>
        </w:rPr>
        <w:t xml:space="preserve"> although prices exceed costs so much that the ACCC has </w:t>
      </w:r>
      <w:r w:rsidR="00254D11">
        <w:rPr>
          <w:rFonts w:ascii="Calibri" w:hAnsi="Calibri"/>
        </w:rPr>
        <w:t xml:space="preserve">made </w:t>
      </w:r>
      <w:r w:rsidR="0058574B">
        <w:rPr>
          <w:rFonts w:ascii="Calibri" w:hAnsi="Calibri"/>
        </w:rPr>
        <w:t>SMS</w:t>
      </w:r>
      <w:r w:rsidR="00254D11">
        <w:rPr>
          <w:rFonts w:ascii="Calibri" w:hAnsi="Calibri"/>
        </w:rPr>
        <w:t xml:space="preserve"> a declared service</w:t>
      </w:r>
      <w:r w:rsidR="004B6060">
        <w:rPr>
          <w:rStyle w:val="FootnoteReference"/>
          <w:rFonts w:ascii="Calibri" w:hAnsi="Calibri"/>
        </w:rPr>
        <w:footnoteReference w:id="39"/>
      </w:r>
      <w:r>
        <w:rPr>
          <w:rFonts w:ascii="Calibri" w:hAnsi="Calibri"/>
        </w:rPr>
        <w:t xml:space="preserve">. Despite the plethora of communications apps that have emerged with digitisation, SMS retains a significant advantage. </w:t>
      </w:r>
      <w:r>
        <w:rPr>
          <w:rFonts w:ascii="Calibri" w:hAnsi="Calibri"/>
          <w:szCs w:val="22"/>
        </w:rPr>
        <w:t>Unlike SMS, where texts can go between any two mobile phones, t</w:t>
      </w:r>
      <w:r w:rsidRPr="00FF3349">
        <w:rPr>
          <w:rFonts w:ascii="Calibri" w:hAnsi="Calibri"/>
          <w:szCs w:val="22"/>
        </w:rPr>
        <w:t xml:space="preserve">here are limitations with many communications apps because the same app must be used by both users attempting to communicate with each other. This seems to be the case with </w:t>
      </w:r>
      <w:r>
        <w:rPr>
          <w:rFonts w:ascii="Calibri" w:hAnsi="Calibri"/>
          <w:szCs w:val="22"/>
        </w:rPr>
        <w:t>many messaging apps (see B</w:t>
      </w:r>
      <w:r w:rsidRPr="00FF3349">
        <w:rPr>
          <w:rFonts w:ascii="Calibri" w:hAnsi="Calibri"/>
          <w:szCs w:val="22"/>
        </w:rPr>
        <w:t>ox</w:t>
      </w:r>
      <w:r>
        <w:rPr>
          <w:rFonts w:ascii="Calibri" w:hAnsi="Calibri"/>
          <w:szCs w:val="22"/>
        </w:rPr>
        <w:t xml:space="preserve"> 6</w:t>
      </w:r>
      <w:r w:rsidRPr="00FF3349">
        <w:rPr>
          <w:rFonts w:ascii="Calibri" w:hAnsi="Calibri"/>
          <w:szCs w:val="22"/>
        </w:rPr>
        <w:t xml:space="preserve">). </w:t>
      </w:r>
    </w:p>
    <w:p w:rsidR="005431EF" w:rsidRDefault="005431EF" w:rsidP="00FF3349">
      <w:pPr>
        <w:rPr>
          <w:rFonts w:ascii="Calibri" w:hAnsi="Calibri"/>
          <w:szCs w:val="22"/>
        </w:rPr>
      </w:pPr>
      <w:r w:rsidRPr="005431EF">
        <w:rPr>
          <w:rFonts w:ascii="Calibri" w:hAnsi="Calibri"/>
          <w:szCs w:val="22"/>
        </w:rPr>
        <w:t xml:space="preserve">BT and Vodafone want Ofcom to make such apps connect to each other, so WhatsApp users would be able to text those on Apple’s </w:t>
      </w:r>
      <w:proofErr w:type="spellStart"/>
      <w:r w:rsidRPr="005431EF">
        <w:rPr>
          <w:rFonts w:ascii="Calibri" w:hAnsi="Calibri"/>
          <w:szCs w:val="22"/>
        </w:rPr>
        <w:t>iMessage</w:t>
      </w:r>
      <w:proofErr w:type="spellEnd"/>
      <w:r w:rsidRPr="005431EF">
        <w:rPr>
          <w:rFonts w:ascii="Calibri" w:hAnsi="Calibri"/>
          <w:szCs w:val="22"/>
        </w:rPr>
        <w:t xml:space="preserve">, for instance. That requires heavy-handed regulation. Market based solutions may emerge. For example, Telegram requires an account which then allows users to sign-in on multiple devices across Windows, Mac, Android iOS and the web. </w:t>
      </w:r>
    </w:p>
    <w:p w:rsidR="00DA563B" w:rsidRPr="00FF3349" w:rsidRDefault="00DA563B" w:rsidP="00FF3349">
      <w:pPr>
        <w:rPr>
          <w:rFonts w:ascii="Calibri" w:hAnsi="Calibri"/>
          <w:szCs w:val="22"/>
        </w:rPr>
      </w:pPr>
    </w:p>
    <w:p w:rsidR="00DA563B" w:rsidRPr="00FF3349" w:rsidRDefault="00DA563B" w:rsidP="00751146">
      <w:pPr>
        <w:shd w:val="clear" w:color="auto" w:fill="C6D9F1"/>
        <w:rPr>
          <w:rFonts w:ascii="Calibri" w:hAnsi="Calibri"/>
          <w:b/>
          <w:szCs w:val="22"/>
        </w:rPr>
      </w:pPr>
      <w:r>
        <w:rPr>
          <w:rFonts w:ascii="Calibri" w:hAnsi="Calibri"/>
          <w:b/>
          <w:szCs w:val="22"/>
        </w:rPr>
        <w:t xml:space="preserve">Box 6 - </w:t>
      </w:r>
      <w:r w:rsidRPr="00FF3349">
        <w:rPr>
          <w:rFonts w:ascii="Calibri" w:hAnsi="Calibri"/>
          <w:b/>
          <w:szCs w:val="22"/>
        </w:rPr>
        <w:t>Messaging disconnects</w:t>
      </w:r>
    </w:p>
    <w:p w:rsidR="00DA563B" w:rsidRPr="00FF3349" w:rsidRDefault="00DA563B" w:rsidP="00751146">
      <w:pPr>
        <w:shd w:val="clear" w:color="auto" w:fill="C6D9F1"/>
        <w:rPr>
          <w:rFonts w:ascii="Calibri" w:hAnsi="Calibri"/>
          <w:i/>
          <w:szCs w:val="22"/>
        </w:rPr>
      </w:pPr>
      <w:proofErr w:type="spellStart"/>
      <w:r w:rsidRPr="00FF3349">
        <w:rPr>
          <w:rFonts w:ascii="Calibri" w:hAnsi="Calibri"/>
          <w:szCs w:val="22"/>
        </w:rPr>
        <w:t>Whatsapp</w:t>
      </w:r>
      <w:proofErr w:type="spellEnd"/>
      <w:r w:rsidRPr="00FF3349">
        <w:rPr>
          <w:rFonts w:ascii="Calibri" w:hAnsi="Calibri"/>
          <w:szCs w:val="22"/>
        </w:rPr>
        <w:t xml:space="preserve"> with 700m active users is the most popular messaging service but it is linked to a mobile phone number; the app has to be registered on each device. Other popular apps lock you into their own ecosystems: “</w:t>
      </w:r>
      <w:r w:rsidRPr="00FF3349">
        <w:rPr>
          <w:rFonts w:ascii="Calibri" w:hAnsi="Calibri"/>
          <w:i/>
          <w:szCs w:val="22"/>
        </w:rPr>
        <w:t xml:space="preserve">Switching messaging services is a major pain. You’ll never get everyone to switch, so each new service becomes another app on your phone (so) I’ll continue to </w:t>
      </w:r>
      <w:proofErr w:type="spellStart"/>
      <w:r w:rsidRPr="00FF3349">
        <w:rPr>
          <w:rFonts w:ascii="Calibri" w:hAnsi="Calibri"/>
          <w:i/>
          <w:szCs w:val="22"/>
        </w:rPr>
        <w:t>iMessage</w:t>
      </w:r>
      <w:proofErr w:type="spellEnd"/>
      <w:r w:rsidRPr="00FF3349">
        <w:rPr>
          <w:rFonts w:ascii="Calibri" w:hAnsi="Calibri"/>
          <w:i/>
          <w:szCs w:val="22"/>
        </w:rPr>
        <w:t xml:space="preserve"> my (Apple) iPhone friends, Hangouts with my (Google) Android mates, Slack while at work, Facebook Message our trivia team, Twitter DM my nerds</w:t>
      </w:r>
      <w:r w:rsidRPr="00FF3349">
        <w:rPr>
          <w:rFonts w:ascii="Calibri" w:hAnsi="Calibri"/>
          <w:szCs w:val="22"/>
        </w:rPr>
        <w:t xml:space="preserve">.” </w:t>
      </w:r>
    </w:p>
    <w:p w:rsidR="00DA563B" w:rsidRPr="00FF3349" w:rsidRDefault="00DA563B" w:rsidP="00751146">
      <w:pPr>
        <w:shd w:val="clear" w:color="auto" w:fill="C6D9F1"/>
        <w:rPr>
          <w:rFonts w:ascii="Calibri" w:hAnsi="Calibri"/>
          <w:szCs w:val="22"/>
        </w:rPr>
      </w:pPr>
      <w:r w:rsidRPr="00FF3349">
        <w:rPr>
          <w:rFonts w:ascii="Calibri" w:hAnsi="Calibri"/>
          <w:szCs w:val="22"/>
        </w:rPr>
        <w:t xml:space="preserve">Source: Peter </w:t>
      </w:r>
      <w:proofErr w:type="gramStart"/>
      <w:r w:rsidRPr="00FF3349">
        <w:rPr>
          <w:rFonts w:ascii="Calibri" w:hAnsi="Calibri"/>
          <w:szCs w:val="22"/>
        </w:rPr>
        <w:t>Wells</w:t>
      </w:r>
      <w:proofErr w:type="gramEnd"/>
      <w:r w:rsidRPr="00FF3349">
        <w:rPr>
          <w:rFonts w:ascii="Calibri" w:hAnsi="Calibri"/>
          <w:szCs w:val="22"/>
        </w:rPr>
        <w:t xml:space="preserve"> column in SMH Business Day, 7 July 2015</w:t>
      </w:r>
    </w:p>
    <w:p w:rsidR="00DA563B" w:rsidRPr="00365885" w:rsidRDefault="00DA563B" w:rsidP="00365885">
      <w:pPr>
        <w:rPr>
          <w:rFonts w:ascii="Calibri" w:hAnsi="Calibri"/>
          <w:szCs w:val="22"/>
        </w:rPr>
      </w:pPr>
    </w:p>
    <w:p w:rsidR="00DA563B" w:rsidRDefault="002A03B0" w:rsidP="00E5090C">
      <w:pPr>
        <w:rPr>
          <w:rFonts w:ascii="Calibri" w:hAnsi="Calibri"/>
          <w:szCs w:val="22"/>
        </w:rPr>
      </w:pPr>
      <w:r>
        <w:rPr>
          <w:noProof/>
        </w:rPr>
        <w:drawing>
          <wp:anchor distT="0" distB="0" distL="114300" distR="114300" simplePos="0" relativeHeight="251656704" behindDoc="1" locked="0" layoutInCell="1" allowOverlap="1" wp14:anchorId="355D6876" wp14:editId="5B7D3AD3">
            <wp:simplePos x="0" y="0"/>
            <wp:positionH relativeFrom="column">
              <wp:posOffset>0</wp:posOffset>
            </wp:positionH>
            <wp:positionV relativeFrom="paragraph">
              <wp:posOffset>24130</wp:posOffset>
            </wp:positionV>
            <wp:extent cx="2691765" cy="1177290"/>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2691765" cy="1177290"/>
                    </a:xfrm>
                    <a:prstGeom prst="rect">
                      <a:avLst/>
                    </a:prstGeom>
                    <a:noFill/>
                  </pic:spPr>
                </pic:pic>
              </a:graphicData>
            </a:graphic>
          </wp:anchor>
        </w:drawing>
      </w:r>
      <w:r w:rsidR="00DA563B">
        <w:rPr>
          <w:rFonts w:ascii="Calibri" w:hAnsi="Calibri"/>
          <w:szCs w:val="22"/>
        </w:rPr>
        <w:t xml:space="preserve">Given the importance of </w:t>
      </w:r>
      <w:r w:rsidR="003A2654">
        <w:rPr>
          <w:rFonts w:ascii="Calibri" w:hAnsi="Calibri"/>
          <w:szCs w:val="22"/>
        </w:rPr>
        <w:t>Triple</w:t>
      </w:r>
      <w:r w:rsidR="00DA563B">
        <w:rPr>
          <w:rFonts w:ascii="Calibri" w:hAnsi="Calibri"/>
          <w:szCs w:val="22"/>
        </w:rPr>
        <w:t xml:space="preserve"> Zero for emergency calls from fixed lines, one app which it is worth pre-loading on all new smartphones and tablets is the </w:t>
      </w:r>
      <w:hyperlink r:id="rId55" w:history="1">
        <w:r w:rsidR="00DA563B" w:rsidRPr="00A8103B">
          <w:rPr>
            <w:rStyle w:val="Hyperlink"/>
            <w:rFonts w:ascii="Calibri" w:hAnsi="Calibri"/>
            <w:szCs w:val="22"/>
          </w:rPr>
          <w:t>Emergency+</w:t>
        </w:r>
      </w:hyperlink>
      <w:r w:rsidR="00DA563B">
        <w:rPr>
          <w:rFonts w:ascii="Calibri" w:hAnsi="Calibri"/>
          <w:szCs w:val="22"/>
        </w:rPr>
        <w:t xml:space="preserve"> app developed by the Commonwealth and suitable for iOS (Apple) and Android smartphones. </w:t>
      </w:r>
    </w:p>
    <w:p w:rsidR="00DA563B" w:rsidRDefault="00DA563B" w:rsidP="00365885">
      <w:pPr>
        <w:rPr>
          <w:rFonts w:ascii="Calibri" w:hAnsi="Calibri"/>
          <w:szCs w:val="22"/>
        </w:rPr>
      </w:pPr>
      <w:r>
        <w:rPr>
          <w:rFonts w:ascii="Calibri" w:hAnsi="Calibri"/>
          <w:szCs w:val="22"/>
        </w:rPr>
        <w:t>We can agree with Goggin</w:t>
      </w:r>
      <w:r>
        <w:rPr>
          <w:rStyle w:val="FootnoteReference"/>
          <w:rFonts w:ascii="Calibri" w:hAnsi="Calibri"/>
          <w:szCs w:val="22"/>
        </w:rPr>
        <w:footnoteReference w:id="40"/>
      </w:r>
      <w:r>
        <w:rPr>
          <w:rFonts w:ascii="Calibri" w:hAnsi="Calibri"/>
          <w:szCs w:val="22"/>
        </w:rPr>
        <w:t xml:space="preserve"> that </w:t>
      </w:r>
      <w:r w:rsidRPr="00531A3E">
        <w:rPr>
          <w:rFonts w:ascii="Calibri" w:hAnsi="Calibri"/>
          <w:szCs w:val="22"/>
        </w:rPr>
        <w:t>“</w:t>
      </w:r>
      <w:r w:rsidRPr="00531A3E">
        <w:rPr>
          <w:rFonts w:ascii="Calibri" w:hAnsi="Calibri"/>
          <w:i/>
          <w:szCs w:val="22"/>
        </w:rPr>
        <w:t>The old USO struggled to incorporate the important goal of consumer choice</w:t>
      </w:r>
      <w:r>
        <w:rPr>
          <w:rFonts w:ascii="Calibri" w:hAnsi="Calibri"/>
          <w:szCs w:val="22"/>
        </w:rPr>
        <w:t>”</w:t>
      </w:r>
      <w:r w:rsidRPr="00531A3E">
        <w:rPr>
          <w:rFonts w:ascii="Calibri" w:hAnsi="Calibri"/>
          <w:szCs w:val="22"/>
        </w:rPr>
        <w:t>. True, the contestability for the USO obligation was a failed experiment</w:t>
      </w:r>
      <w:r>
        <w:rPr>
          <w:rFonts w:ascii="Calibri" w:hAnsi="Calibri"/>
          <w:szCs w:val="22"/>
        </w:rPr>
        <w:t>. Perhaps  “</w:t>
      </w:r>
      <w:r w:rsidRPr="00531A3E">
        <w:rPr>
          <w:rFonts w:ascii="Calibri" w:hAnsi="Calibri"/>
          <w:i/>
          <w:szCs w:val="22"/>
        </w:rPr>
        <w:t>The provision of universal services is not contestable but it is clear that consumers want choice in their providers and the market needs competition to deliver. Therefore we need to find ways in which the USO doesn’t have one company or one technology entrenched as the recipient of subsidies</w:t>
      </w:r>
      <w:r>
        <w:rPr>
          <w:rFonts w:ascii="Calibri" w:hAnsi="Calibri"/>
          <w:i/>
          <w:szCs w:val="22"/>
        </w:rPr>
        <w:t>”</w:t>
      </w:r>
      <w:r>
        <w:rPr>
          <w:rStyle w:val="FootnoteReference"/>
          <w:rFonts w:ascii="Calibri" w:hAnsi="Calibri"/>
          <w:i/>
          <w:szCs w:val="22"/>
        </w:rPr>
        <w:footnoteReference w:id="41"/>
      </w:r>
      <w:r>
        <w:rPr>
          <w:rFonts w:ascii="Calibri" w:hAnsi="Calibri"/>
          <w:szCs w:val="22"/>
        </w:rPr>
        <w:t xml:space="preserve">. </w:t>
      </w:r>
    </w:p>
    <w:p w:rsidR="00DA563B" w:rsidRDefault="00DA563B" w:rsidP="000D592A">
      <w:pPr>
        <w:rPr>
          <w:rFonts w:ascii="Calibri" w:hAnsi="Calibri"/>
        </w:rPr>
      </w:pPr>
      <w:r w:rsidRPr="00640895">
        <w:rPr>
          <w:rFonts w:ascii="Calibri" w:hAnsi="Calibri"/>
          <w:szCs w:val="22"/>
        </w:rPr>
        <w:t>But, how can we move beyond Telstra as an increasingly inappropriate ‘carrier of last resort’ when it comes to measures to provide services and programs for low-income consumers?</w:t>
      </w:r>
    </w:p>
    <w:p w:rsidR="00DA563B" w:rsidRDefault="0097521B" w:rsidP="00EC5C1C">
      <w:pPr>
        <w:pStyle w:val="Heading1"/>
        <w:rPr>
          <w:lang w:val="en-GB"/>
        </w:rPr>
      </w:pPr>
      <w:bookmarkStart w:id="14" w:name="_Toc436121939"/>
      <w:r>
        <w:lastRenderedPageBreak/>
        <w:t>4</w:t>
      </w:r>
      <w:r>
        <w:tab/>
        <w:t xml:space="preserve">Who </w:t>
      </w:r>
      <w:r w:rsidR="00AE529A">
        <w:t>Are You Going To Call</w:t>
      </w:r>
      <w:r>
        <w:t>?</w:t>
      </w:r>
      <w:bookmarkEnd w:id="14"/>
    </w:p>
    <w:p w:rsidR="00DA563B" w:rsidRPr="00640895" w:rsidRDefault="00DA563B" w:rsidP="00D55268">
      <w:pPr>
        <w:rPr>
          <w:rFonts w:ascii="Calibri" w:hAnsi="Calibri"/>
          <w:lang w:val="en-GB"/>
        </w:rPr>
      </w:pPr>
      <w:r w:rsidRPr="00640895">
        <w:rPr>
          <w:rFonts w:ascii="Calibri" w:hAnsi="Calibri"/>
          <w:lang w:val="en-GB"/>
        </w:rPr>
        <w:t xml:space="preserve">There are six broad USO policy options. All have to be supplemented with affordability and accessibility initiatives for </w:t>
      </w:r>
      <w:r w:rsidR="006B775C">
        <w:rPr>
          <w:rFonts w:ascii="Calibri" w:hAnsi="Calibri"/>
          <w:lang w:val="en-GB"/>
        </w:rPr>
        <w:t xml:space="preserve">both </w:t>
      </w:r>
      <w:r w:rsidRPr="00640895">
        <w:rPr>
          <w:rFonts w:ascii="Calibri" w:hAnsi="Calibri"/>
          <w:lang w:val="en-GB"/>
        </w:rPr>
        <w:t>broadband and</w:t>
      </w:r>
      <w:r w:rsidR="006240F6">
        <w:rPr>
          <w:rFonts w:ascii="Calibri" w:hAnsi="Calibri"/>
          <w:lang w:val="en-GB"/>
        </w:rPr>
        <w:t>/or</w:t>
      </w:r>
      <w:r w:rsidRPr="00640895">
        <w:rPr>
          <w:rFonts w:ascii="Calibri" w:hAnsi="Calibri"/>
          <w:lang w:val="en-GB"/>
        </w:rPr>
        <w:t xml:space="preserve"> mobiles.</w:t>
      </w:r>
    </w:p>
    <w:p w:rsidR="00DA563B" w:rsidRDefault="00DA563B" w:rsidP="00D55268">
      <w:pPr>
        <w:rPr>
          <w:rFonts w:ascii="Calibri" w:hAnsi="Calibri"/>
          <w:lang w:val="en-GB"/>
        </w:rPr>
      </w:pPr>
      <w:r>
        <w:rPr>
          <w:rFonts w:ascii="Calibri" w:hAnsi="Calibri"/>
          <w:lang w:val="en-GB"/>
        </w:rPr>
        <w:t xml:space="preserve">One of the three dimensions that differentiates the six options is voice versus broadband (includes voice and data) as the focus of </w:t>
      </w:r>
      <w:r w:rsidR="006240F6">
        <w:rPr>
          <w:rFonts w:ascii="Calibri" w:hAnsi="Calibri"/>
          <w:lang w:val="en-GB"/>
        </w:rPr>
        <w:t xml:space="preserve">USO </w:t>
      </w:r>
      <w:r>
        <w:rPr>
          <w:rFonts w:ascii="Calibri" w:hAnsi="Calibri"/>
          <w:lang w:val="en-GB"/>
        </w:rPr>
        <w:t>policy. In practice, a voice-only USO is defunct because there is bi-partisan support for universal broadband. But for completeness Options 1 and 5, which are limited to voice, are discussed.</w:t>
      </w:r>
    </w:p>
    <w:p w:rsidR="00ED681F" w:rsidRDefault="00DA563B" w:rsidP="00ED681F">
      <w:pPr>
        <w:rPr>
          <w:rFonts w:ascii="Calibri" w:hAnsi="Calibri"/>
          <w:lang w:val="en-GB"/>
        </w:rPr>
      </w:pPr>
      <w:r>
        <w:rPr>
          <w:rFonts w:ascii="Calibri" w:hAnsi="Calibri"/>
          <w:lang w:val="en-GB"/>
        </w:rPr>
        <w:t xml:space="preserve">The second dimension is the technology platform. In the current voice-only USO, the platform is the copper network. The NBN is the replacement platform and there is probably no </w:t>
      </w:r>
      <w:r w:rsidR="00CF4B62">
        <w:rPr>
          <w:rFonts w:ascii="Calibri" w:hAnsi="Calibri"/>
          <w:lang w:val="en-GB"/>
        </w:rPr>
        <w:t xml:space="preserve">voice and data </w:t>
      </w:r>
      <w:r>
        <w:rPr>
          <w:rFonts w:ascii="Calibri" w:hAnsi="Calibri"/>
          <w:lang w:val="en-GB"/>
        </w:rPr>
        <w:t xml:space="preserve">substitute for the fixed wireless and satellite components of the NBN on which </w:t>
      </w:r>
      <w:r w:rsidR="006B775C">
        <w:rPr>
          <w:rFonts w:ascii="Calibri" w:hAnsi="Calibri"/>
          <w:lang w:val="en-GB"/>
        </w:rPr>
        <w:t>at least</w:t>
      </w:r>
      <w:r>
        <w:rPr>
          <w:rFonts w:ascii="Calibri" w:hAnsi="Calibri"/>
          <w:lang w:val="en-GB"/>
        </w:rPr>
        <w:t xml:space="preserve"> 3% of customers will have to rely. But, for the vast majority of customers, mobiles have emerged as the platform of choice for both voice and data. </w:t>
      </w:r>
    </w:p>
    <w:p w:rsidR="00AA663F" w:rsidRDefault="00512677" w:rsidP="00D55268">
      <w:pPr>
        <w:rPr>
          <w:rFonts w:ascii="Calibri" w:hAnsi="Calibri"/>
          <w:lang w:val="en-GB"/>
        </w:rPr>
      </w:pPr>
      <w:r>
        <w:rPr>
          <w:rFonts w:ascii="Calibri" w:hAnsi="Calibri"/>
          <w:lang w:val="en-GB"/>
        </w:rPr>
        <w:t>There are</w:t>
      </w:r>
      <w:r w:rsidR="00DA563B" w:rsidRPr="00E14067">
        <w:rPr>
          <w:rFonts w:ascii="Calibri" w:hAnsi="Calibri"/>
          <w:lang w:val="en-GB"/>
        </w:rPr>
        <w:t xml:space="preserve"> six options </w:t>
      </w:r>
      <w:r w:rsidR="00DA563B">
        <w:rPr>
          <w:rFonts w:ascii="Calibri" w:hAnsi="Calibri"/>
          <w:lang w:val="en-GB"/>
        </w:rPr>
        <w:t xml:space="preserve">against </w:t>
      </w:r>
      <w:r>
        <w:rPr>
          <w:rFonts w:ascii="Calibri" w:hAnsi="Calibri"/>
          <w:lang w:val="en-GB"/>
        </w:rPr>
        <w:t>fixed and mobile platforms</w:t>
      </w:r>
      <w:r w:rsidR="00DA563B">
        <w:rPr>
          <w:rFonts w:ascii="Calibri" w:hAnsi="Calibri"/>
          <w:lang w:val="en-GB"/>
        </w:rPr>
        <w:t>.</w:t>
      </w:r>
    </w:p>
    <w:p w:rsidR="00512677" w:rsidRDefault="00512677" w:rsidP="00512677">
      <w:pPr>
        <w:rPr>
          <w:rFonts w:ascii="Calibri" w:hAnsi="Calibri"/>
        </w:rPr>
      </w:pPr>
      <w:r w:rsidRPr="00E97471">
        <w:rPr>
          <w:rStyle w:val="Heading3Char"/>
        </w:rPr>
        <w:t>Option 1</w:t>
      </w:r>
      <w:r>
        <w:rPr>
          <w:rFonts w:ascii="Calibri" w:hAnsi="Calibri"/>
        </w:rPr>
        <w:t xml:space="preserve"> is the status quo with a voice based USO delivered over Telstra’s fixed copper network.    </w:t>
      </w:r>
    </w:p>
    <w:p w:rsidR="00512677" w:rsidRDefault="00512677" w:rsidP="00512677">
      <w:pPr>
        <w:rPr>
          <w:rFonts w:ascii="Calibri" w:hAnsi="Calibri"/>
        </w:rPr>
      </w:pPr>
      <w:r w:rsidRPr="00E97471">
        <w:rPr>
          <w:rStyle w:val="Heading3Char"/>
        </w:rPr>
        <w:t>Option 2</w:t>
      </w:r>
      <w:r>
        <w:rPr>
          <w:rFonts w:ascii="Calibri" w:hAnsi="Calibri"/>
        </w:rPr>
        <w:t xml:space="preserve"> is a benchmark option with no USO obligation (although carrier obligations may apply)</w:t>
      </w:r>
    </w:p>
    <w:p w:rsidR="00512677" w:rsidRDefault="00512677" w:rsidP="00512677">
      <w:pPr>
        <w:rPr>
          <w:rFonts w:ascii="Calibri" w:hAnsi="Calibri"/>
        </w:rPr>
      </w:pPr>
      <w:r w:rsidRPr="00E97471">
        <w:rPr>
          <w:rStyle w:val="Heading3Char"/>
        </w:rPr>
        <w:t>Option 3</w:t>
      </w:r>
      <w:r>
        <w:rPr>
          <w:rFonts w:ascii="Calibri" w:hAnsi="Calibri"/>
        </w:rPr>
        <w:t xml:space="preserve"> bases the USO obligation on the NBN networks. </w:t>
      </w:r>
    </w:p>
    <w:p w:rsidR="00512677" w:rsidRDefault="00512677" w:rsidP="00512677">
      <w:pPr>
        <w:rPr>
          <w:rFonts w:ascii="Calibri" w:hAnsi="Calibri"/>
        </w:rPr>
      </w:pPr>
      <w:r w:rsidRPr="00E97471">
        <w:rPr>
          <w:rStyle w:val="Heading3Char"/>
        </w:rPr>
        <w:t>Option 4</w:t>
      </w:r>
      <w:r>
        <w:rPr>
          <w:rFonts w:ascii="Calibri" w:hAnsi="Calibri"/>
        </w:rPr>
        <w:t xml:space="preserve"> switches the USO to mobile networks. </w:t>
      </w:r>
    </w:p>
    <w:p w:rsidR="00512677" w:rsidRDefault="00512677" w:rsidP="00512677">
      <w:pPr>
        <w:rPr>
          <w:rFonts w:ascii="Calibri" w:hAnsi="Calibri"/>
        </w:rPr>
      </w:pPr>
      <w:r w:rsidRPr="00E97471">
        <w:rPr>
          <w:rStyle w:val="Heading3Char"/>
        </w:rPr>
        <w:t>Option 5</w:t>
      </w:r>
      <w:r>
        <w:rPr>
          <w:rFonts w:ascii="Calibri" w:hAnsi="Calibri"/>
        </w:rPr>
        <w:t xml:space="preserve"> confines the USO to voice, as now, but includes mobile networks.</w:t>
      </w:r>
    </w:p>
    <w:p w:rsidR="00512677" w:rsidRDefault="00512677" w:rsidP="00512677">
      <w:pPr>
        <w:rPr>
          <w:rFonts w:ascii="Calibri" w:hAnsi="Calibri"/>
        </w:rPr>
      </w:pPr>
      <w:r w:rsidRPr="00E97471">
        <w:rPr>
          <w:rStyle w:val="Heading3Char"/>
        </w:rPr>
        <w:t>Option 6</w:t>
      </w:r>
      <w:r>
        <w:rPr>
          <w:rFonts w:ascii="Calibri" w:hAnsi="Calibri"/>
        </w:rPr>
        <w:t xml:space="preserve"> is the “safe option” based on Telstra</w:t>
      </w:r>
      <w:r w:rsidR="00831CBD">
        <w:rPr>
          <w:rFonts w:ascii="Calibri" w:hAnsi="Calibri"/>
        </w:rPr>
        <w:t xml:space="preserve"> (as USO provider)</w:t>
      </w:r>
      <w:r>
        <w:rPr>
          <w:rFonts w:ascii="Calibri" w:hAnsi="Calibri"/>
        </w:rPr>
        <w:t xml:space="preserve"> using a technology neutral approach</w:t>
      </w:r>
    </w:p>
    <w:p w:rsidR="00512677" w:rsidRDefault="00512677" w:rsidP="00D55268">
      <w:pPr>
        <w:rPr>
          <w:lang w:val="en-GB"/>
        </w:rPr>
      </w:pPr>
      <w:r>
        <w:rPr>
          <w:lang w:val="en-GB"/>
        </w:rPr>
        <w:t>These are illustrated in Figure 4 below.</w:t>
      </w:r>
    </w:p>
    <w:p w:rsidR="00DA563B" w:rsidRPr="00FF4DC4" w:rsidRDefault="00DA563B" w:rsidP="0048625A">
      <w:pPr>
        <w:keepNext/>
        <w:jc w:val="center"/>
        <w:rPr>
          <w:rFonts w:ascii="Calibri" w:hAnsi="Calibri"/>
          <w:b/>
          <w:lang w:val="en-GB"/>
        </w:rPr>
      </w:pPr>
      <w:r w:rsidRPr="00FF4DC4">
        <w:rPr>
          <w:rFonts w:ascii="Calibri" w:hAnsi="Calibri"/>
          <w:b/>
          <w:lang w:val="en-GB"/>
        </w:rPr>
        <w:lastRenderedPageBreak/>
        <w:t xml:space="preserve">Figure </w:t>
      </w:r>
      <w:r w:rsidR="00512677">
        <w:rPr>
          <w:rFonts w:ascii="Calibri" w:hAnsi="Calibri"/>
          <w:b/>
          <w:lang w:val="en-GB"/>
        </w:rPr>
        <w:t>4</w:t>
      </w:r>
      <w:r w:rsidRPr="00FF4DC4">
        <w:rPr>
          <w:rFonts w:ascii="Calibri" w:hAnsi="Calibri"/>
          <w:b/>
          <w:lang w:val="en-GB"/>
        </w:rPr>
        <w:t>: Six USO Options</w:t>
      </w:r>
    </w:p>
    <w:p w:rsidR="00DA563B" w:rsidRPr="00D55268" w:rsidRDefault="00AA663F" w:rsidP="008B64DA">
      <w:pPr>
        <w:jc w:val="center"/>
        <w:rPr>
          <w:lang w:val="en-GB"/>
        </w:rPr>
      </w:pPr>
      <w:r>
        <w:rPr>
          <w:noProof/>
        </w:rPr>
        <w:drawing>
          <wp:inline distT="0" distB="0" distL="0" distR="0" wp14:anchorId="6E46A730" wp14:editId="2788C3EA">
            <wp:extent cx="4572635" cy="3429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A563B" w:rsidRPr="0072059A" w:rsidRDefault="00F22F01" w:rsidP="006D376D">
      <w:pPr>
        <w:rPr>
          <w:rFonts w:ascii="Calibri" w:hAnsi="Calibri"/>
          <w:sz w:val="18"/>
        </w:rPr>
      </w:pPr>
      <w:r>
        <w:rPr>
          <w:rFonts w:ascii="Calibri" w:hAnsi="Calibri"/>
          <w:sz w:val="18"/>
        </w:rPr>
        <w:t>Source: A</w:t>
      </w:r>
      <w:r w:rsidR="00DA563B">
        <w:rPr>
          <w:rFonts w:ascii="Calibri" w:hAnsi="Calibri"/>
          <w:sz w:val="18"/>
        </w:rPr>
        <w:t>uthor</w:t>
      </w:r>
    </w:p>
    <w:p w:rsidR="00DA563B" w:rsidRDefault="00DA563B" w:rsidP="006D376D">
      <w:pPr>
        <w:rPr>
          <w:rFonts w:ascii="Calibri" w:hAnsi="Calibri"/>
        </w:rPr>
      </w:pPr>
    </w:p>
    <w:p w:rsidR="00DA563B" w:rsidRDefault="00DA563B" w:rsidP="00E14067">
      <w:pPr>
        <w:rPr>
          <w:rFonts w:ascii="Calibri" w:hAnsi="Calibri"/>
          <w:bCs/>
        </w:rPr>
      </w:pPr>
      <w:r>
        <w:rPr>
          <w:rFonts w:ascii="Calibri" w:hAnsi="Calibri"/>
          <w:bCs/>
        </w:rPr>
        <w:t xml:space="preserve">Before we go into more detail on these options, the third dimension needs to be added. As described above, the options are only “supply-side”. They address only availability noting geographical constraints posed by different platforms. We also need to address the “demand side”, which in USO terms means vertical equity leading to accessibility and affordability. </w:t>
      </w:r>
    </w:p>
    <w:p w:rsidR="00DC7174" w:rsidRDefault="00DC7174" w:rsidP="00E14067">
      <w:pPr>
        <w:rPr>
          <w:rFonts w:ascii="Calibri" w:hAnsi="Calibri"/>
          <w:bCs/>
        </w:rPr>
      </w:pPr>
    </w:p>
    <w:p w:rsidR="00DA563B" w:rsidRPr="00EF2F98" w:rsidRDefault="00DA563B" w:rsidP="0048625A">
      <w:pPr>
        <w:keepNext/>
        <w:jc w:val="center"/>
        <w:rPr>
          <w:b/>
          <w:sz w:val="28"/>
          <w:lang w:val="en-GB"/>
        </w:rPr>
      </w:pPr>
      <w:r w:rsidRPr="00FF4DC4">
        <w:rPr>
          <w:rFonts w:ascii="Calibri" w:hAnsi="Calibri"/>
          <w:b/>
          <w:lang w:val="en-GB"/>
        </w:rPr>
        <w:lastRenderedPageBreak/>
        <w:t xml:space="preserve">Figure </w:t>
      </w:r>
      <w:r w:rsidR="00606950">
        <w:rPr>
          <w:rFonts w:ascii="Calibri" w:hAnsi="Calibri"/>
          <w:b/>
          <w:lang w:val="en-GB"/>
        </w:rPr>
        <w:t>5</w:t>
      </w:r>
      <w:r w:rsidRPr="00FF4DC4">
        <w:rPr>
          <w:rFonts w:ascii="Calibri" w:hAnsi="Calibri"/>
          <w:b/>
          <w:lang w:val="en-GB"/>
        </w:rPr>
        <w:t>: USO Options and Equity</w:t>
      </w:r>
      <w:r w:rsidR="006D44C1">
        <w:rPr>
          <w:rFonts w:ascii="Calibri" w:hAnsi="Calibri"/>
          <w:b/>
          <w:noProof/>
        </w:rPr>
        <w:drawing>
          <wp:inline distT="0" distB="0" distL="0" distR="0" wp14:anchorId="44D0BC01" wp14:editId="16C93D98">
            <wp:extent cx="3848986" cy="288687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9699" cy="2887407"/>
                    </a:xfrm>
                    <a:prstGeom prst="rect">
                      <a:avLst/>
                    </a:prstGeom>
                    <a:noFill/>
                  </pic:spPr>
                </pic:pic>
              </a:graphicData>
            </a:graphic>
          </wp:inline>
        </w:drawing>
      </w:r>
    </w:p>
    <w:p w:rsidR="00DA563B" w:rsidRPr="008E6340" w:rsidRDefault="00DA563B" w:rsidP="00E14067">
      <w:pPr>
        <w:rPr>
          <w:rFonts w:ascii="Calibri" w:hAnsi="Calibri"/>
          <w:bCs/>
          <w:sz w:val="18"/>
        </w:rPr>
      </w:pPr>
      <w:r w:rsidRPr="008E6340">
        <w:rPr>
          <w:rFonts w:ascii="Calibri" w:hAnsi="Calibri"/>
          <w:bCs/>
          <w:sz w:val="18"/>
        </w:rPr>
        <w:t>Source: The author (File ACCAN/slides.ppt)</w:t>
      </w:r>
    </w:p>
    <w:p w:rsidR="00DA563B" w:rsidRPr="008E6340" w:rsidRDefault="00DA563B" w:rsidP="00E14067">
      <w:pPr>
        <w:rPr>
          <w:rFonts w:ascii="Calibri" w:hAnsi="Calibri"/>
          <w:bCs/>
          <w:sz w:val="18"/>
        </w:rPr>
      </w:pPr>
    </w:p>
    <w:p w:rsidR="00DC7174" w:rsidRPr="00DC7174" w:rsidRDefault="00DC7174" w:rsidP="00DC7174">
      <w:pPr>
        <w:rPr>
          <w:rFonts w:ascii="Calibri" w:hAnsi="Calibri"/>
          <w:bCs/>
        </w:rPr>
      </w:pPr>
      <w:r w:rsidRPr="00DC7174">
        <w:rPr>
          <w:rFonts w:ascii="Calibri" w:hAnsi="Calibri"/>
          <w:bCs/>
        </w:rPr>
        <w:t xml:space="preserve">Figure 5 </w:t>
      </w:r>
      <w:r w:rsidR="00936FAF">
        <w:rPr>
          <w:rFonts w:ascii="Calibri" w:hAnsi="Calibri"/>
          <w:bCs/>
        </w:rPr>
        <w:t>above</w:t>
      </w:r>
      <w:r w:rsidR="00936FAF" w:rsidRPr="00DC7174">
        <w:rPr>
          <w:rFonts w:ascii="Calibri" w:hAnsi="Calibri"/>
          <w:bCs/>
        </w:rPr>
        <w:t xml:space="preserve"> maps</w:t>
      </w:r>
      <w:r w:rsidRPr="00DC7174">
        <w:rPr>
          <w:rFonts w:ascii="Calibri" w:hAnsi="Calibri"/>
          <w:bCs/>
        </w:rPr>
        <w:t xml:space="preserve"> the </w:t>
      </w:r>
      <w:r w:rsidR="003A2654">
        <w:rPr>
          <w:rFonts w:ascii="Calibri" w:hAnsi="Calibri"/>
          <w:bCs/>
        </w:rPr>
        <w:t>six</w:t>
      </w:r>
      <w:r w:rsidRPr="00DC7174">
        <w:rPr>
          <w:rFonts w:ascii="Calibri" w:hAnsi="Calibri"/>
          <w:bCs/>
        </w:rPr>
        <w:t xml:space="preserve"> options in Figure 4 against horizontal and vertical equity for voice only (left hand of chart) as well as voice plus data (right hand side of chart). The third dimension is represented by the vertical axis – the higher the better. Option 3 is shown at the lowest point on this axis because it does least in terms of affordability and accessibility, as will be discussed further below. However, this option has the widest spread on availability (horizontal axis) because it includes fixed-wireless and satellite.</w:t>
      </w:r>
    </w:p>
    <w:p w:rsidR="00DC7174" w:rsidRPr="00DC7174" w:rsidRDefault="00DC7174" w:rsidP="00DC7174">
      <w:pPr>
        <w:rPr>
          <w:rFonts w:ascii="Calibri" w:hAnsi="Calibri"/>
          <w:bCs/>
        </w:rPr>
      </w:pPr>
      <w:r w:rsidRPr="00DC7174">
        <w:rPr>
          <w:rFonts w:ascii="Calibri" w:hAnsi="Calibri"/>
          <w:bCs/>
        </w:rPr>
        <w:t xml:space="preserve">Going up the vertical axis, the reason for the question mark just above Option 1 (voice-only) is that we do not know the extent to which improved mobile coverage may make Option 1 redundant.  </w:t>
      </w:r>
    </w:p>
    <w:p w:rsidR="003D2E49" w:rsidRDefault="00DA563B" w:rsidP="0075003C">
      <w:pPr>
        <w:rPr>
          <w:rFonts w:ascii="Calibri" w:hAnsi="Calibri"/>
          <w:bCs/>
        </w:rPr>
      </w:pPr>
      <w:r>
        <w:rPr>
          <w:rFonts w:ascii="Calibri" w:hAnsi="Calibri"/>
          <w:bCs/>
        </w:rPr>
        <w:t xml:space="preserve">Options 4 (mobile voice and data) </w:t>
      </w:r>
      <w:r w:rsidR="003D2E49">
        <w:rPr>
          <w:rFonts w:ascii="Calibri" w:hAnsi="Calibri"/>
          <w:bCs/>
        </w:rPr>
        <w:t xml:space="preserve">has </w:t>
      </w:r>
      <w:r w:rsidR="003D2E49" w:rsidRPr="003D2E49">
        <w:rPr>
          <w:rFonts w:ascii="Calibri" w:hAnsi="Calibri"/>
          <w:bCs/>
        </w:rPr>
        <w:t xml:space="preserve">been placed above Options 1 and 3 because mobiles are generally considered to be more affordable than fixed services. Prepaid is part of that outcome but more could be done to make mobiles more affordable.  </w:t>
      </w:r>
      <w:r w:rsidR="003D2E49">
        <w:rPr>
          <w:rFonts w:ascii="Calibri" w:hAnsi="Calibri"/>
          <w:bCs/>
        </w:rPr>
        <w:t xml:space="preserve"> </w:t>
      </w:r>
    </w:p>
    <w:p w:rsidR="003D2E49" w:rsidRDefault="003D2E49" w:rsidP="0075003C">
      <w:pPr>
        <w:rPr>
          <w:rFonts w:ascii="Calibri" w:hAnsi="Calibri"/>
          <w:bCs/>
        </w:rPr>
      </w:pPr>
      <w:r>
        <w:rPr>
          <w:rFonts w:ascii="Calibri" w:hAnsi="Calibri"/>
          <w:bCs/>
        </w:rPr>
        <w:t>Option 2 (no USO) is included with Option 4 as it is argued below that mobile competition</w:t>
      </w:r>
      <w:r w:rsidR="006F6FAE">
        <w:rPr>
          <w:rFonts w:ascii="Calibri" w:hAnsi="Calibri"/>
          <w:bCs/>
        </w:rPr>
        <w:t>,</w:t>
      </w:r>
      <w:r>
        <w:rPr>
          <w:rFonts w:ascii="Calibri" w:hAnsi="Calibri"/>
          <w:bCs/>
        </w:rPr>
        <w:t xml:space="preserve"> </w:t>
      </w:r>
      <w:r w:rsidR="006F6FAE">
        <w:rPr>
          <w:rFonts w:ascii="Calibri" w:hAnsi="Calibri"/>
          <w:bCs/>
        </w:rPr>
        <w:t>supplemented with obligations to address accessibility and affordability, would not require nominating a universal service provider.</w:t>
      </w:r>
    </w:p>
    <w:p w:rsidR="006F6FAE" w:rsidRDefault="006F6FAE" w:rsidP="0075003C">
      <w:pPr>
        <w:rPr>
          <w:rFonts w:ascii="Calibri" w:hAnsi="Calibri"/>
          <w:bCs/>
        </w:rPr>
      </w:pPr>
      <w:r>
        <w:rPr>
          <w:rFonts w:ascii="Calibri" w:hAnsi="Calibri"/>
          <w:bCs/>
        </w:rPr>
        <w:t>Option 6 (</w:t>
      </w:r>
      <w:r w:rsidR="00606950">
        <w:rPr>
          <w:rFonts w:ascii="Calibri" w:hAnsi="Calibri"/>
          <w:bCs/>
        </w:rPr>
        <w:t>Telstra</w:t>
      </w:r>
      <w:r>
        <w:rPr>
          <w:rFonts w:ascii="Calibri" w:hAnsi="Calibri"/>
          <w:bCs/>
        </w:rPr>
        <w:t>) is based on nominating a universal service provider; say, Telstra. It sits higher than Option 3 because it also addresses accessibility and affordability goals. And it is above Options 2 and 4 because of availability (fixed wireless and satellite).</w:t>
      </w:r>
    </w:p>
    <w:p w:rsidR="00DA563B" w:rsidRDefault="006F6FAE" w:rsidP="0075003C">
      <w:pPr>
        <w:rPr>
          <w:rFonts w:ascii="Calibri" w:hAnsi="Calibri"/>
          <w:bCs/>
        </w:rPr>
      </w:pPr>
      <w:r>
        <w:rPr>
          <w:rFonts w:ascii="Calibri" w:hAnsi="Calibri"/>
          <w:bCs/>
        </w:rPr>
        <w:t xml:space="preserve">Option </w:t>
      </w:r>
      <w:r w:rsidR="004E1A09">
        <w:rPr>
          <w:rFonts w:ascii="Calibri" w:hAnsi="Calibri"/>
          <w:bCs/>
        </w:rPr>
        <w:t xml:space="preserve">5 </w:t>
      </w:r>
      <w:r>
        <w:rPr>
          <w:rFonts w:ascii="Calibri" w:hAnsi="Calibri"/>
          <w:bCs/>
        </w:rPr>
        <w:t>(voice-</w:t>
      </w:r>
      <w:r w:rsidR="00DA563B" w:rsidRPr="006F6FAE">
        <w:rPr>
          <w:rFonts w:ascii="Calibri" w:hAnsi="Calibri"/>
          <w:bCs/>
        </w:rPr>
        <w:t xml:space="preserve">only across fixed and mobile) </w:t>
      </w:r>
      <w:r>
        <w:rPr>
          <w:rFonts w:ascii="Calibri" w:hAnsi="Calibri"/>
          <w:bCs/>
        </w:rPr>
        <w:t xml:space="preserve">is high </w:t>
      </w:r>
      <w:r w:rsidR="004E1A09">
        <w:rPr>
          <w:rFonts w:ascii="Calibri" w:hAnsi="Calibri"/>
          <w:bCs/>
        </w:rPr>
        <w:t xml:space="preserve">on the vertical equity scale because </w:t>
      </w:r>
      <w:r w:rsidR="004E1A09" w:rsidRPr="004E1A09">
        <w:rPr>
          <w:rFonts w:ascii="Calibri" w:hAnsi="Calibri"/>
          <w:bCs/>
        </w:rPr>
        <w:t>Telstra has developed a suite of “</w:t>
      </w:r>
      <w:hyperlink r:id="rId58" w:history="1">
        <w:r w:rsidR="004E1A09" w:rsidRPr="004E1A09">
          <w:rPr>
            <w:rStyle w:val="Hyperlink"/>
            <w:rFonts w:ascii="Calibri" w:hAnsi="Calibri"/>
            <w:bCs/>
            <w:i/>
          </w:rPr>
          <w:t>Access for Everyone</w:t>
        </w:r>
      </w:hyperlink>
      <w:r w:rsidR="004E1A09" w:rsidRPr="004E1A09">
        <w:rPr>
          <w:rFonts w:ascii="Calibri" w:hAnsi="Calibri"/>
          <w:bCs/>
          <w:i/>
        </w:rPr>
        <w:t xml:space="preserve">” </w:t>
      </w:r>
      <w:r w:rsidR="004E1A09" w:rsidRPr="004E1A09">
        <w:rPr>
          <w:rFonts w:ascii="Calibri" w:hAnsi="Calibri"/>
          <w:bCs/>
        </w:rPr>
        <w:t>measures with the Low Income Measures Assessment Committee (LIMAC) to improve affordability and accessibility for fixed voice services. They apply to all Telstra’s retail voice customers; including those served under Option 1.</w:t>
      </w:r>
      <w:r w:rsidR="004E1A09">
        <w:rPr>
          <w:rFonts w:ascii="Calibri" w:hAnsi="Calibri"/>
          <w:bCs/>
        </w:rPr>
        <w:t xml:space="preserve"> But, Option 5 does not include data.</w:t>
      </w:r>
    </w:p>
    <w:p w:rsidR="00DA563B" w:rsidRDefault="00DA563B" w:rsidP="00E14067">
      <w:pPr>
        <w:rPr>
          <w:rFonts w:ascii="Calibri" w:hAnsi="Calibri"/>
          <w:bCs/>
        </w:rPr>
      </w:pPr>
      <w:r>
        <w:rPr>
          <w:rFonts w:ascii="Calibri" w:hAnsi="Calibri"/>
          <w:bCs/>
        </w:rPr>
        <w:t xml:space="preserve">Now, we can </w:t>
      </w:r>
      <w:r w:rsidR="005431EF">
        <w:rPr>
          <w:rFonts w:ascii="Calibri" w:hAnsi="Calibri"/>
          <w:bCs/>
        </w:rPr>
        <w:t>take</w:t>
      </w:r>
      <w:r>
        <w:rPr>
          <w:rFonts w:ascii="Calibri" w:hAnsi="Calibri"/>
          <w:bCs/>
        </w:rPr>
        <w:t xml:space="preserve"> a closer look at the six options.</w:t>
      </w:r>
    </w:p>
    <w:p w:rsidR="00DA563B" w:rsidRDefault="00DA563B" w:rsidP="00E14067">
      <w:pPr>
        <w:rPr>
          <w:rFonts w:ascii="Calibri" w:hAnsi="Calibri"/>
          <w:bCs/>
        </w:rPr>
      </w:pPr>
    </w:p>
    <w:p w:rsidR="00AE529A" w:rsidRDefault="00DA563B" w:rsidP="00CC5010">
      <w:pPr>
        <w:rPr>
          <w:rFonts w:ascii="Calibri" w:hAnsi="Calibri"/>
        </w:rPr>
      </w:pPr>
      <w:bookmarkStart w:id="15" w:name="_Toc436121940"/>
      <w:r>
        <w:rPr>
          <w:rStyle w:val="Heading2Char"/>
        </w:rPr>
        <w:t>4.1</w:t>
      </w:r>
      <w:r>
        <w:rPr>
          <w:rStyle w:val="Heading2Char"/>
        </w:rPr>
        <w:tab/>
      </w:r>
      <w:r w:rsidRPr="00E14067">
        <w:rPr>
          <w:rStyle w:val="Heading2Char"/>
        </w:rPr>
        <w:t>Option 1</w:t>
      </w:r>
      <w:bookmarkEnd w:id="15"/>
    </w:p>
    <w:p w:rsidR="00DA563B" w:rsidRDefault="003D2E49" w:rsidP="00CC5010">
      <w:pPr>
        <w:rPr>
          <w:rFonts w:ascii="Calibri" w:hAnsi="Calibri"/>
        </w:rPr>
      </w:pPr>
      <w:proofErr w:type="gramStart"/>
      <w:r>
        <w:rPr>
          <w:rFonts w:ascii="Calibri" w:hAnsi="Calibri"/>
        </w:rPr>
        <w:t>Voice-</w:t>
      </w:r>
      <w:r w:rsidR="00DA563B">
        <w:rPr>
          <w:rFonts w:ascii="Calibri" w:hAnsi="Calibri"/>
        </w:rPr>
        <w:t>only on th</w:t>
      </w:r>
      <w:r>
        <w:rPr>
          <w:rFonts w:ascii="Calibri" w:hAnsi="Calibri"/>
        </w:rPr>
        <w:t>e fixed copper network.</w:t>
      </w:r>
      <w:proofErr w:type="gramEnd"/>
      <w:r w:rsidR="00DA563B">
        <w:rPr>
          <w:rFonts w:ascii="Calibri" w:hAnsi="Calibri"/>
        </w:rPr>
        <w:t xml:space="preserve"> With the exception of Telstra’s contract with TUSMA</w:t>
      </w:r>
      <w:r w:rsidR="00DA563B">
        <w:rPr>
          <w:rStyle w:val="FootnoteReference"/>
          <w:rFonts w:ascii="Calibri" w:hAnsi="Calibri"/>
        </w:rPr>
        <w:footnoteReference w:id="42"/>
      </w:r>
      <w:r w:rsidR="00DA563B">
        <w:rPr>
          <w:rFonts w:ascii="Calibri" w:hAnsi="Calibri"/>
        </w:rPr>
        <w:t xml:space="preserve"> to continue providing the USO </w:t>
      </w:r>
      <w:r w:rsidR="00606950">
        <w:rPr>
          <w:rFonts w:ascii="Calibri" w:hAnsi="Calibri"/>
        </w:rPr>
        <w:t xml:space="preserve">over copper </w:t>
      </w:r>
      <w:r w:rsidR="00DA563B">
        <w:rPr>
          <w:rFonts w:ascii="Calibri" w:hAnsi="Calibri"/>
        </w:rPr>
        <w:t>in areas not served by NBN’s fixed network, the existing USO obligation is broken because the copper network is being de-commissioned as the fixed network NBN rolls over it</w:t>
      </w:r>
      <w:r>
        <w:rPr>
          <w:rFonts w:ascii="Calibri" w:hAnsi="Calibri"/>
        </w:rPr>
        <w:t xml:space="preserve"> and</w:t>
      </w:r>
      <w:r w:rsidR="00606950">
        <w:rPr>
          <w:rFonts w:ascii="Calibri" w:hAnsi="Calibri"/>
        </w:rPr>
        <w:t xml:space="preserve"> broadband should</w:t>
      </w:r>
      <w:r>
        <w:rPr>
          <w:rFonts w:ascii="Calibri" w:hAnsi="Calibri"/>
        </w:rPr>
        <w:t xml:space="preserve"> now</w:t>
      </w:r>
      <w:r w:rsidR="00831CBD">
        <w:rPr>
          <w:rFonts w:ascii="Calibri" w:hAnsi="Calibri"/>
        </w:rPr>
        <w:t xml:space="preserve"> be</w:t>
      </w:r>
      <w:r>
        <w:rPr>
          <w:rFonts w:ascii="Calibri" w:hAnsi="Calibri"/>
        </w:rPr>
        <w:t xml:space="preserve"> considered to be part of universal service</w:t>
      </w:r>
      <w:r w:rsidR="00DA563B">
        <w:rPr>
          <w:rFonts w:ascii="Calibri" w:hAnsi="Calibri"/>
        </w:rPr>
        <w:t xml:space="preserve">. </w:t>
      </w:r>
    </w:p>
    <w:p w:rsidR="00DA563B" w:rsidRDefault="00606950" w:rsidP="00CC5010">
      <w:pPr>
        <w:rPr>
          <w:rFonts w:ascii="Calibri" w:hAnsi="Calibri"/>
        </w:rPr>
      </w:pPr>
      <w:r>
        <w:rPr>
          <w:rFonts w:ascii="Calibri" w:hAnsi="Calibri"/>
        </w:rPr>
        <w:t>Other issues are that this option ignores the important role that mobiles now play and also ignores broadband data which is now considered to be essential.</w:t>
      </w:r>
    </w:p>
    <w:p w:rsidR="00DA563B" w:rsidRDefault="00DA563B" w:rsidP="00CC5010">
      <w:pPr>
        <w:rPr>
          <w:rFonts w:ascii="Calibri" w:hAnsi="Calibri"/>
        </w:rPr>
      </w:pPr>
      <w:r w:rsidRPr="00606950">
        <w:rPr>
          <w:rFonts w:ascii="Calibri" w:hAnsi="Calibri"/>
        </w:rPr>
        <w:t>Can we free-up resources from the long-term TUSMA contract to put them where they will provide greater benefits</w:t>
      </w:r>
      <w:r w:rsidRPr="00E17FD8">
        <w:rPr>
          <w:rFonts w:ascii="Calibri" w:hAnsi="Calibri"/>
          <w:b/>
        </w:rPr>
        <w:t>?</w:t>
      </w:r>
      <w:r>
        <w:rPr>
          <w:rFonts w:ascii="Calibri" w:hAnsi="Calibri"/>
        </w:rPr>
        <w:t xml:space="preserve"> Consider:</w:t>
      </w:r>
    </w:p>
    <w:p w:rsidR="00DA563B" w:rsidRPr="00DA6764" w:rsidRDefault="00DA563B" w:rsidP="00DA6764">
      <w:pPr>
        <w:pStyle w:val="ListParagraph"/>
        <w:numPr>
          <w:ilvl w:val="0"/>
          <w:numId w:val="31"/>
        </w:numPr>
        <w:rPr>
          <w:rFonts w:ascii="Calibri" w:hAnsi="Calibri"/>
        </w:rPr>
      </w:pPr>
      <w:r w:rsidRPr="00DA6764">
        <w:rPr>
          <w:rFonts w:ascii="Calibri" w:hAnsi="Calibri"/>
        </w:rPr>
        <w:t>It is expensive. From 1 July 2012, TUSMA must pay Telstra $2</w:t>
      </w:r>
      <w:r>
        <w:rPr>
          <w:rFonts w:ascii="Calibri" w:hAnsi="Calibri"/>
        </w:rPr>
        <w:t>5</w:t>
      </w:r>
      <w:r w:rsidRPr="00DA6764">
        <w:rPr>
          <w:rFonts w:ascii="Calibri" w:hAnsi="Calibri"/>
        </w:rPr>
        <w:t>3 million pa (not indexed to CPI) for supply</w:t>
      </w:r>
      <w:r w:rsidR="003D2E49">
        <w:rPr>
          <w:rFonts w:ascii="Calibri" w:hAnsi="Calibri"/>
        </w:rPr>
        <w:t xml:space="preserve"> of the standard telephone service (STS)</w:t>
      </w:r>
      <w:r w:rsidRPr="00DA6764">
        <w:rPr>
          <w:rFonts w:ascii="Calibri" w:hAnsi="Calibri"/>
        </w:rPr>
        <w:t>, subject to payment adjustments to take account of increases or reductions in Telstra’s costs if there is a change in the scope of the STS services Telstra is required to provide</w:t>
      </w:r>
      <w:r>
        <w:rPr>
          <w:rStyle w:val="FootnoteReference"/>
          <w:rFonts w:ascii="Calibri" w:hAnsi="Calibri"/>
        </w:rPr>
        <w:footnoteReference w:id="43"/>
      </w:r>
      <w:r w:rsidRPr="00DA6764">
        <w:rPr>
          <w:rFonts w:ascii="Calibri" w:hAnsi="Calibri"/>
        </w:rPr>
        <w:t>.</w:t>
      </w:r>
    </w:p>
    <w:p w:rsidR="00DA563B" w:rsidRDefault="00DA563B" w:rsidP="006C6B4A">
      <w:pPr>
        <w:pStyle w:val="ListParagraph"/>
        <w:numPr>
          <w:ilvl w:val="0"/>
          <w:numId w:val="31"/>
        </w:numPr>
        <w:rPr>
          <w:rFonts w:ascii="Calibri" w:hAnsi="Calibri"/>
        </w:rPr>
      </w:pPr>
      <w:r>
        <w:rPr>
          <w:rFonts w:ascii="Calibri" w:hAnsi="Calibri"/>
        </w:rPr>
        <w:t xml:space="preserve">Alternatives may exist. </w:t>
      </w:r>
      <w:r w:rsidRPr="006C6B4A">
        <w:rPr>
          <w:rFonts w:ascii="Calibri" w:hAnsi="Calibri"/>
        </w:rPr>
        <w:t xml:space="preserve">Mobile coverage is probably greater than assumed by the Implementation Study in 2010. </w:t>
      </w:r>
      <w:r>
        <w:rPr>
          <w:rFonts w:ascii="Calibri" w:hAnsi="Calibri"/>
        </w:rPr>
        <w:t xml:space="preserve">Could mobiles </w:t>
      </w:r>
      <w:r w:rsidRPr="006C6B4A">
        <w:rPr>
          <w:rFonts w:ascii="Calibri" w:hAnsi="Calibri"/>
        </w:rPr>
        <w:t>serve the customers reached through the current contract</w:t>
      </w:r>
      <w:r w:rsidR="00606950">
        <w:rPr>
          <w:rFonts w:ascii="Calibri" w:hAnsi="Calibri"/>
        </w:rPr>
        <w:t xml:space="preserve">? This is </w:t>
      </w:r>
      <w:r w:rsidRPr="006C6B4A">
        <w:rPr>
          <w:rFonts w:ascii="Calibri" w:hAnsi="Calibri"/>
        </w:rPr>
        <w:t>a research question b</w:t>
      </w:r>
      <w:r>
        <w:rPr>
          <w:rFonts w:ascii="Calibri" w:hAnsi="Calibri"/>
        </w:rPr>
        <w:t>eyond the scope of this paper</w:t>
      </w:r>
      <w:r w:rsidR="00606950">
        <w:rPr>
          <w:rFonts w:ascii="Calibri" w:hAnsi="Calibri"/>
        </w:rPr>
        <w:t>.</w:t>
      </w:r>
    </w:p>
    <w:p w:rsidR="00DA563B" w:rsidRPr="006C6B4A" w:rsidRDefault="00DA563B" w:rsidP="006C6B4A">
      <w:pPr>
        <w:pStyle w:val="ListParagraph"/>
        <w:numPr>
          <w:ilvl w:val="0"/>
          <w:numId w:val="31"/>
        </w:numPr>
        <w:rPr>
          <w:rFonts w:ascii="Calibri" w:hAnsi="Calibri"/>
        </w:rPr>
      </w:pPr>
      <w:r w:rsidRPr="006C6B4A">
        <w:rPr>
          <w:rFonts w:ascii="Calibri" w:hAnsi="Calibri"/>
        </w:rPr>
        <w:t xml:space="preserve">There must be a saving to Telstra if it did not have to maintain these services. </w:t>
      </w:r>
      <w:r w:rsidR="00144942">
        <w:rPr>
          <w:rFonts w:ascii="Calibri" w:hAnsi="Calibri"/>
        </w:rPr>
        <w:t xml:space="preserve">Thousands of Telstra’s 5,000 </w:t>
      </w:r>
      <w:r>
        <w:rPr>
          <w:rFonts w:ascii="Calibri" w:hAnsi="Calibri"/>
        </w:rPr>
        <w:t>exchanges need to be kept to serve the current contract. Reducing the number of premises to be served would reduce Telstra’s costs which</w:t>
      </w:r>
      <w:r w:rsidRPr="006C6B4A">
        <w:rPr>
          <w:rFonts w:ascii="Calibri" w:hAnsi="Calibri"/>
        </w:rPr>
        <w:t xml:space="preserve"> could be netted off the gross receipts expected from the current contract to “Keep Telstra whole” and still create a saving to the Commonwealth.</w:t>
      </w:r>
    </w:p>
    <w:p w:rsidR="00DA563B" w:rsidRDefault="00DA563B" w:rsidP="00DA6764">
      <w:pPr>
        <w:rPr>
          <w:rFonts w:ascii="Calibri" w:hAnsi="Calibri"/>
          <w:lang w:val="en-US"/>
        </w:rPr>
      </w:pPr>
      <w:r>
        <w:rPr>
          <w:rFonts w:ascii="Calibri" w:hAnsi="Calibri"/>
          <w:lang w:val="en-US"/>
        </w:rPr>
        <w:t xml:space="preserve">Although the contracts run up to 2032, there is </w:t>
      </w:r>
      <w:r w:rsidRPr="00DA6764">
        <w:rPr>
          <w:rFonts w:ascii="Calibri" w:hAnsi="Calibri"/>
          <w:lang w:val="en-US"/>
        </w:rPr>
        <w:t xml:space="preserve">a mandatory 10 year review to be undertaken </w:t>
      </w:r>
      <w:r>
        <w:rPr>
          <w:rFonts w:ascii="Calibri" w:hAnsi="Calibri"/>
          <w:lang w:val="en-US"/>
        </w:rPr>
        <w:t xml:space="preserve">in 2021 </w:t>
      </w:r>
      <w:r w:rsidRPr="00DA6764">
        <w:rPr>
          <w:rFonts w:ascii="Calibri" w:hAnsi="Calibri"/>
          <w:lang w:val="en-US"/>
        </w:rPr>
        <w:t>by an independent expert of the technologies and systems used by Telstra to provide the USO</w:t>
      </w:r>
      <w:r w:rsidR="00144942">
        <w:rPr>
          <w:rFonts w:ascii="Calibri" w:hAnsi="Calibri"/>
          <w:lang w:val="en-US"/>
        </w:rPr>
        <w:t xml:space="preserve"> STS and Payphones services,</w:t>
      </w:r>
      <w:r w:rsidRPr="00DA6764">
        <w:rPr>
          <w:rFonts w:ascii="Calibri" w:hAnsi="Calibri"/>
          <w:lang w:val="en-US"/>
        </w:rPr>
        <w:t xml:space="preserve"> to determin</w:t>
      </w:r>
      <w:r w:rsidR="00144942">
        <w:rPr>
          <w:rFonts w:ascii="Calibri" w:hAnsi="Calibri"/>
          <w:lang w:val="en-US"/>
        </w:rPr>
        <w:t>e</w:t>
      </w:r>
      <w:r w:rsidRPr="00DA6764">
        <w:rPr>
          <w:rFonts w:ascii="Calibri" w:hAnsi="Calibri"/>
          <w:lang w:val="en-US"/>
        </w:rPr>
        <w:t xml:space="preserve"> if the use of alternative technologies or systems (including by an alternative provider of the USO) would result in cost savings to Telstra (therefore reducing the amount that TUSMA pays to Telstra). The outcomes of this review process are binding. There are mechanisms to deal with any overlap between the geographic areas covered by the review and the NBN long-term </w:t>
      </w:r>
      <w:proofErr w:type="spellStart"/>
      <w:r w:rsidRPr="00DA6764">
        <w:rPr>
          <w:rFonts w:ascii="Calibri" w:hAnsi="Calibri"/>
          <w:lang w:val="en-US"/>
        </w:rPr>
        <w:t>fibre</w:t>
      </w:r>
      <w:proofErr w:type="spellEnd"/>
      <w:r w:rsidRPr="00DA6764">
        <w:rPr>
          <w:rFonts w:ascii="Calibri" w:hAnsi="Calibri"/>
          <w:lang w:val="en-US"/>
        </w:rPr>
        <w:t xml:space="preserve"> footprint. Separately, either party may, at any time, provide the other with a cost saving proposal. Such proposals cannot be unreasonably rejected</w:t>
      </w:r>
      <w:r>
        <w:rPr>
          <w:rStyle w:val="FootnoteReference"/>
          <w:rFonts w:ascii="Calibri" w:hAnsi="Calibri"/>
          <w:lang w:val="en-US"/>
        </w:rPr>
        <w:footnoteReference w:id="44"/>
      </w:r>
      <w:r w:rsidRPr="00DA6764">
        <w:rPr>
          <w:rFonts w:ascii="Calibri" w:hAnsi="Calibri"/>
          <w:lang w:val="en-US"/>
        </w:rPr>
        <w:t>.</w:t>
      </w:r>
    </w:p>
    <w:p w:rsidR="00BE4F65" w:rsidRDefault="00BE4F65" w:rsidP="00DA6764">
      <w:pPr>
        <w:rPr>
          <w:rFonts w:ascii="Calibri" w:hAnsi="Calibri"/>
          <w:lang w:val="en-US"/>
        </w:rPr>
      </w:pPr>
      <w:r>
        <w:rPr>
          <w:rFonts w:ascii="Calibri" w:hAnsi="Calibri"/>
          <w:lang w:val="en-US"/>
        </w:rPr>
        <w:t>Telstra is the default voice-only provider on the NBN. This is discussed further in Option</w:t>
      </w:r>
      <w:r w:rsidR="00606950">
        <w:rPr>
          <w:rFonts w:ascii="Calibri" w:hAnsi="Calibri"/>
          <w:lang w:val="en-US"/>
        </w:rPr>
        <w:t>s</w:t>
      </w:r>
      <w:r>
        <w:rPr>
          <w:rFonts w:ascii="Calibri" w:hAnsi="Calibri"/>
          <w:lang w:val="en-US"/>
        </w:rPr>
        <w:t xml:space="preserve"> 3 </w:t>
      </w:r>
      <w:r w:rsidR="00606950">
        <w:rPr>
          <w:rFonts w:ascii="Calibri" w:hAnsi="Calibri"/>
          <w:lang w:val="en-US"/>
        </w:rPr>
        <w:t xml:space="preserve">and 6 </w:t>
      </w:r>
      <w:r>
        <w:rPr>
          <w:rFonts w:ascii="Calibri" w:hAnsi="Calibri"/>
          <w:lang w:val="en-US"/>
        </w:rPr>
        <w:t>below.</w:t>
      </w:r>
    </w:p>
    <w:p w:rsidR="00AE529A" w:rsidRDefault="00DA563B" w:rsidP="005126D7">
      <w:pPr>
        <w:keepNext/>
        <w:rPr>
          <w:rFonts w:ascii="Calibri" w:hAnsi="Calibri"/>
        </w:rPr>
      </w:pPr>
      <w:bookmarkStart w:id="16" w:name="_Toc436121941"/>
      <w:r>
        <w:rPr>
          <w:rStyle w:val="Heading2Char"/>
        </w:rPr>
        <w:lastRenderedPageBreak/>
        <w:t>4.2</w:t>
      </w:r>
      <w:r>
        <w:rPr>
          <w:rStyle w:val="Heading2Char"/>
        </w:rPr>
        <w:tab/>
      </w:r>
      <w:r w:rsidRPr="00E14067">
        <w:rPr>
          <w:rStyle w:val="Heading2Char"/>
        </w:rPr>
        <w:t>Option 2</w:t>
      </w:r>
      <w:bookmarkEnd w:id="16"/>
      <w:r>
        <w:rPr>
          <w:rFonts w:ascii="Calibri" w:hAnsi="Calibri"/>
        </w:rPr>
        <w:t xml:space="preserve"> </w:t>
      </w:r>
    </w:p>
    <w:p w:rsidR="00DA563B" w:rsidRDefault="00AE529A" w:rsidP="004B147E">
      <w:pPr>
        <w:rPr>
          <w:rFonts w:ascii="Calibri" w:hAnsi="Calibri"/>
        </w:rPr>
      </w:pPr>
      <w:r>
        <w:rPr>
          <w:rFonts w:ascii="Calibri" w:hAnsi="Calibri"/>
        </w:rPr>
        <w:t xml:space="preserve">This </w:t>
      </w:r>
      <w:r w:rsidR="00DA563B">
        <w:rPr>
          <w:rFonts w:ascii="Calibri" w:hAnsi="Calibri"/>
        </w:rPr>
        <w:t>is the benchmark option positing no USO obligation (apart from the</w:t>
      </w:r>
      <w:r w:rsidR="00831CBD">
        <w:rPr>
          <w:rFonts w:ascii="Calibri" w:hAnsi="Calibri"/>
        </w:rPr>
        <w:t xml:space="preserve"> TUSMA</w:t>
      </w:r>
      <w:r w:rsidR="00DA563B">
        <w:rPr>
          <w:rFonts w:ascii="Calibri" w:hAnsi="Calibri"/>
        </w:rPr>
        <w:t xml:space="preserve"> contract referred to in the previous option</w:t>
      </w:r>
      <w:r w:rsidR="00DA563B" w:rsidRPr="00640895">
        <w:rPr>
          <w:rFonts w:ascii="Calibri" w:hAnsi="Calibri"/>
        </w:rPr>
        <w:t xml:space="preserve">). </w:t>
      </w:r>
      <w:r w:rsidR="004B147E">
        <w:rPr>
          <w:rFonts w:ascii="Calibri" w:hAnsi="Calibri"/>
        </w:rPr>
        <w:t>What would happen? Without a default universal service provider, it is likely that mobile competition could largely</w:t>
      </w:r>
      <w:r w:rsidR="00DA563B" w:rsidRPr="00640895">
        <w:rPr>
          <w:rFonts w:ascii="Calibri" w:hAnsi="Calibri"/>
        </w:rPr>
        <w:t xml:space="preserve"> satisfy the universal service principles of availability, accessibility</w:t>
      </w:r>
      <w:r w:rsidR="00606950">
        <w:rPr>
          <w:rFonts w:ascii="Calibri" w:hAnsi="Calibri"/>
        </w:rPr>
        <w:t>,</w:t>
      </w:r>
      <w:r w:rsidR="00DA563B" w:rsidRPr="00640895">
        <w:rPr>
          <w:rFonts w:ascii="Calibri" w:hAnsi="Calibri"/>
        </w:rPr>
        <w:t xml:space="preserve"> affordability</w:t>
      </w:r>
      <w:r w:rsidR="00606950">
        <w:rPr>
          <w:rFonts w:ascii="Calibri" w:hAnsi="Calibri"/>
        </w:rPr>
        <w:t xml:space="preserve"> and empowerment</w:t>
      </w:r>
      <w:r w:rsidR="004B147E">
        <w:rPr>
          <w:rFonts w:ascii="Calibri" w:hAnsi="Calibri"/>
        </w:rPr>
        <w:t>.</w:t>
      </w:r>
      <w:r w:rsidR="00DA563B" w:rsidRPr="00640895">
        <w:rPr>
          <w:rFonts w:ascii="Calibri" w:hAnsi="Calibri"/>
        </w:rPr>
        <w:t xml:space="preserve"> </w:t>
      </w:r>
      <w:r w:rsidR="00DA563B">
        <w:rPr>
          <w:rFonts w:ascii="Calibri" w:hAnsi="Calibri"/>
        </w:rPr>
        <w:t xml:space="preserve">The market will provide, helped by ongoing programmes like Mobile </w:t>
      </w:r>
      <w:proofErr w:type="spellStart"/>
      <w:r w:rsidR="00DA563B">
        <w:rPr>
          <w:rFonts w:ascii="Calibri" w:hAnsi="Calibri"/>
        </w:rPr>
        <w:t>Blackspots</w:t>
      </w:r>
      <w:proofErr w:type="spellEnd"/>
      <w:r w:rsidR="00DA563B">
        <w:rPr>
          <w:rFonts w:ascii="Calibri" w:hAnsi="Calibri"/>
        </w:rPr>
        <w:t>.</w:t>
      </w:r>
    </w:p>
    <w:p w:rsidR="00F44183" w:rsidRDefault="00F44183" w:rsidP="004B147E">
      <w:pPr>
        <w:rPr>
          <w:rFonts w:ascii="Calibri" w:hAnsi="Calibri"/>
        </w:rPr>
      </w:pPr>
      <w:r>
        <w:rPr>
          <w:rFonts w:ascii="Calibri" w:hAnsi="Calibri"/>
        </w:rPr>
        <w:t>Of course, mobiles cannot match the 100 percent availability promised with the NBN. Some customers w</w:t>
      </w:r>
      <w:r w:rsidR="00831CBD">
        <w:rPr>
          <w:rFonts w:ascii="Calibri" w:hAnsi="Calibri"/>
        </w:rPr>
        <w:t>ould</w:t>
      </w:r>
      <w:r>
        <w:rPr>
          <w:rFonts w:ascii="Calibri" w:hAnsi="Calibri"/>
        </w:rPr>
        <w:t xml:space="preserve"> have to rely on, say, satellite. </w:t>
      </w:r>
      <w:r w:rsidR="001805BA">
        <w:rPr>
          <w:rFonts w:ascii="Calibri" w:hAnsi="Calibri"/>
        </w:rPr>
        <w:t>Under this option, the wholesale satellite service costs the same as equivalent wholesale metro services with the NBN’s cross-subsidies supported by the funding arrangements currently being considered by the Bureau of Communications Research.</w:t>
      </w:r>
      <w:r w:rsidR="00351251">
        <w:rPr>
          <w:rFonts w:ascii="Calibri" w:hAnsi="Calibri"/>
        </w:rPr>
        <w:t xml:space="preserve"> But there is </w:t>
      </w:r>
      <w:r w:rsidR="00B9256C">
        <w:rPr>
          <w:rFonts w:ascii="Calibri" w:hAnsi="Calibri"/>
        </w:rPr>
        <w:t xml:space="preserve">no </w:t>
      </w:r>
      <w:r w:rsidR="00351251">
        <w:rPr>
          <w:rFonts w:ascii="Calibri" w:hAnsi="Calibri"/>
        </w:rPr>
        <w:t>guarantee that satellite customers would be attractive to  retail service provider</w:t>
      </w:r>
      <w:r w:rsidR="00831CBD">
        <w:rPr>
          <w:rFonts w:ascii="Calibri" w:hAnsi="Calibri"/>
        </w:rPr>
        <w:t>s,</w:t>
      </w:r>
      <w:r w:rsidR="00351251">
        <w:rPr>
          <w:rFonts w:ascii="Calibri" w:hAnsi="Calibri"/>
        </w:rPr>
        <w:t xml:space="preserve"> after taking account </w:t>
      </w:r>
      <w:r w:rsidR="00973958">
        <w:rPr>
          <w:rFonts w:ascii="Calibri" w:hAnsi="Calibri"/>
        </w:rPr>
        <w:t>of</w:t>
      </w:r>
      <w:r w:rsidR="00351251">
        <w:rPr>
          <w:rFonts w:ascii="Calibri" w:hAnsi="Calibri"/>
        </w:rPr>
        <w:t xml:space="preserve"> backhaul costs and </w:t>
      </w:r>
      <w:r w:rsidR="00973958">
        <w:rPr>
          <w:rFonts w:ascii="Calibri" w:hAnsi="Calibri"/>
        </w:rPr>
        <w:t xml:space="preserve">the </w:t>
      </w:r>
      <w:r w:rsidR="00351251">
        <w:rPr>
          <w:rFonts w:ascii="Calibri" w:hAnsi="Calibri"/>
        </w:rPr>
        <w:t>costs of meeting any special service or performance standards that may be imposed for such services.</w:t>
      </w:r>
      <w:r w:rsidR="00831CBD">
        <w:rPr>
          <w:rFonts w:ascii="Calibri" w:hAnsi="Calibri"/>
        </w:rPr>
        <w:t xml:space="preserve"> Furthermore, this option risks leaving customers in more remote unprofitable areas with inadequate voice services.</w:t>
      </w:r>
    </w:p>
    <w:p w:rsidR="00DA563B" w:rsidRPr="00001AE3" w:rsidRDefault="00B34354" w:rsidP="00001AE3">
      <w:pPr>
        <w:rPr>
          <w:rFonts w:ascii="Calibri" w:hAnsi="Calibri"/>
          <w:bCs/>
        </w:rPr>
      </w:pPr>
      <w:r>
        <w:rPr>
          <w:rFonts w:ascii="Calibri" w:hAnsi="Calibri"/>
        </w:rPr>
        <w:t>A</w:t>
      </w:r>
      <w:r w:rsidR="00DA563B" w:rsidRPr="00640895">
        <w:rPr>
          <w:rFonts w:ascii="Calibri" w:hAnsi="Calibri"/>
        </w:rPr>
        <w:t>ffordability programmes</w:t>
      </w:r>
      <w:r>
        <w:rPr>
          <w:rFonts w:ascii="Calibri" w:hAnsi="Calibri"/>
        </w:rPr>
        <w:t xml:space="preserve"> are probably not required. </w:t>
      </w:r>
      <w:r w:rsidR="00001AE3">
        <w:rPr>
          <w:rFonts w:ascii="Calibri" w:hAnsi="Calibri"/>
        </w:rPr>
        <w:t xml:space="preserve">Prepaid mobiles are already very affordable. If more help is needed, the </w:t>
      </w:r>
      <w:proofErr w:type="spellStart"/>
      <w:r w:rsidR="00001AE3">
        <w:rPr>
          <w:rFonts w:ascii="Calibri" w:hAnsi="Calibri"/>
        </w:rPr>
        <w:t>Safelink</w:t>
      </w:r>
      <w:proofErr w:type="spellEnd"/>
      <w:r w:rsidR="00001AE3">
        <w:rPr>
          <w:rFonts w:ascii="Calibri" w:hAnsi="Calibri"/>
        </w:rPr>
        <w:t xml:space="preserve"> programme (Box 7) may be worth considering.</w:t>
      </w:r>
    </w:p>
    <w:p w:rsidR="00DA563B" w:rsidRDefault="00DA563B" w:rsidP="007F7364">
      <w:pPr>
        <w:rPr>
          <w:rFonts w:ascii="Calibri" w:hAnsi="Calibri"/>
        </w:rPr>
      </w:pPr>
    </w:p>
    <w:p w:rsidR="00DA563B" w:rsidRPr="00C61591" w:rsidRDefault="00DA563B" w:rsidP="00751146">
      <w:pPr>
        <w:shd w:val="clear" w:color="auto" w:fill="C6D9F1"/>
        <w:rPr>
          <w:rFonts w:ascii="Calibri" w:hAnsi="Calibri" w:cs="Arial"/>
          <w:b/>
          <w:sz w:val="26"/>
          <w:szCs w:val="26"/>
        </w:rPr>
      </w:pPr>
      <w:r>
        <w:rPr>
          <w:rFonts w:ascii="Calibri" w:hAnsi="Calibri" w:cs="Arial"/>
          <w:b/>
          <w:szCs w:val="26"/>
        </w:rPr>
        <w:t xml:space="preserve">Box 7 - </w:t>
      </w:r>
      <w:proofErr w:type="spellStart"/>
      <w:r>
        <w:rPr>
          <w:rFonts w:ascii="Calibri" w:hAnsi="Calibri" w:cs="Arial"/>
          <w:b/>
          <w:szCs w:val="26"/>
        </w:rPr>
        <w:t>Safel</w:t>
      </w:r>
      <w:r w:rsidRPr="00C61591">
        <w:rPr>
          <w:rFonts w:ascii="Calibri" w:hAnsi="Calibri" w:cs="Arial"/>
          <w:b/>
          <w:szCs w:val="26"/>
        </w:rPr>
        <w:t>ink</w:t>
      </w:r>
      <w:proofErr w:type="spellEnd"/>
    </w:p>
    <w:p w:rsidR="00DA563B" w:rsidRPr="002A57BE" w:rsidRDefault="00DA563B" w:rsidP="00751146">
      <w:pPr>
        <w:shd w:val="clear" w:color="auto" w:fill="C6D9F1"/>
        <w:rPr>
          <w:rFonts w:ascii="Calibri" w:hAnsi="Calibri" w:cs="Arial"/>
          <w:szCs w:val="22"/>
        </w:rPr>
      </w:pPr>
      <w:r w:rsidRPr="002A57BE">
        <w:rPr>
          <w:rFonts w:ascii="Calibri" w:hAnsi="Calibri" w:cs="Arial"/>
          <w:szCs w:val="22"/>
        </w:rPr>
        <w:t>In the USA, the Lifeline programme for low income consumers is funded by the Federal Communications Commission (</w:t>
      </w:r>
      <w:hyperlink r:id="rId59" w:history="1">
        <w:r w:rsidRPr="002A57BE">
          <w:rPr>
            <w:rStyle w:val="Hyperlink"/>
            <w:rFonts w:ascii="Calibri" w:hAnsi="Calibri" w:cs="Arial"/>
            <w:szCs w:val="22"/>
          </w:rPr>
          <w:t>FCC</w:t>
        </w:r>
      </w:hyperlink>
      <w:r w:rsidRPr="002A57BE">
        <w:rPr>
          <w:rFonts w:ascii="Calibri" w:hAnsi="Calibri" w:cs="Arial"/>
          <w:szCs w:val="22"/>
        </w:rPr>
        <w:t>) and administered by the Universal Service Administrative Company (</w:t>
      </w:r>
      <w:hyperlink r:id="rId60" w:history="1">
        <w:r w:rsidRPr="002A57BE">
          <w:rPr>
            <w:rStyle w:val="Hyperlink"/>
            <w:rFonts w:ascii="Calibri" w:hAnsi="Calibri" w:cs="Arial"/>
            <w:szCs w:val="22"/>
          </w:rPr>
          <w:t>USAC</w:t>
        </w:r>
      </w:hyperlink>
      <w:r w:rsidRPr="002A57BE">
        <w:rPr>
          <w:rFonts w:ascii="Calibri" w:hAnsi="Calibri" w:cs="Arial"/>
          <w:szCs w:val="22"/>
        </w:rPr>
        <w:t xml:space="preserve">). </w:t>
      </w:r>
    </w:p>
    <w:p w:rsidR="00DA563B" w:rsidRPr="002A57BE" w:rsidRDefault="00DA563B" w:rsidP="00751146">
      <w:pPr>
        <w:shd w:val="clear" w:color="auto" w:fill="C6D9F1"/>
        <w:rPr>
          <w:rFonts w:ascii="Calibri" w:hAnsi="Calibri" w:cs="Arial"/>
          <w:bCs/>
          <w:szCs w:val="22"/>
        </w:rPr>
      </w:pPr>
      <w:r w:rsidRPr="002A57BE">
        <w:rPr>
          <w:rFonts w:ascii="Calibri" w:hAnsi="Calibri" w:cs="Arial"/>
          <w:szCs w:val="22"/>
        </w:rPr>
        <w:t xml:space="preserve">Rather than providing a discount or rebate like the existing Lifeline program, </w:t>
      </w:r>
      <w:hyperlink r:id="rId61" w:history="1">
        <w:proofErr w:type="spellStart"/>
        <w:r w:rsidRPr="002A57BE">
          <w:rPr>
            <w:rStyle w:val="Hyperlink"/>
            <w:rFonts w:ascii="Calibri" w:hAnsi="Calibri" w:cs="Arial"/>
            <w:szCs w:val="22"/>
          </w:rPr>
          <w:t>Safelink</w:t>
        </w:r>
        <w:proofErr w:type="spellEnd"/>
      </w:hyperlink>
      <w:r w:rsidRPr="002A57BE">
        <w:rPr>
          <w:rFonts w:ascii="Calibri" w:hAnsi="Calibri" w:cs="Arial"/>
          <w:szCs w:val="22"/>
        </w:rPr>
        <w:t xml:space="preserve"> offers eligible participants a free mobile phone, without contracts or monthly fees, u</w:t>
      </w:r>
      <w:r w:rsidRPr="002A57BE">
        <w:rPr>
          <w:rFonts w:ascii="Calibri" w:hAnsi="Calibri" w:cs="Arial"/>
          <w:bCs/>
          <w:szCs w:val="22"/>
        </w:rPr>
        <w:t>nlimited texts, 500 free minutes for the first 4 months and 250 minutes with unlimited texts for the remainder of the year.</w:t>
      </w:r>
    </w:p>
    <w:p w:rsidR="00DA563B" w:rsidRPr="002A57BE" w:rsidRDefault="00DA563B" w:rsidP="00751146">
      <w:pPr>
        <w:shd w:val="clear" w:color="auto" w:fill="C6D9F1"/>
        <w:rPr>
          <w:rFonts w:ascii="Calibri" w:hAnsi="Calibri" w:cs="Arial"/>
          <w:szCs w:val="22"/>
        </w:rPr>
      </w:pPr>
      <w:proofErr w:type="spellStart"/>
      <w:r w:rsidRPr="002A57BE">
        <w:rPr>
          <w:rFonts w:ascii="Calibri" w:hAnsi="Calibri" w:cs="Arial"/>
          <w:szCs w:val="22"/>
        </w:rPr>
        <w:t>Safelink</w:t>
      </w:r>
      <w:proofErr w:type="spellEnd"/>
      <w:r w:rsidRPr="002A57BE">
        <w:rPr>
          <w:rFonts w:ascii="Calibri" w:hAnsi="Calibri" w:cs="Arial"/>
          <w:szCs w:val="22"/>
        </w:rPr>
        <w:t xml:space="preserve"> customers have to be on state or federal support; like SNAP (food stamps) or Medicai</w:t>
      </w:r>
      <w:r w:rsidR="00936FAF">
        <w:rPr>
          <w:rFonts w:ascii="Calibri" w:hAnsi="Calibri" w:cs="Arial"/>
          <w:szCs w:val="22"/>
        </w:rPr>
        <w:t xml:space="preserve">d to be eligible. It is also </w:t>
      </w:r>
      <w:r w:rsidRPr="002A57BE">
        <w:rPr>
          <w:rFonts w:ascii="Calibri" w:hAnsi="Calibri" w:cs="Arial"/>
          <w:szCs w:val="22"/>
        </w:rPr>
        <w:t xml:space="preserve">limited to one person per household. Initial eligibility lasts for one year, after which users have to demonstrate that they still qualify. </w:t>
      </w:r>
    </w:p>
    <w:p w:rsidR="00DA563B" w:rsidRDefault="00DA563B" w:rsidP="00751146">
      <w:pPr>
        <w:shd w:val="clear" w:color="auto" w:fill="C6D9F1"/>
        <w:rPr>
          <w:rFonts w:ascii="Calibri" w:hAnsi="Calibri" w:cs="Arial"/>
          <w:szCs w:val="22"/>
        </w:rPr>
      </w:pPr>
      <w:r w:rsidRPr="002A57BE">
        <w:rPr>
          <w:rFonts w:ascii="Calibri" w:hAnsi="Calibri" w:cs="Arial"/>
          <w:szCs w:val="22"/>
        </w:rPr>
        <w:t xml:space="preserve">It is implemented by one provider, </w:t>
      </w:r>
      <w:proofErr w:type="spellStart"/>
      <w:r w:rsidRPr="002A57BE">
        <w:rPr>
          <w:rFonts w:ascii="Calibri" w:hAnsi="Calibri" w:cs="Arial"/>
          <w:szCs w:val="22"/>
        </w:rPr>
        <w:t>TracFone</w:t>
      </w:r>
      <w:proofErr w:type="spellEnd"/>
      <w:r w:rsidRPr="002A57BE">
        <w:rPr>
          <w:rFonts w:ascii="Calibri" w:hAnsi="Calibri" w:cs="Arial"/>
          <w:szCs w:val="22"/>
        </w:rPr>
        <w:t xml:space="preserve">, which is a large no-contract mobile service provider in the U.S. with over 18.8 million subscribers and is a subsidiary of </w:t>
      </w:r>
      <w:proofErr w:type="spellStart"/>
      <w:r w:rsidRPr="002A57BE">
        <w:rPr>
          <w:rFonts w:ascii="Calibri" w:hAnsi="Calibri" w:cs="Arial"/>
          <w:szCs w:val="22"/>
        </w:rPr>
        <w:t>América</w:t>
      </w:r>
      <w:proofErr w:type="spellEnd"/>
      <w:r w:rsidRPr="002A57BE">
        <w:rPr>
          <w:rFonts w:ascii="Calibri" w:hAnsi="Calibri" w:cs="Arial"/>
          <w:szCs w:val="22"/>
        </w:rPr>
        <w:t xml:space="preserve"> </w:t>
      </w:r>
      <w:proofErr w:type="spellStart"/>
      <w:r w:rsidRPr="002A57BE">
        <w:rPr>
          <w:rFonts w:ascii="Calibri" w:hAnsi="Calibri" w:cs="Arial"/>
          <w:szCs w:val="22"/>
        </w:rPr>
        <w:t>Móvil</w:t>
      </w:r>
      <w:proofErr w:type="spellEnd"/>
      <w:r w:rsidRPr="002A57BE">
        <w:rPr>
          <w:rFonts w:ascii="Calibri" w:hAnsi="Calibri" w:cs="Arial"/>
          <w:szCs w:val="22"/>
        </w:rPr>
        <w:t>. It resells 30 major carriers around the U.S. and has global relationships with major manufacturers such as Motorola, Nokia, LG and Kyocera. Its regular pre-paid tariffs for, say, 300 and 900 minutes are $29.99 and $79.99 respectively; with 90 days on both of these.</w:t>
      </w:r>
    </w:p>
    <w:p w:rsidR="00DA563B" w:rsidRPr="002A57BE" w:rsidRDefault="00DA563B" w:rsidP="00751146">
      <w:pPr>
        <w:shd w:val="clear" w:color="auto" w:fill="C6D9F1"/>
        <w:rPr>
          <w:rFonts w:ascii="Calibri" w:hAnsi="Calibri" w:cs="Arial"/>
          <w:szCs w:val="22"/>
        </w:rPr>
      </w:pPr>
      <w:r>
        <w:rPr>
          <w:rFonts w:ascii="Calibri" w:hAnsi="Calibri" w:cs="Arial"/>
          <w:szCs w:val="22"/>
        </w:rPr>
        <w:t>Sources: websites accessed through hyperlinks above.</w:t>
      </w:r>
    </w:p>
    <w:p w:rsidR="00DA563B" w:rsidRDefault="00DA563B" w:rsidP="007F7364">
      <w:pPr>
        <w:rPr>
          <w:rFonts w:ascii="Calibri" w:hAnsi="Calibri"/>
        </w:rPr>
      </w:pPr>
    </w:p>
    <w:p w:rsidR="00DA563B" w:rsidRDefault="00001AE3" w:rsidP="007F7364">
      <w:pPr>
        <w:rPr>
          <w:rFonts w:ascii="Calibri" w:hAnsi="Calibri"/>
        </w:rPr>
      </w:pPr>
      <w:r>
        <w:rPr>
          <w:rFonts w:ascii="Calibri" w:hAnsi="Calibri"/>
        </w:rPr>
        <w:t xml:space="preserve">Option 2 is attractive </w:t>
      </w:r>
      <w:r w:rsidR="00831CBD">
        <w:rPr>
          <w:rFonts w:ascii="Calibri" w:hAnsi="Calibri"/>
        </w:rPr>
        <w:t xml:space="preserve">simply </w:t>
      </w:r>
      <w:r>
        <w:rPr>
          <w:rFonts w:ascii="Calibri" w:hAnsi="Calibri"/>
        </w:rPr>
        <w:t xml:space="preserve">because nobody has to be nominated as the default retail USO provider. It should not be necessary as the outcomes will look much like what we would expect from Option 4 (mobiles become main delivery platform; but again without any nominated USO provider). </w:t>
      </w:r>
    </w:p>
    <w:p w:rsidR="00001AE3" w:rsidRDefault="00001AE3" w:rsidP="007F7364">
      <w:pPr>
        <w:rPr>
          <w:rFonts w:ascii="Calibri" w:hAnsi="Calibri"/>
        </w:rPr>
      </w:pPr>
    </w:p>
    <w:p w:rsidR="00AE529A" w:rsidRDefault="00DA563B" w:rsidP="007306CE">
      <w:pPr>
        <w:rPr>
          <w:rFonts w:ascii="Calibri" w:hAnsi="Calibri"/>
        </w:rPr>
      </w:pPr>
      <w:bookmarkStart w:id="17" w:name="_Toc436121942"/>
      <w:r>
        <w:rPr>
          <w:rStyle w:val="Heading2Char"/>
        </w:rPr>
        <w:lastRenderedPageBreak/>
        <w:t>4.3</w:t>
      </w:r>
      <w:r>
        <w:rPr>
          <w:rStyle w:val="Heading2Char"/>
        </w:rPr>
        <w:tab/>
      </w:r>
      <w:r w:rsidRPr="00E14067">
        <w:rPr>
          <w:rStyle w:val="Heading2Char"/>
        </w:rPr>
        <w:t>Option 3</w:t>
      </w:r>
      <w:bookmarkEnd w:id="17"/>
    </w:p>
    <w:p w:rsidR="00E466D9" w:rsidRDefault="00AE529A" w:rsidP="007306CE">
      <w:pPr>
        <w:rPr>
          <w:rFonts w:ascii="Calibri" w:hAnsi="Calibri"/>
        </w:rPr>
      </w:pPr>
      <w:r>
        <w:rPr>
          <w:rFonts w:ascii="Calibri" w:hAnsi="Calibri"/>
        </w:rPr>
        <w:t xml:space="preserve">This </w:t>
      </w:r>
      <w:r w:rsidR="00DA563B">
        <w:rPr>
          <w:rFonts w:ascii="Calibri" w:hAnsi="Calibri"/>
        </w:rPr>
        <w:t xml:space="preserve">delivers </w:t>
      </w:r>
      <w:r w:rsidR="00835060">
        <w:rPr>
          <w:rFonts w:ascii="Calibri" w:hAnsi="Calibri"/>
        </w:rPr>
        <w:t>a voice plus data</w:t>
      </w:r>
      <w:r w:rsidR="00DA563B">
        <w:rPr>
          <w:rFonts w:ascii="Calibri" w:hAnsi="Calibri"/>
        </w:rPr>
        <w:t xml:space="preserve"> US</w:t>
      </w:r>
      <w:r>
        <w:rPr>
          <w:rFonts w:ascii="Calibri" w:hAnsi="Calibri"/>
        </w:rPr>
        <w:t>O obligation over NBN networks.</w:t>
      </w:r>
    </w:p>
    <w:p w:rsidR="00E466D9" w:rsidRDefault="00E466D9" w:rsidP="007306CE">
      <w:pPr>
        <w:rPr>
          <w:rFonts w:ascii="Calibri" w:hAnsi="Calibri"/>
        </w:rPr>
      </w:pPr>
      <w:r>
        <w:rPr>
          <w:rFonts w:ascii="Calibri" w:hAnsi="Calibri"/>
        </w:rPr>
        <w:t xml:space="preserve">As discussed earlier, there is bi-partisan support politically to include data in universal service, as demonstrated by the investment in the NBN which </w:t>
      </w:r>
      <w:r w:rsidRPr="00E466D9">
        <w:rPr>
          <w:rFonts w:ascii="Calibri" w:hAnsi="Calibri"/>
        </w:rPr>
        <w:t>is designed to offer both voice and data everywhere</w:t>
      </w:r>
      <w:r>
        <w:rPr>
          <w:rFonts w:ascii="Calibri" w:hAnsi="Calibri"/>
        </w:rPr>
        <w:t xml:space="preserve">. </w:t>
      </w:r>
    </w:p>
    <w:p w:rsidR="00DA563B" w:rsidRPr="007306CE" w:rsidRDefault="00DA563B" w:rsidP="007306CE">
      <w:pPr>
        <w:rPr>
          <w:rFonts w:ascii="Calibri" w:hAnsi="Calibri"/>
        </w:rPr>
      </w:pPr>
      <w:r>
        <w:rPr>
          <w:rFonts w:ascii="Calibri" w:hAnsi="Calibri"/>
        </w:rPr>
        <w:t xml:space="preserve">The </w:t>
      </w:r>
      <w:proofErr w:type="spellStart"/>
      <w:r w:rsidR="001571EA">
        <w:rPr>
          <w:rFonts w:ascii="Calibri" w:hAnsi="Calibri"/>
        </w:rPr>
        <w:t>nbn</w:t>
      </w:r>
      <w:proofErr w:type="spellEnd"/>
      <w:r>
        <w:rPr>
          <w:rFonts w:ascii="Calibri" w:hAnsi="Calibri"/>
        </w:rPr>
        <w:t xml:space="preserve"> </w:t>
      </w:r>
      <w:r w:rsidR="00831CBD">
        <w:rPr>
          <w:rFonts w:ascii="Calibri" w:hAnsi="Calibri"/>
        </w:rPr>
        <w:t xml:space="preserve">will become </w:t>
      </w:r>
      <w:r>
        <w:rPr>
          <w:rFonts w:ascii="Calibri" w:hAnsi="Calibri"/>
        </w:rPr>
        <w:t xml:space="preserve">the default </w:t>
      </w:r>
      <w:r w:rsidRPr="00FE6F57">
        <w:rPr>
          <w:rFonts w:ascii="Calibri" w:hAnsi="Calibri"/>
          <w:u w:val="single"/>
        </w:rPr>
        <w:t>wholesale</w:t>
      </w:r>
      <w:r>
        <w:rPr>
          <w:rFonts w:ascii="Calibri" w:hAnsi="Calibri"/>
        </w:rPr>
        <w:t xml:space="preserve"> carrier</w:t>
      </w:r>
      <w:r w:rsidR="00835060">
        <w:rPr>
          <w:rFonts w:ascii="Calibri" w:hAnsi="Calibri"/>
        </w:rPr>
        <w:t xml:space="preserve">. </w:t>
      </w:r>
      <w:r w:rsidR="00FE6F57">
        <w:rPr>
          <w:rFonts w:ascii="Calibri" w:hAnsi="Calibri"/>
        </w:rPr>
        <w:t>U</w:t>
      </w:r>
      <w:r>
        <w:rPr>
          <w:rFonts w:ascii="Calibri" w:hAnsi="Calibri"/>
        </w:rPr>
        <w:t xml:space="preserve">nlike Telstra </w:t>
      </w:r>
      <w:r w:rsidR="00835060">
        <w:rPr>
          <w:rFonts w:ascii="Calibri" w:hAnsi="Calibri"/>
        </w:rPr>
        <w:t>under</w:t>
      </w:r>
      <w:r>
        <w:rPr>
          <w:rFonts w:ascii="Calibri" w:hAnsi="Calibri"/>
        </w:rPr>
        <w:t xml:space="preserve"> the existing USO, </w:t>
      </w:r>
      <w:r w:rsidR="00835060">
        <w:rPr>
          <w:rFonts w:ascii="Calibri" w:hAnsi="Calibri"/>
        </w:rPr>
        <w:t xml:space="preserve">the </w:t>
      </w:r>
      <w:proofErr w:type="spellStart"/>
      <w:r w:rsidR="001571EA">
        <w:rPr>
          <w:rFonts w:ascii="Calibri" w:hAnsi="Calibri"/>
        </w:rPr>
        <w:t>nbn</w:t>
      </w:r>
      <w:proofErr w:type="spellEnd"/>
      <w:r>
        <w:rPr>
          <w:rFonts w:ascii="Calibri" w:hAnsi="Calibri"/>
        </w:rPr>
        <w:t xml:space="preserve"> is not also the default retail provider. Initially, </w:t>
      </w:r>
      <w:r w:rsidRPr="007306CE">
        <w:rPr>
          <w:rFonts w:ascii="Calibri" w:hAnsi="Calibri"/>
        </w:rPr>
        <w:t xml:space="preserve">Telstra will fulfil the role of retail provider of last resort </w:t>
      </w:r>
      <w:r>
        <w:rPr>
          <w:rFonts w:ascii="Calibri" w:hAnsi="Calibri"/>
        </w:rPr>
        <w:t>w</w:t>
      </w:r>
      <w:r w:rsidRPr="007306CE">
        <w:rPr>
          <w:rFonts w:ascii="Calibri" w:hAnsi="Calibri"/>
        </w:rPr>
        <w:t xml:space="preserve">ithin </w:t>
      </w:r>
      <w:r>
        <w:rPr>
          <w:rFonts w:ascii="Calibri" w:hAnsi="Calibri"/>
        </w:rPr>
        <w:t xml:space="preserve">the </w:t>
      </w:r>
      <w:r w:rsidRPr="007306CE">
        <w:rPr>
          <w:rFonts w:ascii="Calibri" w:hAnsi="Calibri"/>
        </w:rPr>
        <w:t xml:space="preserve">NBN </w:t>
      </w:r>
      <w:r w:rsidR="000A1FEC">
        <w:rPr>
          <w:rFonts w:ascii="Calibri" w:hAnsi="Calibri"/>
        </w:rPr>
        <w:t xml:space="preserve">fixed </w:t>
      </w:r>
      <w:r w:rsidRPr="007306CE">
        <w:rPr>
          <w:rFonts w:ascii="Calibri" w:hAnsi="Calibri"/>
        </w:rPr>
        <w:t>footprint</w:t>
      </w:r>
      <w:r>
        <w:rPr>
          <w:rFonts w:ascii="Calibri" w:hAnsi="Calibri"/>
        </w:rPr>
        <w:t xml:space="preserve"> </w:t>
      </w:r>
      <w:r w:rsidRPr="007306CE">
        <w:rPr>
          <w:rFonts w:ascii="Calibri" w:hAnsi="Calibri"/>
        </w:rPr>
        <w:t xml:space="preserve">for customers </w:t>
      </w:r>
      <w:r w:rsidR="00835060">
        <w:rPr>
          <w:rFonts w:ascii="Calibri" w:hAnsi="Calibri"/>
        </w:rPr>
        <w:t xml:space="preserve">– but only for those </w:t>
      </w:r>
      <w:r w:rsidRPr="007306CE">
        <w:rPr>
          <w:rFonts w:ascii="Calibri" w:hAnsi="Calibri"/>
        </w:rPr>
        <w:t>w</w:t>
      </w:r>
      <w:r w:rsidR="00D83B84">
        <w:rPr>
          <w:rFonts w:ascii="Calibri" w:hAnsi="Calibri"/>
        </w:rPr>
        <w:t>ho wish to take a voice-only service</w:t>
      </w:r>
      <w:r w:rsidRPr="007306CE">
        <w:rPr>
          <w:rFonts w:ascii="Calibri" w:hAnsi="Calibri"/>
        </w:rPr>
        <w:t xml:space="preserve"> over the NBN. This </w:t>
      </w:r>
      <w:r>
        <w:rPr>
          <w:rFonts w:ascii="Calibri" w:hAnsi="Calibri"/>
        </w:rPr>
        <w:t>commitment applies</w:t>
      </w:r>
      <w:r w:rsidRPr="007306CE">
        <w:rPr>
          <w:rFonts w:ascii="Calibri" w:hAnsi="Calibri"/>
        </w:rPr>
        <w:t xml:space="preserve"> as a contractual obligation</w:t>
      </w:r>
      <w:r w:rsidR="00835060">
        <w:rPr>
          <w:rFonts w:ascii="Calibri" w:hAnsi="Calibri"/>
        </w:rPr>
        <w:t xml:space="preserve"> on Telstra </w:t>
      </w:r>
      <w:r w:rsidRPr="007306CE">
        <w:rPr>
          <w:rFonts w:ascii="Calibri" w:hAnsi="Calibri"/>
        </w:rPr>
        <w:t>to TUSMA.</w:t>
      </w:r>
      <w:r>
        <w:rPr>
          <w:rFonts w:ascii="Calibri" w:hAnsi="Calibri"/>
        </w:rPr>
        <w:t xml:space="preserve"> This seems like a temporary meas</w:t>
      </w:r>
      <w:r w:rsidR="00632A3C">
        <w:rPr>
          <w:rFonts w:ascii="Calibri" w:hAnsi="Calibri"/>
        </w:rPr>
        <w:t>ure and ignores data</w:t>
      </w:r>
      <w:r w:rsidR="00FE6F57">
        <w:rPr>
          <w:rFonts w:ascii="Calibri" w:hAnsi="Calibri"/>
        </w:rPr>
        <w:t xml:space="preserve"> (but see Option 6)</w:t>
      </w:r>
      <w:r w:rsidR="00632A3C">
        <w:rPr>
          <w:rFonts w:ascii="Calibri" w:hAnsi="Calibri"/>
        </w:rPr>
        <w:t>.</w:t>
      </w:r>
      <w:r w:rsidR="003B5274">
        <w:rPr>
          <w:rFonts w:ascii="Calibri" w:hAnsi="Calibri"/>
        </w:rPr>
        <w:t xml:space="preserve"> </w:t>
      </w:r>
    </w:p>
    <w:p w:rsidR="00DA563B" w:rsidRDefault="00DA563B" w:rsidP="007306CE">
      <w:pPr>
        <w:rPr>
          <w:rFonts w:ascii="Calibri" w:hAnsi="Calibri"/>
        </w:rPr>
      </w:pPr>
      <w:r>
        <w:rPr>
          <w:rFonts w:ascii="Calibri" w:hAnsi="Calibri"/>
        </w:rPr>
        <w:t xml:space="preserve">Telstra’s </w:t>
      </w:r>
      <w:r w:rsidR="003B5274">
        <w:rPr>
          <w:rFonts w:ascii="Calibri" w:hAnsi="Calibri"/>
        </w:rPr>
        <w:t>voice</w:t>
      </w:r>
      <w:r w:rsidR="00D83B84">
        <w:rPr>
          <w:rFonts w:ascii="Calibri" w:hAnsi="Calibri"/>
        </w:rPr>
        <w:t>-only</w:t>
      </w:r>
      <w:r w:rsidR="003B5274">
        <w:rPr>
          <w:rFonts w:ascii="Calibri" w:hAnsi="Calibri"/>
        </w:rPr>
        <w:t xml:space="preserve"> USO </w:t>
      </w:r>
      <w:r>
        <w:rPr>
          <w:rFonts w:ascii="Calibri" w:hAnsi="Calibri"/>
        </w:rPr>
        <w:t>role is unlikely to be contested by other fixed providers. That is because, to date</w:t>
      </w:r>
      <w:r w:rsidRPr="00640895">
        <w:rPr>
          <w:rFonts w:ascii="Calibri" w:hAnsi="Calibri"/>
        </w:rPr>
        <w:t xml:space="preserve">, the </w:t>
      </w:r>
      <w:proofErr w:type="spellStart"/>
      <w:r w:rsidR="001571EA">
        <w:rPr>
          <w:rFonts w:ascii="Calibri" w:hAnsi="Calibri"/>
        </w:rPr>
        <w:t>nbn</w:t>
      </w:r>
      <w:proofErr w:type="spellEnd"/>
      <w:r w:rsidRPr="00640895">
        <w:rPr>
          <w:rFonts w:ascii="Calibri" w:hAnsi="Calibri"/>
        </w:rPr>
        <w:t xml:space="preserve"> has not shown much imagination in helping to make access affordable for a basic telephone service</w:t>
      </w:r>
      <w:r>
        <w:rPr>
          <w:rFonts w:ascii="Calibri" w:hAnsi="Calibri"/>
        </w:rPr>
        <w:t xml:space="preserve">. The minimum wholesale price is $24 pm compared with the $16 pm </w:t>
      </w:r>
      <w:r w:rsidR="00632A3C">
        <w:rPr>
          <w:rFonts w:ascii="Calibri" w:hAnsi="Calibri"/>
        </w:rPr>
        <w:t>that Telstra i</w:t>
      </w:r>
      <w:r>
        <w:rPr>
          <w:rFonts w:ascii="Calibri" w:hAnsi="Calibri"/>
        </w:rPr>
        <w:t xml:space="preserve">s </w:t>
      </w:r>
      <w:r w:rsidR="00FE6F57">
        <w:rPr>
          <w:rFonts w:ascii="Calibri" w:hAnsi="Calibri"/>
        </w:rPr>
        <w:t xml:space="preserve">currently </w:t>
      </w:r>
      <w:r>
        <w:rPr>
          <w:rFonts w:ascii="Calibri" w:hAnsi="Calibri"/>
        </w:rPr>
        <w:t>charging for unbundled local loop</w:t>
      </w:r>
      <w:r w:rsidR="00973958">
        <w:rPr>
          <w:rFonts w:ascii="Calibri" w:hAnsi="Calibri"/>
        </w:rPr>
        <w:t xml:space="preserve"> in metro areas</w:t>
      </w:r>
      <w:r>
        <w:rPr>
          <w:rFonts w:ascii="Calibri" w:hAnsi="Calibri"/>
        </w:rPr>
        <w:t>. Competition for voice-only service will come from mobiles.</w:t>
      </w:r>
    </w:p>
    <w:p w:rsidR="00DA563B" w:rsidRDefault="00D83B84" w:rsidP="005B0577">
      <w:pPr>
        <w:rPr>
          <w:rFonts w:ascii="Calibri" w:hAnsi="Calibri"/>
          <w:lang w:val="en-GB"/>
        </w:rPr>
      </w:pPr>
      <w:r>
        <w:rPr>
          <w:rFonts w:ascii="Calibri" w:hAnsi="Calibri"/>
        </w:rPr>
        <w:t xml:space="preserve">It is unlikely that there would be more competition for voice (or voice and data) services in rural and remote areas even though </w:t>
      </w:r>
      <w:r w:rsidR="00DA563B" w:rsidRPr="005B0577">
        <w:rPr>
          <w:rFonts w:ascii="Calibri" w:hAnsi="Calibri"/>
          <w:lang w:val="en-GB"/>
        </w:rPr>
        <w:t xml:space="preserve">the </w:t>
      </w:r>
      <w:r>
        <w:rPr>
          <w:rFonts w:ascii="Calibri" w:hAnsi="Calibri"/>
          <w:lang w:val="en-GB"/>
        </w:rPr>
        <w:t>geographically uniform $24</w:t>
      </w:r>
      <w:r w:rsidR="00831CBD">
        <w:rPr>
          <w:rFonts w:ascii="Calibri" w:hAnsi="Calibri"/>
          <w:lang w:val="en-GB"/>
        </w:rPr>
        <w:t xml:space="preserve"> pm</w:t>
      </w:r>
      <w:r>
        <w:rPr>
          <w:rFonts w:ascii="Calibri" w:hAnsi="Calibri"/>
          <w:lang w:val="en-GB"/>
        </w:rPr>
        <w:t xml:space="preserve"> </w:t>
      </w:r>
      <w:r w:rsidR="00DA563B" w:rsidRPr="005B0577">
        <w:rPr>
          <w:rFonts w:ascii="Calibri" w:hAnsi="Calibri"/>
          <w:lang w:val="en-GB"/>
        </w:rPr>
        <w:t xml:space="preserve">NBN tariff is </w:t>
      </w:r>
      <w:r w:rsidR="00FE6F57">
        <w:rPr>
          <w:rFonts w:ascii="Calibri" w:hAnsi="Calibri"/>
          <w:lang w:val="en-GB"/>
        </w:rPr>
        <w:t>about half</w:t>
      </w:r>
      <w:r w:rsidR="00DA563B" w:rsidRPr="005B0577">
        <w:rPr>
          <w:rFonts w:ascii="Calibri" w:hAnsi="Calibri"/>
          <w:lang w:val="en-GB"/>
        </w:rPr>
        <w:t xml:space="preserve"> the unbundled loc</w:t>
      </w:r>
      <w:r w:rsidR="00FE6F57">
        <w:rPr>
          <w:rFonts w:ascii="Calibri" w:hAnsi="Calibri"/>
          <w:lang w:val="en-GB"/>
        </w:rPr>
        <w:t xml:space="preserve">al loop service </w:t>
      </w:r>
      <w:r w:rsidR="00DA563B" w:rsidRPr="005B0577">
        <w:rPr>
          <w:rFonts w:ascii="Calibri" w:hAnsi="Calibri"/>
          <w:lang w:val="en-GB"/>
        </w:rPr>
        <w:t>pr</w:t>
      </w:r>
      <w:r w:rsidR="00FE6F57">
        <w:rPr>
          <w:rFonts w:ascii="Calibri" w:hAnsi="Calibri"/>
          <w:lang w:val="en-GB"/>
        </w:rPr>
        <w:t>ice</w:t>
      </w:r>
      <w:r>
        <w:rPr>
          <w:rFonts w:ascii="Calibri" w:hAnsi="Calibri"/>
          <w:lang w:val="en-GB"/>
        </w:rPr>
        <w:t xml:space="preserve"> for the copper </w:t>
      </w:r>
      <w:r w:rsidR="00FE6F57">
        <w:rPr>
          <w:rFonts w:ascii="Calibri" w:hAnsi="Calibri"/>
          <w:lang w:val="en-GB"/>
        </w:rPr>
        <w:t>network in rural remote</w:t>
      </w:r>
      <w:r w:rsidR="00DA563B" w:rsidRPr="005B0577">
        <w:rPr>
          <w:rFonts w:ascii="Calibri" w:hAnsi="Calibri"/>
          <w:lang w:val="en-GB"/>
        </w:rPr>
        <w:t xml:space="preserve"> areas.</w:t>
      </w:r>
    </w:p>
    <w:p w:rsidR="00D83B84" w:rsidRPr="00D83B84" w:rsidRDefault="00D83B84" w:rsidP="00D83B84">
      <w:pPr>
        <w:rPr>
          <w:rFonts w:ascii="Calibri" w:hAnsi="Calibri"/>
        </w:rPr>
      </w:pPr>
      <w:r w:rsidRPr="00D83B84">
        <w:rPr>
          <w:rFonts w:ascii="Calibri" w:hAnsi="Calibri"/>
        </w:rPr>
        <w:t>If you want a broadband service over the NBN, “who are you going to call?” The obvious default retail provider is Telstra</w:t>
      </w:r>
      <w:r w:rsidR="00370DCB">
        <w:rPr>
          <w:rFonts w:ascii="Calibri" w:hAnsi="Calibri"/>
        </w:rPr>
        <w:t>,</w:t>
      </w:r>
      <w:r w:rsidRPr="00D83B84">
        <w:rPr>
          <w:rFonts w:ascii="Calibri" w:hAnsi="Calibri"/>
        </w:rPr>
        <w:t xml:space="preserve"> which should not require a subsidy if (and only if) the NBN maintains geographic</w:t>
      </w:r>
      <w:r w:rsidR="00FE6F57">
        <w:rPr>
          <w:rFonts w:ascii="Calibri" w:hAnsi="Calibri"/>
        </w:rPr>
        <w:t>ally uniform wholesale tariffs; which is what the BCR study is seeking to support.</w:t>
      </w:r>
    </w:p>
    <w:p w:rsidR="00D83B84" w:rsidRDefault="00D83B84" w:rsidP="00D83B84">
      <w:pPr>
        <w:rPr>
          <w:rFonts w:ascii="Calibri" w:hAnsi="Calibri"/>
          <w:lang w:val="en-GB"/>
        </w:rPr>
      </w:pPr>
      <w:r w:rsidRPr="00D83B84">
        <w:rPr>
          <w:rFonts w:ascii="Calibri" w:hAnsi="Calibri"/>
          <w:lang w:val="en-GB"/>
        </w:rPr>
        <w:t xml:space="preserve">An important related point is that network separation </w:t>
      </w:r>
      <w:r w:rsidR="00370DCB">
        <w:rPr>
          <w:rFonts w:ascii="Calibri" w:hAnsi="Calibri"/>
          <w:lang w:val="en-GB"/>
        </w:rPr>
        <w:t>could make some</w:t>
      </w:r>
      <w:r w:rsidRPr="00D83B84">
        <w:rPr>
          <w:rFonts w:ascii="Calibri" w:hAnsi="Calibri"/>
          <w:lang w:val="en-GB"/>
        </w:rPr>
        <w:t xml:space="preserve"> </w:t>
      </w:r>
      <w:r w:rsidR="00370DCB">
        <w:rPr>
          <w:rFonts w:ascii="Calibri" w:hAnsi="Calibri"/>
          <w:lang w:val="en-GB"/>
        </w:rPr>
        <w:t>customers un-</w:t>
      </w:r>
      <w:r w:rsidRPr="00D83B84">
        <w:rPr>
          <w:rFonts w:ascii="Calibri" w:hAnsi="Calibri"/>
          <w:lang w:val="en-GB"/>
        </w:rPr>
        <w:t xml:space="preserve">commercial for Telstra. On the copper network, any customer </w:t>
      </w:r>
      <w:r w:rsidR="00831CBD">
        <w:rPr>
          <w:rFonts w:ascii="Calibri" w:hAnsi="Calibri"/>
          <w:lang w:val="en-GB"/>
        </w:rPr>
        <w:t xml:space="preserve">who </w:t>
      </w:r>
      <w:r w:rsidRPr="00D83B84">
        <w:rPr>
          <w:rFonts w:ascii="Calibri" w:hAnsi="Calibri"/>
          <w:lang w:val="en-GB"/>
        </w:rPr>
        <w:t xml:space="preserve">covers </w:t>
      </w:r>
      <w:r w:rsidR="00370DCB">
        <w:rPr>
          <w:rFonts w:ascii="Calibri" w:hAnsi="Calibri"/>
          <w:lang w:val="en-GB"/>
        </w:rPr>
        <w:t xml:space="preserve">their </w:t>
      </w:r>
      <w:r w:rsidRPr="00D83B84">
        <w:rPr>
          <w:rFonts w:ascii="Calibri" w:hAnsi="Calibri"/>
          <w:lang w:val="en-GB"/>
        </w:rPr>
        <w:t xml:space="preserve">directly attributable costs </w:t>
      </w:r>
      <w:r w:rsidR="00370DCB">
        <w:rPr>
          <w:rFonts w:ascii="Calibri" w:hAnsi="Calibri"/>
          <w:lang w:val="en-GB"/>
        </w:rPr>
        <w:t xml:space="preserve">is commercial because that customer then </w:t>
      </w:r>
      <w:r w:rsidRPr="00D83B84">
        <w:rPr>
          <w:rFonts w:ascii="Calibri" w:hAnsi="Calibri"/>
          <w:lang w:val="en-GB"/>
        </w:rPr>
        <w:t xml:space="preserve">makes a contribution to </w:t>
      </w:r>
      <w:r w:rsidR="00292069">
        <w:rPr>
          <w:rFonts w:ascii="Calibri" w:hAnsi="Calibri"/>
          <w:lang w:val="en-GB"/>
        </w:rPr>
        <w:t xml:space="preserve">network </w:t>
      </w:r>
      <w:r w:rsidRPr="00D83B84">
        <w:rPr>
          <w:rFonts w:ascii="Calibri" w:hAnsi="Calibri"/>
          <w:lang w:val="en-GB"/>
        </w:rPr>
        <w:t>cost</w:t>
      </w:r>
      <w:r w:rsidR="00292069">
        <w:rPr>
          <w:rFonts w:ascii="Calibri" w:hAnsi="Calibri"/>
          <w:lang w:val="en-GB"/>
        </w:rPr>
        <w:t>s</w:t>
      </w:r>
      <w:r w:rsidRPr="00D83B84">
        <w:rPr>
          <w:rFonts w:ascii="Calibri" w:hAnsi="Calibri"/>
          <w:lang w:val="en-GB"/>
        </w:rPr>
        <w:t xml:space="preserve">. But, with the NBN, directly attributable costs </w:t>
      </w:r>
      <w:r w:rsidR="00292069">
        <w:rPr>
          <w:rFonts w:ascii="Calibri" w:hAnsi="Calibri"/>
          <w:lang w:val="en-GB"/>
        </w:rPr>
        <w:t xml:space="preserve">include network costs </w:t>
      </w:r>
      <w:r w:rsidRPr="00D83B84">
        <w:rPr>
          <w:rFonts w:ascii="Calibri" w:hAnsi="Calibri"/>
          <w:lang w:val="en-GB"/>
        </w:rPr>
        <w:t>for Telstra</w:t>
      </w:r>
      <w:r w:rsidRPr="00D83B84">
        <w:rPr>
          <w:rFonts w:ascii="Calibri" w:hAnsi="Calibri"/>
          <w:vertAlign w:val="superscript"/>
          <w:lang w:val="en-GB"/>
        </w:rPr>
        <w:footnoteReference w:id="45"/>
      </w:r>
      <w:r w:rsidRPr="00D83B84">
        <w:rPr>
          <w:rFonts w:ascii="Calibri" w:hAnsi="Calibri"/>
          <w:lang w:val="en-GB"/>
        </w:rPr>
        <w:t>.</w:t>
      </w:r>
    </w:p>
    <w:p w:rsidR="00DA563B" w:rsidRDefault="00744F58" w:rsidP="007F7364">
      <w:pPr>
        <w:rPr>
          <w:rFonts w:ascii="Calibri" w:hAnsi="Calibri"/>
        </w:rPr>
      </w:pPr>
      <w:r>
        <w:rPr>
          <w:rFonts w:ascii="Calibri" w:hAnsi="Calibri"/>
        </w:rPr>
        <w:t>On affordability, t</w:t>
      </w:r>
      <w:r w:rsidR="00FE6F57">
        <w:rPr>
          <w:rFonts w:ascii="Calibri" w:hAnsi="Calibri"/>
        </w:rPr>
        <w:t>he T</w:t>
      </w:r>
      <w:r w:rsidR="00831CBD">
        <w:rPr>
          <w:rFonts w:ascii="Calibri" w:hAnsi="Calibri"/>
        </w:rPr>
        <w:t xml:space="preserve">elecommunications </w:t>
      </w:r>
      <w:r w:rsidR="00FE6F57">
        <w:rPr>
          <w:rFonts w:ascii="Calibri" w:hAnsi="Calibri"/>
        </w:rPr>
        <w:t>C</w:t>
      </w:r>
      <w:r w:rsidR="00831CBD">
        <w:rPr>
          <w:rFonts w:ascii="Calibri" w:hAnsi="Calibri"/>
        </w:rPr>
        <w:t xml:space="preserve">onsumer </w:t>
      </w:r>
      <w:r w:rsidR="00FE6F57">
        <w:rPr>
          <w:rFonts w:ascii="Calibri" w:hAnsi="Calibri"/>
        </w:rPr>
        <w:t>P</w:t>
      </w:r>
      <w:r w:rsidR="00831CBD">
        <w:rPr>
          <w:rFonts w:ascii="Calibri" w:hAnsi="Calibri"/>
        </w:rPr>
        <w:t>rotections Code</w:t>
      </w:r>
      <w:r w:rsidR="00FE6F57">
        <w:rPr>
          <w:rFonts w:ascii="Calibri" w:hAnsi="Calibri"/>
        </w:rPr>
        <w:t xml:space="preserve"> deals with credit manag</w:t>
      </w:r>
      <w:r w:rsidR="003C6F66">
        <w:rPr>
          <w:rFonts w:ascii="Calibri" w:hAnsi="Calibri"/>
        </w:rPr>
        <w:t>ement and disconnection</w:t>
      </w:r>
      <w:r w:rsidR="00831CBD">
        <w:rPr>
          <w:rFonts w:ascii="Calibri" w:hAnsi="Calibri"/>
        </w:rPr>
        <w:t>,</w:t>
      </w:r>
      <w:r w:rsidR="003C6F66">
        <w:rPr>
          <w:rFonts w:ascii="Calibri" w:hAnsi="Calibri"/>
        </w:rPr>
        <w:t xml:space="preserve"> and may</w:t>
      </w:r>
      <w:r w:rsidR="00FE6F57">
        <w:rPr>
          <w:rFonts w:ascii="Calibri" w:hAnsi="Calibri"/>
        </w:rPr>
        <w:t xml:space="preserve"> need to be revised in </w:t>
      </w:r>
      <w:r w:rsidR="003C6F66">
        <w:rPr>
          <w:rFonts w:ascii="Calibri" w:hAnsi="Calibri"/>
        </w:rPr>
        <w:t xml:space="preserve">the context of the NBN. </w:t>
      </w:r>
      <w:r>
        <w:rPr>
          <w:rFonts w:ascii="Calibri" w:hAnsi="Calibri"/>
        </w:rPr>
        <w:t>What the NBN can and should do is provide wholesale pricing to support retail providers and low income customers (see Section 3.3.3).</w:t>
      </w:r>
    </w:p>
    <w:p w:rsidR="00DA563B" w:rsidRDefault="00744F58" w:rsidP="007F7364">
      <w:pPr>
        <w:rPr>
          <w:rFonts w:ascii="Calibri" w:hAnsi="Calibri"/>
        </w:rPr>
      </w:pPr>
      <w:r>
        <w:rPr>
          <w:rFonts w:ascii="Calibri" w:hAnsi="Calibri"/>
        </w:rPr>
        <w:t>On accessibility, t</w:t>
      </w:r>
      <w:r w:rsidR="00DA563B">
        <w:rPr>
          <w:rFonts w:ascii="Calibri" w:hAnsi="Calibri"/>
        </w:rPr>
        <w:t xml:space="preserve">he NBN refers customers to their retail service provider for accessibility issues and does not provide apps or content. </w:t>
      </w:r>
    </w:p>
    <w:p w:rsidR="003C6F66" w:rsidRDefault="003C6F66" w:rsidP="007F7364">
      <w:pPr>
        <w:rPr>
          <w:rFonts w:ascii="Calibri" w:hAnsi="Calibri"/>
        </w:rPr>
      </w:pPr>
      <w:r>
        <w:rPr>
          <w:rFonts w:ascii="Calibri" w:hAnsi="Calibri"/>
        </w:rPr>
        <w:t>Finally,</w:t>
      </w:r>
      <w:r w:rsidR="00744F58">
        <w:rPr>
          <w:rFonts w:ascii="Calibri" w:hAnsi="Calibri"/>
        </w:rPr>
        <w:t xml:space="preserve"> how sustainable would </w:t>
      </w:r>
      <w:r w:rsidR="000F0816">
        <w:rPr>
          <w:rFonts w:ascii="Calibri" w:hAnsi="Calibri"/>
        </w:rPr>
        <w:t xml:space="preserve">delivering the </w:t>
      </w:r>
      <w:r w:rsidR="00744F58">
        <w:rPr>
          <w:rFonts w:ascii="Calibri" w:hAnsi="Calibri"/>
        </w:rPr>
        <w:t>USO over NBN be as an option? I</w:t>
      </w:r>
      <w:r>
        <w:rPr>
          <w:rFonts w:ascii="Calibri" w:hAnsi="Calibri"/>
        </w:rPr>
        <w:t>f the NBN is privatised how can</w:t>
      </w:r>
      <w:r w:rsidR="00973958">
        <w:rPr>
          <w:rFonts w:ascii="Calibri" w:hAnsi="Calibri"/>
        </w:rPr>
        <w:t xml:space="preserve"> we</w:t>
      </w:r>
      <w:r>
        <w:rPr>
          <w:rFonts w:ascii="Calibri" w:hAnsi="Calibri"/>
        </w:rPr>
        <w:t xml:space="preserve"> ensure that the Statement of Expectations and other things that the company has agreed to in order to support universal service will survive?</w:t>
      </w:r>
    </w:p>
    <w:p w:rsidR="00DA563B" w:rsidRDefault="00DA563B" w:rsidP="007F7364">
      <w:pPr>
        <w:rPr>
          <w:rFonts w:ascii="Calibri" w:hAnsi="Calibri"/>
        </w:rPr>
      </w:pPr>
    </w:p>
    <w:p w:rsidR="00AE529A" w:rsidRDefault="00DA563B" w:rsidP="00F275C5">
      <w:pPr>
        <w:rPr>
          <w:rFonts w:ascii="Calibri" w:hAnsi="Calibri"/>
        </w:rPr>
      </w:pPr>
      <w:bookmarkStart w:id="18" w:name="_Toc436121943"/>
      <w:r>
        <w:rPr>
          <w:rStyle w:val="Heading2Char"/>
        </w:rPr>
        <w:lastRenderedPageBreak/>
        <w:t>4.4</w:t>
      </w:r>
      <w:r>
        <w:rPr>
          <w:rStyle w:val="Heading2Char"/>
        </w:rPr>
        <w:tab/>
      </w:r>
      <w:r w:rsidRPr="00E14067">
        <w:rPr>
          <w:rStyle w:val="Heading2Char"/>
        </w:rPr>
        <w:t>Option 4</w:t>
      </w:r>
      <w:bookmarkEnd w:id="18"/>
      <w:r>
        <w:rPr>
          <w:rFonts w:ascii="Calibri" w:hAnsi="Calibri"/>
        </w:rPr>
        <w:t xml:space="preserve"> </w:t>
      </w:r>
    </w:p>
    <w:p w:rsidR="00F275C5" w:rsidRPr="00F275C5" w:rsidRDefault="00AE529A" w:rsidP="00F275C5">
      <w:pPr>
        <w:rPr>
          <w:rFonts w:ascii="Calibri" w:hAnsi="Calibri"/>
        </w:rPr>
      </w:pPr>
      <w:r>
        <w:rPr>
          <w:rFonts w:ascii="Calibri" w:hAnsi="Calibri"/>
        </w:rPr>
        <w:t xml:space="preserve">This option </w:t>
      </w:r>
      <w:r w:rsidR="00DA563B">
        <w:rPr>
          <w:rFonts w:ascii="Calibri" w:hAnsi="Calibri"/>
        </w:rPr>
        <w:t xml:space="preserve">switches the delivery of the USO to mobile networks. </w:t>
      </w:r>
      <w:r w:rsidR="00F275C5" w:rsidRPr="00F275C5">
        <w:rPr>
          <w:rFonts w:ascii="Calibri" w:hAnsi="Calibri"/>
        </w:rPr>
        <w:t>The best thing about the first era of broadband was ‘</w:t>
      </w:r>
      <w:r w:rsidR="00F275C5" w:rsidRPr="00F275C5">
        <w:rPr>
          <w:rFonts w:ascii="Calibri" w:hAnsi="Calibri"/>
          <w:i/>
        </w:rPr>
        <w:t>always on’</w:t>
      </w:r>
      <w:r w:rsidR="00F275C5" w:rsidRPr="00F275C5">
        <w:rPr>
          <w:rFonts w:ascii="Calibri" w:hAnsi="Calibri"/>
        </w:rPr>
        <w:t>. In the next era it will be broadband that is ‘</w:t>
      </w:r>
      <w:r w:rsidR="00F275C5" w:rsidRPr="00F275C5">
        <w:rPr>
          <w:rFonts w:ascii="Calibri" w:hAnsi="Calibri"/>
          <w:i/>
        </w:rPr>
        <w:t>always with you’</w:t>
      </w:r>
      <w:r w:rsidR="00F275C5" w:rsidRPr="00F275C5">
        <w:rPr>
          <w:rFonts w:ascii="Calibri" w:hAnsi="Calibri"/>
        </w:rPr>
        <w:t>.</w:t>
      </w:r>
    </w:p>
    <w:p w:rsidR="00780449" w:rsidRDefault="00DA563B" w:rsidP="007F7364">
      <w:pPr>
        <w:rPr>
          <w:rFonts w:ascii="Calibri" w:hAnsi="Calibri"/>
        </w:rPr>
      </w:pPr>
      <w:r>
        <w:rPr>
          <w:rFonts w:ascii="Calibri" w:hAnsi="Calibri"/>
        </w:rPr>
        <w:t xml:space="preserve">This </w:t>
      </w:r>
      <w:r w:rsidR="00F275C5">
        <w:rPr>
          <w:rFonts w:ascii="Calibri" w:hAnsi="Calibri"/>
        </w:rPr>
        <w:t xml:space="preserve">option </w:t>
      </w:r>
      <w:r>
        <w:rPr>
          <w:rFonts w:ascii="Calibri" w:hAnsi="Calibri"/>
        </w:rPr>
        <w:t xml:space="preserve">does not </w:t>
      </w:r>
      <w:r w:rsidR="00F275C5">
        <w:rPr>
          <w:rFonts w:ascii="Calibri" w:hAnsi="Calibri"/>
        </w:rPr>
        <w:t xml:space="preserve">mean making </w:t>
      </w:r>
      <w:r>
        <w:rPr>
          <w:rFonts w:ascii="Calibri" w:hAnsi="Calibri"/>
        </w:rPr>
        <w:t xml:space="preserve">mobile carriers universal service providers. </w:t>
      </w:r>
      <w:r w:rsidR="00F275C5">
        <w:rPr>
          <w:rFonts w:ascii="Calibri" w:hAnsi="Calibri"/>
        </w:rPr>
        <w:t xml:space="preserve">Competition will drive coverage (aided by continuing support for Mobile </w:t>
      </w:r>
      <w:proofErr w:type="spellStart"/>
      <w:r w:rsidR="00F275C5">
        <w:rPr>
          <w:rFonts w:ascii="Calibri" w:hAnsi="Calibri"/>
        </w:rPr>
        <w:t>Blackspots</w:t>
      </w:r>
      <w:proofErr w:type="spellEnd"/>
      <w:r w:rsidR="00F275C5">
        <w:rPr>
          <w:rFonts w:ascii="Calibri" w:hAnsi="Calibri"/>
        </w:rPr>
        <w:t xml:space="preserve">) and affordability. </w:t>
      </w:r>
    </w:p>
    <w:p w:rsidR="003B0DA1" w:rsidRDefault="003B0DA1" w:rsidP="007F7364">
      <w:pPr>
        <w:rPr>
          <w:rFonts w:ascii="Calibri" w:hAnsi="Calibri"/>
        </w:rPr>
      </w:pPr>
      <w:r>
        <w:rPr>
          <w:rFonts w:ascii="Calibri" w:hAnsi="Calibri"/>
        </w:rPr>
        <w:t xml:space="preserve">With this option, the NBN is less important as an access network (which is predominantly mobile) than as a backhaul network. Whether the mobile device operates over </w:t>
      </w:r>
      <w:proofErr w:type="spellStart"/>
      <w:r>
        <w:rPr>
          <w:rFonts w:ascii="Calibri" w:hAnsi="Calibri"/>
        </w:rPr>
        <w:t>WiFi</w:t>
      </w:r>
      <w:proofErr w:type="spellEnd"/>
      <w:r>
        <w:rPr>
          <w:rFonts w:ascii="Calibri" w:hAnsi="Calibri"/>
        </w:rPr>
        <w:t xml:space="preserve"> or over a mobile network (smartphones do both), traffic moves onto the NBN as that is more efficient than using the scarce radio spectrum used by mobile networks.</w:t>
      </w:r>
    </w:p>
    <w:p w:rsidR="00780449" w:rsidRDefault="00780449" w:rsidP="007F7364">
      <w:pPr>
        <w:rPr>
          <w:rFonts w:ascii="Calibri" w:hAnsi="Calibri"/>
        </w:rPr>
      </w:pPr>
      <w:r>
        <w:rPr>
          <w:rFonts w:ascii="Calibri" w:hAnsi="Calibri"/>
        </w:rPr>
        <w:t>With respect to coverage, it is possible that</w:t>
      </w:r>
      <w:r w:rsidR="00DA563B" w:rsidRPr="00780449">
        <w:rPr>
          <w:rFonts w:ascii="Calibri" w:hAnsi="Calibri"/>
        </w:rPr>
        <w:t xml:space="preserve"> mobile coverage is better than STS provided over</w:t>
      </w:r>
      <w:r>
        <w:rPr>
          <w:rFonts w:ascii="Calibri" w:hAnsi="Calibri"/>
        </w:rPr>
        <w:t xml:space="preserve"> </w:t>
      </w:r>
      <w:r w:rsidR="00DA563B" w:rsidRPr="00780449">
        <w:rPr>
          <w:rFonts w:ascii="Calibri" w:hAnsi="Calibri"/>
        </w:rPr>
        <w:t xml:space="preserve">copper services. The </w:t>
      </w:r>
      <w:r w:rsidR="001A6B21">
        <w:rPr>
          <w:rFonts w:ascii="Calibri" w:hAnsi="Calibri"/>
        </w:rPr>
        <w:t xml:space="preserve">My Broadband </w:t>
      </w:r>
      <w:r w:rsidR="001A6B21">
        <w:rPr>
          <w:rStyle w:val="FootnoteReference"/>
          <w:rFonts w:ascii="Calibri" w:hAnsi="Calibri"/>
        </w:rPr>
        <w:footnoteReference w:id="46"/>
      </w:r>
      <w:r w:rsidR="00DA563B" w:rsidRPr="00780449">
        <w:rPr>
          <w:rFonts w:ascii="Calibri" w:hAnsi="Calibri"/>
        </w:rPr>
        <w:t xml:space="preserve">quality report mentioned earlier </w:t>
      </w:r>
      <w:r>
        <w:rPr>
          <w:rFonts w:ascii="Calibri" w:hAnsi="Calibri"/>
        </w:rPr>
        <w:t xml:space="preserve">in Section 3.1 </w:t>
      </w:r>
      <w:r w:rsidR="00DA563B" w:rsidRPr="00780449">
        <w:rPr>
          <w:rFonts w:ascii="Calibri" w:hAnsi="Calibri"/>
        </w:rPr>
        <w:t xml:space="preserve">says that only 0.318m of the 1.4m most poorly served fixed service customers (categories D and E) have access to 3G or 4G; at October 2013 – </w:t>
      </w:r>
      <w:r w:rsidR="0014467F">
        <w:rPr>
          <w:rFonts w:ascii="Calibri" w:hAnsi="Calibri"/>
        </w:rPr>
        <w:t>over</w:t>
      </w:r>
      <w:r>
        <w:rPr>
          <w:rFonts w:ascii="Calibri" w:hAnsi="Calibri"/>
        </w:rPr>
        <w:t xml:space="preserve"> 1 million customers rely on copper for voice services. How much has that changed?</w:t>
      </w:r>
    </w:p>
    <w:p w:rsidR="00DA563B" w:rsidRDefault="00780449" w:rsidP="007F7364">
      <w:pPr>
        <w:rPr>
          <w:rFonts w:ascii="Calibri" w:hAnsi="Calibri"/>
        </w:rPr>
      </w:pPr>
      <w:r>
        <w:rPr>
          <w:rFonts w:ascii="Calibri" w:hAnsi="Calibri"/>
        </w:rPr>
        <w:t xml:space="preserve">With respect to affordability, </w:t>
      </w:r>
      <w:r w:rsidR="00F275C5">
        <w:rPr>
          <w:rFonts w:ascii="Calibri" w:hAnsi="Calibri"/>
        </w:rPr>
        <w:t xml:space="preserve">Telstra is not the cheapest provider in the market, but the Freedom Plus </w:t>
      </w:r>
      <w:r w:rsidR="005A4E21">
        <w:rPr>
          <w:rFonts w:ascii="Calibri" w:hAnsi="Calibri"/>
        </w:rPr>
        <w:t xml:space="preserve">plan in the </w:t>
      </w:r>
      <w:r w:rsidR="00F275C5">
        <w:rPr>
          <w:rFonts w:ascii="Calibri" w:hAnsi="Calibri"/>
        </w:rPr>
        <w:t xml:space="preserve">pre-paid </w:t>
      </w:r>
      <w:r w:rsidR="005A4E21">
        <w:rPr>
          <w:rFonts w:ascii="Calibri" w:hAnsi="Calibri"/>
        </w:rPr>
        <w:t>mobile column of</w:t>
      </w:r>
      <w:r w:rsidR="00F275C5">
        <w:rPr>
          <w:rFonts w:ascii="Calibri" w:hAnsi="Calibri"/>
        </w:rPr>
        <w:t xml:space="preserve"> Table </w:t>
      </w:r>
      <w:r w:rsidR="00F13E76">
        <w:rPr>
          <w:rFonts w:ascii="Calibri" w:hAnsi="Calibri"/>
        </w:rPr>
        <w:t xml:space="preserve">7 is 0.9% of median EDHI; less than what disadvantaged segments </w:t>
      </w:r>
      <w:r w:rsidR="00973958">
        <w:rPr>
          <w:rFonts w:ascii="Calibri" w:hAnsi="Calibri"/>
        </w:rPr>
        <w:t>we</w:t>
      </w:r>
      <w:r w:rsidR="00F13E76">
        <w:rPr>
          <w:rFonts w:ascii="Calibri" w:hAnsi="Calibri"/>
        </w:rPr>
        <w:t>re paying  according to Table 6.</w:t>
      </w:r>
      <w:r w:rsidR="005A4E21">
        <w:rPr>
          <w:rFonts w:ascii="Calibri" w:hAnsi="Calibri"/>
        </w:rPr>
        <w:t xml:space="preserve"> </w:t>
      </w:r>
    </w:p>
    <w:p w:rsidR="005431EF" w:rsidRDefault="000B1F19" w:rsidP="00DB3BDE">
      <w:pPr>
        <w:rPr>
          <w:rFonts w:ascii="Calibri" w:hAnsi="Calibri"/>
          <w:lang w:val="en-GB"/>
        </w:rPr>
      </w:pPr>
      <w:r>
        <w:rPr>
          <w:rFonts w:ascii="Calibri" w:hAnsi="Calibri"/>
        </w:rPr>
        <w:t>What about untimed local calls? C</w:t>
      </w:r>
      <w:proofErr w:type="spellStart"/>
      <w:r w:rsidR="00DA563B" w:rsidRPr="000B1F19">
        <w:rPr>
          <w:rFonts w:ascii="Calibri" w:hAnsi="Calibri"/>
          <w:lang w:val="en-GB"/>
        </w:rPr>
        <w:t>alls</w:t>
      </w:r>
      <w:proofErr w:type="spellEnd"/>
      <w:r w:rsidR="00DA563B" w:rsidRPr="000B1F19">
        <w:rPr>
          <w:rFonts w:ascii="Calibri" w:hAnsi="Calibri"/>
          <w:lang w:val="en-GB"/>
        </w:rPr>
        <w:t xml:space="preserve"> </w:t>
      </w:r>
      <w:r>
        <w:rPr>
          <w:rFonts w:ascii="Calibri" w:hAnsi="Calibri"/>
          <w:lang w:val="en-GB"/>
        </w:rPr>
        <w:t xml:space="preserve">from mobiles </w:t>
      </w:r>
      <w:r w:rsidR="00DA563B" w:rsidRPr="000B1F19">
        <w:rPr>
          <w:rFonts w:ascii="Calibri" w:hAnsi="Calibri"/>
          <w:lang w:val="en-GB"/>
        </w:rPr>
        <w:t>are national</w:t>
      </w:r>
      <w:r w:rsidR="00DB3BDE">
        <w:rPr>
          <w:rFonts w:ascii="Calibri" w:hAnsi="Calibri"/>
          <w:lang w:val="en-GB"/>
        </w:rPr>
        <w:t>. T</w:t>
      </w:r>
      <w:r w:rsidR="00DA563B" w:rsidRPr="000B1F19">
        <w:rPr>
          <w:rFonts w:ascii="Calibri" w:hAnsi="Calibri"/>
          <w:lang w:val="en-GB"/>
        </w:rPr>
        <w:t xml:space="preserve">he fact that they are all timed is not an issue for current mobile users whose calls are short relative to fixed voice calls. The May 2010 NBN Implementation Study suggests (p321) </w:t>
      </w:r>
      <w:r>
        <w:rPr>
          <w:rFonts w:ascii="Calibri" w:hAnsi="Calibri"/>
          <w:lang w:val="en-GB"/>
        </w:rPr>
        <w:t xml:space="preserve">providing </w:t>
      </w:r>
      <w:r w:rsidR="00DA563B" w:rsidRPr="000B1F19">
        <w:rPr>
          <w:rFonts w:ascii="Calibri" w:hAnsi="Calibri"/>
          <w:lang w:val="en-GB"/>
        </w:rPr>
        <w:t>a “</w:t>
      </w:r>
      <w:r w:rsidR="00DA563B" w:rsidRPr="000B1F19">
        <w:rPr>
          <w:rFonts w:ascii="Calibri" w:hAnsi="Calibri"/>
          <w:i/>
          <w:lang w:val="en-GB"/>
        </w:rPr>
        <w:t>home-zone</w:t>
      </w:r>
      <w:r w:rsidR="00DA563B" w:rsidRPr="000B1F19">
        <w:rPr>
          <w:rFonts w:ascii="Calibri" w:hAnsi="Calibri"/>
          <w:lang w:val="en-GB"/>
        </w:rPr>
        <w:t>” in which</w:t>
      </w:r>
      <w:r w:rsidR="00DA563B" w:rsidRPr="000B1F19">
        <w:rPr>
          <w:rFonts w:ascii="Calibri" w:hAnsi="Calibri"/>
          <w:i/>
          <w:lang w:val="en-GB"/>
        </w:rPr>
        <w:t xml:space="preserve"> </w:t>
      </w:r>
      <w:r w:rsidR="00DA563B" w:rsidRPr="000B1F19">
        <w:rPr>
          <w:rFonts w:ascii="Calibri" w:hAnsi="Calibri"/>
          <w:lang w:val="en-GB"/>
        </w:rPr>
        <w:t xml:space="preserve">an STS could be provided over a mobile network with untimed local calls offered within a zone corresponding to the user’s premises. </w:t>
      </w:r>
      <w:r>
        <w:rPr>
          <w:rFonts w:ascii="Calibri" w:hAnsi="Calibri"/>
          <w:lang w:val="en-GB"/>
        </w:rPr>
        <w:t xml:space="preserve">That may be considered inadequate as </w:t>
      </w:r>
      <w:r w:rsidR="00DA563B" w:rsidRPr="000B1F19">
        <w:rPr>
          <w:rFonts w:ascii="Calibri" w:hAnsi="Calibri"/>
          <w:lang w:val="en-GB"/>
        </w:rPr>
        <w:t>the Extended Zones that apply to country ar</w:t>
      </w:r>
      <w:r w:rsidR="00640895" w:rsidRPr="000B1F19">
        <w:rPr>
          <w:rFonts w:ascii="Calibri" w:hAnsi="Calibri"/>
          <w:lang w:val="en-GB"/>
        </w:rPr>
        <w:t xml:space="preserve">eas are very large (See Figure </w:t>
      </w:r>
      <w:r w:rsidR="003C6F66">
        <w:rPr>
          <w:rFonts w:ascii="Calibri" w:hAnsi="Calibri"/>
          <w:lang w:val="en-GB"/>
        </w:rPr>
        <w:t>6</w:t>
      </w:r>
      <w:r w:rsidR="00DC7174">
        <w:rPr>
          <w:rFonts w:ascii="Calibri" w:hAnsi="Calibri"/>
          <w:lang w:val="en-GB"/>
        </w:rPr>
        <w:t xml:space="preserve"> below</w:t>
      </w:r>
      <w:r w:rsidR="00780449">
        <w:rPr>
          <w:rFonts w:ascii="Calibri" w:hAnsi="Calibri"/>
          <w:lang w:val="en-GB"/>
        </w:rPr>
        <w:t>). But, if voice in future is carried as</w:t>
      </w:r>
      <w:r w:rsidR="00DA563B" w:rsidRPr="000B1F19">
        <w:rPr>
          <w:rFonts w:ascii="Calibri" w:hAnsi="Calibri"/>
          <w:lang w:val="en-GB"/>
        </w:rPr>
        <w:t xml:space="preserve"> data, timed calls become r</w:t>
      </w:r>
      <w:r w:rsidR="00DB3BDE">
        <w:rPr>
          <w:rFonts w:ascii="Calibri" w:hAnsi="Calibri"/>
          <w:lang w:val="en-GB"/>
        </w:rPr>
        <w:t>edundant as data is not timed.</w:t>
      </w:r>
    </w:p>
    <w:p w:rsidR="00DC7174" w:rsidRPr="00DC7174" w:rsidRDefault="00DC7174" w:rsidP="00DC7174">
      <w:pPr>
        <w:rPr>
          <w:rFonts w:ascii="Calibri" w:hAnsi="Calibri"/>
        </w:rPr>
      </w:pPr>
      <w:r w:rsidRPr="00DC7174">
        <w:rPr>
          <w:rFonts w:ascii="Calibri" w:hAnsi="Calibri"/>
        </w:rPr>
        <w:t>It may be necessary to set standards for the quality of voice calls or ensure other aspects of service to support the four pillars of universal service policy. As noted in Section 3.2.1, the ACMA has powers to achieve this.</w:t>
      </w:r>
    </w:p>
    <w:p w:rsidR="00DC7174" w:rsidRPr="00DC7174" w:rsidRDefault="00DC7174" w:rsidP="00DC7174">
      <w:pPr>
        <w:rPr>
          <w:rFonts w:ascii="Calibri" w:hAnsi="Calibri"/>
        </w:rPr>
      </w:pPr>
      <w:r w:rsidRPr="00DC7174">
        <w:rPr>
          <w:rFonts w:ascii="Calibri" w:hAnsi="Calibri"/>
        </w:rPr>
        <w:t>This approach has a number of attractions. First, any requirements would apply to several retail service providers. Second, it would promote a contestable market. Third, where it is not contestable (due, say, to lack of coverage), Telstra would become the natural default provider. Fourth, the infrastructure is privately funded (with some direct subsidies for extending coverage and providing ongoing services in unprofitable areas).</w:t>
      </w:r>
    </w:p>
    <w:p w:rsidR="00DA563B" w:rsidRPr="00564BF0" w:rsidRDefault="00DA563B" w:rsidP="00564BF0">
      <w:pPr>
        <w:ind w:left="360"/>
        <w:rPr>
          <w:rFonts w:ascii="Calibri" w:hAnsi="Calibri"/>
        </w:rPr>
      </w:pPr>
    </w:p>
    <w:p w:rsidR="00DA563B" w:rsidRPr="00E42B23" w:rsidRDefault="00DA563B" w:rsidP="0048625A">
      <w:pPr>
        <w:keepNext/>
        <w:jc w:val="center"/>
        <w:rPr>
          <w:rFonts w:ascii="Calibri" w:hAnsi="Calibri"/>
          <w:b/>
        </w:rPr>
      </w:pPr>
      <w:r>
        <w:rPr>
          <w:rFonts w:ascii="Calibri" w:hAnsi="Calibri"/>
          <w:b/>
        </w:rPr>
        <w:lastRenderedPageBreak/>
        <w:t xml:space="preserve">Figure </w:t>
      </w:r>
      <w:r w:rsidR="003C6F66">
        <w:rPr>
          <w:rFonts w:ascii="Calibri" w:hAnsi="Calibri"/>
          <w:b/>
        </w:rPr>
        <w:t>6</w:t>
      </w:r>
      <w:r>
        <w:rPr>
          <w:rFonts w:ascii="Calibri" w:hAnsi="Calibri"/>
          <w:b/>
        </w:rPr>
        <w:t xml:space="preserve"> – Extended Zones</w:t>
      </w:r>
    </w:p>
    <w:p w:rsidR="00DA563B" w:rsidRDefault="002A03B0" w:rsidP="00E42B23">
      <w:pPr>
        <w:jc w:val="center"/>
        <w:rPr>
          <w:rFonts w:ascii="Calibri" w:hAnsi="Calibri"/>
        </w:rPr>
      </w:pPr>
      <w:r>
        <w:rPr>
          <w:noProof/>
        </w:rPr>
        <w:drawing>
          <wp:inline distT="0" distB="0" distL="0" distR="0" wp14:anchorId="414CB1C8" wp14:editId="364D1D06">
            <wp:extent cx="3997842" cy="2916714"/>
            <wp:effectExtent l="0" t="0" r="3175"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3997202" cy="2916247"/>
                    </a:xfrm>
                    <a:prstGeom prst="rect">
                      <a:avLst/>
                    </a:prstGeom>
                    <a:noFill/>
                    <a:ln w="9525">
                      <a:noFill/>
                      <a:miter lim="800000"/>
                      <a:headEnd/>
                      <a:tailEnd/>
                    </a:ln>
                  </pic:spPr>
                </pic:pic>
              </a:graphicData>
            </a:graphic>
          </wp:inline>
        </w:drawing>
      </w:r>
    </w:p>
    <w:p w:rsidR="00DA563B" w:rsidRDefault="00DA563B" w:rsidP="007F7364">
      <w:pPr>
        <w:rPr>
          <w:rFonts w:ascii="Calibri" w:hAnsi="Calibri"/>
        </w:rPr>
      </w:pPr>
      <w:r w:rsidRPr="00E42B23">
        <w:rPr>
          <w:rFonts w:ascii="Calibri" w:hAnsi="Calibri"/>
        </w:rPr>
        <w:t xml:space="preserve">Source: </w:t>
      </w:r>
      <w:hyperlink r:id="rId63" w:history="1">
        <w:r w:rsidRPr="00E42B23">
          <w:rPr>
            <w:rStyle w:val="Hyperlink"/>
            <w:rFonts w:ascii="Calibri" w:hAnsi="Calibri"/>
          </w:rPr>
          <w:t>ACMA</w:t>
        </w:r>
      </w:hyperlink>
      <w:r w:rsidRPr="00564BF0">
        <w:rPr>
          <w:rFonts w:ascii="Calibri" w:hAnsi="Calibri"/>
        </w:rPr>
        <w:t xml:space="preserve"> </w:t>
      </w:r>
    </w:p>
    <w:p w:rsidR="00DA563B" w:rsidRDefault="00DA563B" w:rsidP="007F7364">
      <w:pPr>
        <w:rPr>
          <w:rFonts w:ascii="Calibri" w:hAnsi="Calibri"/>
        </w:rPr>
      </w:pPr>
    </w:p>
    <w:p w:rsidR="00AE529A" w:rsidRDefault="00DA563B" w:rsidP="007F7364">
      <w:pPr>
        <w:rPr>
          <w:rFonts w:ascii="Calibri" w:hAnsi="Calibri"/>
        </w:rPr>
      </w:pPr>
      <w:bookmarkStart w:id="19" w:name="_Toc436121944"/>
      <w:r>
        <w:rPr>
          <w:rStyle w:val="Heading2Char"/>
        </w:rPr>
        <w:t>4.5</w:t>
      </w:r>
      <w:r>
        <w:rPr>
          <w:rStyle w:val="Heading2Char"/>
        </w:rPr>
        <w:tab/>
      </w:r>
      <w:r w:rsidRPr="00E14067">
        <w:rPr>
          <w:rStyle w:val="Heading2Char"/>
        </w:rPr>
        <w:t>Option 5</w:t>
      </w:r>
      <w:bookmarkEnd w:id="19"/>
      <w:r>
        <w:rPr>
          <w:rFonts w:ascii="Calibri" w:hAnsi="Calibri"/>
        </w:rPr>
        <w:t xml:space="preserve"> </w:t>
      </w:r>
    </w:p>
    <w:p w:rsidR="00DA563B" w:rsidRDefault="00AE529A" w:rsidP="007F7364">
      <w:pPr>
        <w:rPr>
          <w:rFonts w:ascii="Calibri" w:hAnsi="Calibri"/>
        </w:rPr>
      </w:pPr>
      <w:r>
        <w:rPr>
          <w:rFonts w:ascii="Calibri" w:hAnsi="Calibri"/>
        </w:rPr>
        <w:t xml:space="preserve">This </w:t>
      </w:r>
      <w:r w:rsidR="00155731">
        <w:rPr>
          <w:rFonts w:ascii="Calibri" w:hAnsi="Calibri"/>
        </w:rPr>
        <w:t xml:space="preserve">would </w:t>
      </w:r>
      <w:r w:rsidR="00DA563B">
        <w:rPr>
          <w:rFonts w:ascii="Calibri" w:hAnsi="Calibri"/>
        </w:rPr>
        <w:t>confine the US</w:t>
      </w:r>
      <w:r w:rsidR="00155731">
        <w:rPr>
          <w:rFonts w:ascii="Calibri" w:hAnsi="Calibri"/>
        </w:rPr>
        <w:t>O to voice, as now, but include</w:t>
      </w:r>
      <w:r w:rsidR="00DA563B">
        <w:rPr>
          <w:rFonts w:ascii="Calibri" w:hAnsi="Calibri"/>
        </w:rPr>
        <w:t xml:space="preserve"> mobile networks.</w:t>
      </w:r>
    </w:p>
    <w:p w:rsidR="00DA563B" w:rsidRDefault="00DA563B" w:rsidP="007F7364">
      <w:pPr>
        <w:rPr>
          <w:rFonts w:ascii="Calibri" w:hAnsi="Calibri"/>
          <w:bCs/>
        </w:rPr>
      </w:pPr>
      <w:r>
        <w:rPr>
          <w:rFonts w:ascii="Calibri" w:hAnsi="Calibri"/>
          <w:bCs/>
        </w:rPr>
        <w:t xml:space="preserve">It is difficult to see what would be gained by this option. </w:t>
      </w:r>
      <w:r w:rsidR="00155731">
        <w:rPr>
          <w:rFonts w:ascii="Calibri" w:hAnsi="Calibri"/>
          <w:bCs/>
        </w:rPr>
        <w:t>A v</w:t>
      </w:r>
      <w:r w:rsidR="00A15D50">
        <w:rPr>
          <w:rFonts w:ascii="Calibri" w:hAnsi="Calibri"/>
          <w:bCs/>
        </w:rPr>
        <w:t>oice</w:t>
      </w:r>
      <w:r w:rsidR="004C4129">
        <w:rPr>
          <w:rFonts w:ascii="Calibri" w:hAnsi="Calibri"/>
          <w:bCs/>
        </w:rPr>
        <w:t>-</w:t>
      </w:r>
      <w:r w:rsidR="00A15D50">
        <w:rPr>
          <w:rFonts w:ascii="Calibri" w:hAnsi="Calibri"/>
          <w:bCs/>
        </w:rPr>
        <w:t xml:space="preserve">only </w:t>
      </w:r>
      <w:r w:rsidR="00155731">
        <w:rPr>
          <w:rFonts w:ascii="Calibri" w:hAnsi="Calibri"/>
          <w:bCs/>
        </w:rPr>
        <w:t xml:space="preserve">USO </w:t>
      </w:r>
      <w:r w:rsidR="00A15D50">
        <w:rPr>
          <w:rFonts w:ascii="Calibri" w:hAnsi="Calibri"/>
          <w:bCs/>
        </w:rPr>
        <w:t xml:space="preserve">is no longer socially or politically acceptable. </w:t>
      </w:r>
      <w:r>
        <w:rPr>
          <w:rFonts w:ascii="Calibri" w:hAnsi="Calibri"/>
          <w:bCs/>
        </w:rPr>
        <w:t>All the other options include both voice and data.</w:t>
      </w:r>
    </w:p>
    <w:p w:rsidR="00FE6404" w:rsidRPr="005A5FD5" w:rsidRDefault="00FE6404" w:rsidP="007F7364">
      <w:pPr>
        <w:rPr>
          <w:rFonts w:ascii="Calibri" w:hAnsi="Calibri"/>
          <w:bCs/>
        </w:rPr>
      </w:pPr>
      <w:r>
        <w:rPr>
          <w:rFonts w:ascii="Calibri" w:hAnsi="Calibri"/>
          <w:bCs/>
        </w:rPr>
        <w:t xml:space="preserve">STS affordability measures currently provided by Telstra would need to be expanded to take account of a broader base for delivery of voice services. </w:t>
      </w:r>
    </w:p>
    <w:p w:rsidR="00DA563B" w:rsidRDefault="00DA563B" w:rsidP="007F7364">
      <w:pPr>
        <w:rPr>
          <w:rFonts w:ascii="Calibri" w:hAnsi="Calibri"/>
        </w:rPr>
      </w:pPr>
      <w:r>
        <w:rPr>
          <w:rFonts w:ascii="Calibri" w:hAnsi="Calibri"/>
        </w:rPr>
        <w:t xml:space="preserve"> </w:t>
      </w:r>
    </w:p>
    <w:p w:rsidR="00AE529A" w:rsidRDefault="00DA563B" w:rsidP="007F7364">
      <w:pPr>
        <w:rPr>
          <w:rFonts w:ascii="Calibri" w:hAnsi="Calibri"/>
        </w:rPr>
      </w:pPr>
      <w:bookmarkStart w:id="20" w:name="_Toc436121945"/>
      <w:r>
        <w:rPr>
          <w:rStyle w:val="Heading2Char"/>
        </w:rPr>
        <w:t>4.6</w:t>
      </w:r>
      <w:r>
        <w:rPr>
          <w:rStyle w:val="Heading2Char"/>
        </w:rPr>
        <w:tab/>
      </w:r>
      <w:r w:rsidRPr="00E14067">
        <w:rPr>
          <w:rStyle w:val="Heading2Char"/>
        </w:rPr>
        <w:t>Option 6</w:t>
      </w:r>
      <w:bookmarkEnd w:id="20"/>
      <w:r>
        <w:rPr>
          <w:rFonts w:ascii="Calibri" w:hAnsi="Calibri"/>
        </w:rPr>
        <w:t xml:space="preserve"> </w:t>
      </w:r>
    </w:p>
    <w:p w:rsidR="0067582C" w:rsidRDefault="00AE529A" w:rsidP="007F7364">
      <w:pPr>
        <w:rPr>
          <w:rFonts w:ascii="Calibri" w:hAnsi="Calibri"/>
        </w:rPr>
      </w:pPr>
      <w:r>
        <w:rPr>
          <w:rFonts w:ascii="Calibri" w:hAnsi="Calibri"/>
        </w:rPr>
        <w:t xml:space="preserve">This option </w:t>
      </w:r>
      <w:r w:rsidR="00DA563B">
        <w:rPr>
          <w:rFonts w:ascii="Calibri" w:hAnsi="Calibri"/>
        </w:rPr>
        <w:t xml:space="preserve">is a </w:t>
      </w:r>
      <w:r w:rsidR="003C6F66">
        <w:rPr>
          <w:rFonts w:ascii="Calibri" w:hAnsi="Calibri"/>
        </w:rPr>
        <w:t xml:space="preserve">safe, </w:t>
      </w:r>
      <w:r w:rsidR="00DA563B">
        <w:rPr>
          <w:rFonts w:ascii="Calibri" w:hAnsi="Calibri"/>
        </w:rPr>
        <w:t xml:space="preserve">technology neutral option broadening the USO to include data and made available across both fixed and mobile networks. </w:t>
      </w:r>
      <w:r w:rsidR="00776CA0">
        <w:rPr>
          <w:rFonts w:ascii="Calibri" w:hAnsi="Calibri"/>
        </w:rPr>
        <w:t xml:space="preserve"> This </w:t>
      </w:r>
      <w:r w:rsidR="00597636">
        <w:rPr>
          <w:rFonts w:ascii="Calibri" w:hAnsi="Calibri"/>
        </w:rPr>
        <w:t>would then need</w:t>
      </w:r>
      <w:r w:rsidR="00776CA0">
        <w:rPr>
          <w:rFonts w:ascii="Calibri" w:hAnsi="Calibri"/>
        </w:rPr>
        <w:t xml:space="preserve">, say, Telstra being nominated as the universal service provider for both voice and data. </w:t>
      </w:r>
      <w:r w:rsidR="0067582C">
        <w:rPr>
          <w:rFonts w:ascii="Calibri" w:hAnsi="Calibri"/>
        </w:rPr>
        <w:t>Why Telstra? This is the safe option because:</w:t>
      </w:r>
    </w:p>
    <w:p w:rsidR="0067582C" w:rsidRDefault="0067582C" w:rsidP="0067582C">
      <w:pPr>
        <w:pStyle w:val="ListParagraph"/>
        <w:numPr>
          <w:ilvl w:val="0"/>
          <w:numId w:val="35"/>
        </w:numPr>
        <w:rPr>
          <w:rFonts w:ascii="Calibri" w:hAnsi="Calibri"/>
        </w:rPr>
      </w:pPr>
      <w:r>
        <w:rPr>
          <w:rFonts w:ascii="Calibri" w:hAnsi="Calibri"/>
        </w:rPr>
        <w:t xml:space="preserve">It is already nominated as the default </w:t>
      </w:r>
      <w:r w:rsidR="00375E31">
        <w:rPr>
          <w:rFonts w:ascii="Calibri" w:hAnsi="Calibri"/>
        </w:rPr>
        <w:t>voice provider on the NBN</w:t>
      </w:r>
      <w:r w:rsidR="00053D8E">
        <w:rPr>
          <w:rFonts w:ascii="Calibri" w:hAnsi="Calibri"/>
        </w:rPr>
        <w:t xml:space="preserve">. But, in becoming the default retail service provider (RSP) for voice and/or broadband it should </w:t>
      </w:r>
      <w:r w:rsidR="00053D8E" w:rsidRPr="00053D8E">
        <w:rPr>
          <w:rFonts w:ascii="Calibri" w:hAnsi="Calibri"/>
        </w:rPr>
        <w:t>not be constrained to use the NBN if a more efficient alternative is available.</w:t>
      </w:r>
    </w:p>
    <w:p w:rsidR="00375E31" w:rsidRDefault="00053D8E" w:rsidP="0067582C">
      <w:pPr>
        <w:pStyle w:val="ListParagraph"/>
        <w:numPr>
          <w:ilvl w:val="0"/>
          <w:numId w:val="35"/>
        </w:numPr>
        <w:rPr>
          <w:rFonts w:ascii="Calibri" w:hAnsi="Calibri"/>
        </w:rPr>
      </w:pPr>
      <w:r w:rsidRPr="00053D8E">
        <w:rPr>
          <w:rFonts w:ascii="Calibri" w:hAnsi="Calibri"/>
        </w:rPr>
        <w:t xml:space="preserve">Telstra is already a proven universal service provider ticking all the boxes (availability/accessibility/affordability) with respect to voice services. It is easy to see Telstra’s obligations extended to data; which would need the LIMAC safeguards broadened accordingly. This should also include replacing the current definition of standard telephone service with another definition consistent with voice over broadband or mobile.  </w:t>
      </w:r>
    </w:p>
    <w:p w:rsidR="006D5188" w:rsidRPr="00053D8E" w:rsidRDefault="00053D8E" w:rsidP="007F7364">
      <w:pPr>
        <w:pStyle w:val="ListParagraph"/>
        <w:numPr>
          <w:ilvl w:val="0"/>
          <w:numId w:val="35"/>
        </w:numPr>
        <w:rPr>
          <w:rFonts w:ascii="Calibri" w:hAnsi="Calibri"/>
        </w:rPr>
      </w:pPr>
      <w:r w:rsidRPr="00053D8E">
        <w:rPr>
          <w:rFonts w:ascii="Calibri" w:hAnsi="Calibri"/>
        </w:rPr>
        <w:lastRenderedPageBreak/>
        <w:t xml:space="preserve">The previous attempt to make the voice USO contestable failed – there were no takers. The Mobile </w:t>
      </w:r>
      <w:proofErr w:type="spellStart"/>
      <w:r w:rsidRPr="00053D8E">
        <w:rPr>
          <w:rFonts w:ascii="Calibri" w:hAnsi="Calibri"/>
        </w:rPr>
        <w:t>Blackspots</w:t>
      </w:r>
      <w:proofErr w:type="spellEnd"/>
      <w:r w:rsidRPr="00053D8E">
        <w:rPr>
          <w:rFonts w:ascii="Calibri" w:hAnsi="Calibri"/>
        </w:rPr>
        <w:t xml:space="preserve"> programme is contestable but providing new cell sites and towers is much simpler than the expanded USO which will require </w:t>
      </w:r>
      <w:r>
        <w:rPr>
          <w:rFonts w:ascii="Calibri" w:hAnsi="Calibri"/>
        </w:rPr>
        <w:t xml:space="preserve">new </w:t>
      </w:r>
      <w:r w:rsidRPr="00053D8E">
        <w:rPr>
          <w:rFonts w:ascii="Calibri" w:hAnsi="Calibri"/>
        </w:rPr>
        <w:t xml:space="preserve">consumer safeguards. </w:t>
      </w:r>
      <w:r w:rsidR="006D5188" w:rsidRPr="00053D8E">
        <w:rPr>
          <w:rFonts w:ascii="Calibri" w:hAnsi="Calibri"/>
        </w:rPr>
        <w:t xml:space="preserve"> </w:t>
      </w:r>
      <w:r w:rsidRPr="00053D8E">
        <w:rPr>
          <w:rFonts w:ascii="Calibri" w:hAnsi="Calibri"/>
        </w:rPr>
        <w:t xml:space="preserve"> </w:t>
      </w:r>
      <w:r w:rsidR="00986C3B" w:rsidRPr="00053D8E">
        <w:rPr>
          <w:rFonts w:ascii="Calibri" w:hAnsi="Calibri"/>
        </w:rPr>
        <w:t xml:space="preserve"> </w:t>
      </w:r>
      <w:r w:rsidR="00692477" w:rsidRPr="00053D8E">
        <w:rPr>
          <w:rFonts w:ascii="Calibri" w:hAnsi="Calibri"/>
        </w:rPr>
        <w:t xml:space="preserve"> </w:t>
      </w:r>
    </w:p>
    <w:p w:rsidR="00692477" w:rsidRDefault="00692477" w:rsidP="007F7364">
      <w:pPr>
        <w:rPr>
          <w:rFonts w:ascii="Calibri" w:hAnsi="Calibri"/>
        </w:rPr>
      </w:pPr>
      <w:r>
        <w:rPr>
          <w:rFonts w:ascii="Calibri" w:hAnsi="Calibri"/>
        </w:rPr>
        <w:t>Unless Telstra ha</w:t>
      </w:r>
      <w:r w:rsidR="006E74F2">
        <w:rPr>
          <w:rFonts w:ascii="Calibri" w:hAnsi="Calibri"/>
        </w:rPr>
        <w:t>d</w:t>
      </w:r>
      <w:r>
        <w:rPr>
          <w:rFonts w:ascii="Calibri" w:hAnsi="Calibri"/>
        </w:rPr>
        <w:t xml:space="preserve"> to price its social tariff below the floor set by NBN wholesale prices, there should be no need to revisit subsidy arrangements with Telstra; </w:t>
      </w:r>
      <w:r w:rsidR="00053D8E">
        <w:rPr>
          <w:rFonts w:ascii="Calibri" w:hAnsi="Calibri"/>
        </w:rPr>
        <w:t xml:space="preserve">only </w:t>
      </w:r>
      <w:r>
        <w:rPr>
          <w:rFonts w:ascii="Calibri" w:hAnsi="Calibri"/>
        </w:rPr>
        <w:t>the current TUSMA contract for voice over copper would continue. However, if the NBN de-averaged wholesale prices so that prices in the bush are higher, Telstra would be disadvantaged if retail service pricing continues to be uniform geographically. This is because other retail service provide</w:t>
      </w:r>
      <w:r w:rsidR="006E74F2">
        <w:rPr>
          <w:rFonts w:ascii="Calibri" w:hAnsi="Calibri"/>
        </w:rPr>
        <w:t>rs would not have to serve the b</w:t>
      </w:r>
      <w:r>
        <w:rPr>
          <w:rFonts w:ascii="Calibri" w:hAnsi="Calibri"/>
        </w:rPr>
        <w:t>ush</w:t>
      </w:r>
      <w:r w:rsidR="005B6154">
        <w:rPr>
          <w:rFonts w:ascii="Calibri" w:hAnsi="Calibri"/>
        </w:rPr>
        <w:t xml:space="preserve">. </w:t>
      </w:r>
      <w:r w:rsidR="006E74F2">
        <w:rPr>
          <w:rFonts w:ascii="Calibri" w:hAnsi="Calibri"/>
        </w:rPr>
        <w:t xml:space="preserve">It would be </w:t>
      </w:r>
      <w:r w:rsidR="005B6154">
        <w:rPr>
          <w:rFonts w:ascii="Calibri" w:hAnsi="Calibri"/>
        </w:rPr>
        <w:t>better that NBN pricing remains geographically uniform and</w:t>
      </w:r>
      <w:r w:rsidR="006E74F2">
        <w:rPr>
          <w:rFonts w:ascii="Calibri" w:hAnsi="Calibri"/>
        </w:rPr>
        <w:t xml:space="preserve"> is </w:t>
      </w:r>
      <w:r w:rsidR="005B6154">
        <w:rPr>
          <w:rFonts w:ascii="Calibri" w:hAnsi="Calibri"/>
        </w:rPr>
        <w:t xml:space="preserve">supported by the arrangements that the Bureau of Communications Research is to recommend shortly. </w:t>
      </w:r>
    </w:p>
    <w:p w:rsidR="00DA563B" w:rsidRDefault="00A15D50" w:rsidP="007F7364">
      <w:pPr>
        <w:rPr>
          <w:rFonts w:ascii="Calibri" w:hAnsi="Calibri"/>
          <w:lang w:val="en-GB"/>
        </w:rPr>
      </w:pPr>
      <w:r>
        <w:rPr>
          <w:rFonts w:ascii="Calibri" w:hAnsi="Calibri"/>
        </w:rPr>
        <w:t xml:space="preserve"> </w:t>
      </w:r>
      <w:r w:rsidR="00DA563B" w:rsidRPr="003C6F66">
        <w:rPr>
          <w:rFonts w:ascii="Calibri" w:hAnsi="Calibri"/>
        </w:rPr>
        <w:t xml:space="preserve">Again, </w:t>
      </w:r>
      <w:r w:rsidR="006E74F2" w:rsidRPr="003C6F66">
        <w:rPr>
          <w:rFonts w:ascii="Calibri" w:hAnsi="Calibri"/>
        </w:rPr>
        <w:t xml:space="preserve">all </w:t>
      </w:r>
      <w:r w:rsidR="00DA563B" w:rsidRPr="003C6F66">
        <w:rPr>
          <w:rFonts w:ascii="Calibri" w:hAnsi="Calibri"/>
        </w:rPr>
        <w:t xml:space="preserve">the </w:t>
      </w:r>
      <w:r w:rsidR="00053D8E">
        <w:rPr>
          <w:rFonts w:ascii="Calibri" w:hAnsi="Calibri"/>
        </w:rPr>
        <w:t xml:space="preserve">options </w:t>
      </w:r>
      <w:r w:rsidR="00DA563B" w:rsidRPr="003C6F66">
        <w:rPr>
          <w:rFonts w:ascii="Calibri" w:hAnsi="Calibri"/>
        </w:rPr>
        <w:t>above</w:t>
      </w:r>
      <w:r w:rsidR="00DA563B" w:rsidRPr="003C6F66">
        <w:rPr>
          <w:rFonts w:ascii="Calibri" w:hAnsi="Calibri"/>
          <w:lang w:val="en-GB"/>
        </w:rPr>
        <w:t xml:space="preserve"> have to be supplemented with affordability and accessibility</w:t>
      </w:r>
      <w:r w:rsidR="00986C3B">
        <w:rPr>
          <w:rFonts w:ascii="Calibri" w:hAnsi="Calibri"/>
          <w:lang w:val="en-GB"/>
        </w:rPr>
        <w:t xml:space="preserve"> measures</w:t>
      </w:r>
      <w:r w:rsidR="00DA563B" w:rsidRPr="003C6F66">
        <w:rPr>
          <w:rFonts w:ascii="Calibri" w:hAnsi="Calibri"/>
          <w:lang w:val="en-GB"/>
        </w:rPr>
        <w:t>.</w:t>
      </w:r>
    </w:p>
    <w:p w:rsidR="005126D7" w:rsidRDefault="005126D7" w:rsidP="007F7364">
      <w:pPr>
        <w:rPr>
          <w:rFonts w:ascii="Calibri" w:hAnsi="Calibri"/>
          <w:lang w:val="en-GB"/>
        </w:rPr>
      </w:pPr>
    </w:p>
    <w:p w:rsidR="00DA563B" w:rsidRDefault="00DA563B" w:rsidP="00485C6D">
      <w:pPr>
        <w:pStyle w:val="Heading2"/>
      </w:pPr>
      <w:bookmarkStart w:id="21" w:name="_Toc436121946"/>
      <w:r>
        <w:t>4.7</w:t>
      </w:r>
      <w:r>
        <w:tab/>
        <w:t>Best pick options</w:t>
      </w:r>
      <w:bookmarkEnd w:id="21"/>
    </w:p>
    <w:p w:rsidR="00DA563B" w:rsidRDefault="00DA563B" w:rsidP="00485C6D">
      <w:pPr>
        <w:rPr>
          <w:rFonts w:ascii="Calibri" w:hAnsi="Calibri"/>
        </w:rPr>
      </w:pPr>
      <w:r w:rsidRPr="00485C6D">
        <w:rPr>
          <w:rFonts w:ascii="Calibri" w:hAnsi="Calibri"/>
        </w:rPr>
        <w:t xml:space="preserve">The six </w:t>
      </w:r>
      <w:r>
        <w:rPr>
          <w:rFonts w:ascii="Calibri" w:hAnsi="Calibri"/>
        </w:rPr>
        <w:t>options are tested against the uni</w:t>
      </w:r>
      <w:r w:rsidR="005F4FBF">
        <w:rPr>
          <w:rFonts w:ascii="Calibri" w:hAnsi="Calibri"/>
        </w:rPr>
        <w:t xml:space="preserve">versality principles in Figure </w:t>
      </w:r>
      <w:r w:rsidR="003C6F66">
        <w:rPr>
          <w:rFonts w:ascii="Calibri" w:hAnsi="Calibri"/>
        </w:rPr>
        <w:t>7</w:t>
      </w:r>
      <w:r w:rsidR="00CD0A96">
        <w:rPr>
          <w:rFonts w:ascii="Calibri" w:hAnsi="Calibri"/>
        </w:rPr>
        <w:t xml:space="preserve">; where LIMAC safeguards have been extended to mobiles and broadband </w:t>
      </w:r>
      <w:r w:rsidR="00053D8E">
        <w:rPr>
          <w:rFonts w:ascii="Calibri" w:hAnsi="Calibri"/>
        </w:rPr>
        <w:t>in new Low Income Measures</w:t>
      </w:r>
      <w:r>
        <w:rPr>
          <w:rFonts w:ascii="Calibri" w:hAnsi="Calibri"/>
        </w:rPr>
        <w:t xml:space="preserve">. Option 3 (NBN) is the best in terms of availability </w:t>
      </w:r>
      <w:r w:rsidR="005C0585">
        <w:rPr>
          <w:rFonts w:ascii="Calibri" w:hAnsi="Calibri"/>
        </w:rPr>
        <w:t xml:space="preserve">alone </w:t>
      </w:r>
      <w:r>
        <w:rPr>
          <w:rFonts w:ascii="Calibri" w:hAnsi="Calibri"/>
        </w:rPr>
        <w:t>but relies on retail service providers</w:t>
      </w:r>
      <w:r w:rsidR="00FE6404">
        <w:rPr>
          <w:rFonts w:ascii="Calibri" w:hAnsi="Calibri"/>
        </w:rPr>
        <w:t xml:space="preserve"> (RSPs)</w:t>
      </w:r>
      <w:r>
        <w:rPr>
          <w:rFonts w:ascii="Calibri" w:hAnsi="Calibri"/>
        </w:rPr>
        <w:t xml:space="preserve"> for two of the four universality principles and is not helping them at all with affordability. Whatever the RSPs do with the NBN is covered in options 2 and 6.</w:t>
      </w:r>
    </w:p>
    <w:p w:rsidR="00DA563B" w:rsidRDefault="00DA563B" w:rsidP="00485C6D">
      <w:pPr>
        <w:rPr>
          <w:rFonts w:ascii="Calibri" w:hAnsi="Calibri"/>
        </w:rPr>
      </w:pPr>
      <w:r>
        <w:rPr>
          <w:rFonts w:ascii="Calibri" w:hAnsi="Calibri"/>
        </w:rPr>
        <w:t>Option 1 is temporary and limited to voice. So, that can be dismissed along with option 5 which is also voice only.</w:t>
      </w:r>
    </w:p>
    <w:p w:rsidR="003C6F66" w:rsidRDefault="003C6F66" w:rsidP="00485C6D">
      <w:pPr>
        <w:rPr>
          <w:rFonts w:ascii="Calibri" w:hAnsi="Calibri"/>
        </w:rPr>
      </w:pPr>
      <w:r w:rsidRPr="003C6F66">
        <w:rPr>
          <w:rFonts w:ascii="Calibri" w:hAnsi="Calibri"/>
        </w:rPr>
        <w:t>Option 2 (no USO) seems very attractive and is similar in terms of outcomes to options 4 (mobiles) and 6 (</w:t>
      </w:r>
      <w:r w:rsidR="00FE6404">
        <w:rPr>
          <w:rFonts w:ascii="Calibri" w:hAnsi="Calibri"/>
        </w:rPr>
        <w:t>technology neutral</w:t>
      </w:r>
      <w:r w:rsidRPr="003C6F66">
        <w:rPr>
          <w:rFonts w:ascii="Calibri" w:hAnsi="Calibri"/>
        </w:rPr>
        <w:t>) because it would probably be driven by mobiles. In Options 2 and 4 no</w:t>
      </w:r>
      <w:r w:rsidR="00FE6404">
        <w:rPr>
          <w:rFonts w:ascii="Calibri" w:hAnsi="Calibri"/>
        </w:rPr>
        <w:t xml:space="preserve"> </w:t>
      </w:r>
      <w:r w:rsidRPr="003C6F66">
        <w:rPr>
          <w:rFonts w:ascii="Calibri" w:hAnsi="Calibri"/>
        </w:rPr>
        <w:t xml:space="preserve">formal designation of any carrier(s) as the universal service provider(s) is required. The desired outcomes could be achieved through obligations on accessibility and affordability imposed by the ACMA under the Telecommunications Act.  </w:t>
      </w:r>
    </w:p>
    <w:p w:rsidR="00022EAB" w:rsidRDefault="00DA563B" w:rsidP="0048625A">
      <w:pPr>
        <w:keepNext/>
        <w:jc w:val="center"/>
        <w:rPr>
          <w:rFonts w:ascii="Calibri" w:hAnsi="Calibri"/>
          <w:b/>
        </w:rPr>
      </w:pPr>
      <w:r>
        <w:rPr>
          <w:rFonts w:ascii="Calibri" w:hAnsi="Calibri"/>
          <w:b/>
        </w:rPr>
        <w:lastRenderedPageBreak/>
        <w:t xml:space="preserve">Figure </w:t>
      </w:r>
      <w:r w:rsidR="003C6F66">
        <w:rPr>
          <w:rFonts w:ascii="Calibri" w:hAnsi="Calibri"/>
          <w:b/>
        </w:rPr>
        <w:t>7</w:t>
      </w:r>
      <w:r>
        <w:rPr>
          <w:rFonts w:ascii="Calibri" w:hAnsi="Calibri"/>
          <w:b/>
        </w:rPr>
        <w:t xml:space="preserve"> – Comparison of the six options</w:t>
      </w:r>
      <w:r w:rsidR="00022EAB">
        <w:rPr>
          <w:rFonts w:ascii="Calibri" w:hAnsi="Calibri"/>
          <w:b/>
          <w:noProof/>
        </w:rPr>
        <w:drawing>
          <wp:inline distT="0" distB="0" distL="0" distR="0" wp14:anchorId="475F4114" wp14:editId="2C506433">
            <wp:extent cx="4834045" cy="362570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4716" cy="3626206"/>
                    </a:xfrm>
                    <a:prstGeom prst="rect">
                      <a:avLst/>
                    </a:prstGeom>
                    <a:noFill/>
                  </pic:spPr>
                </pic:pic>
              </a:graphicData>
            </a:graphic>
          </wp:inline>
        </w:drawing>
      </w:r>
    </w:p>
    <w:p w:rsidR="00DA563B" w:rsidRPr="00F62D6B" w:rsidRDefault="00DA563B" w:rsidP="00F62D6B">
      <w:r>
        <w:rPr>
          <w:rFonts w:ascii="Calibri" w:eastAsia="MS Gothic" w:hAnsi="Calibri"/>
          <w:szCs w:val="22"/>
        </w:rPr>
        <w:t>Source: The author</w:t>
      </w:r>
    </w:p>
    <w:p w:rsidR="00DA563B" w:rsidRDefault="00DA563B" w:rsidP="008B3C19">
      <w:pPr>
        <w:pStyle w:val="Heading1"/>
      </w:pPr>
      <w:bookmarkStart w:id="22" w:name="_Toc436121947"/>
      <w:r>
        <w:lastRenderedPageBreak/>
        <w:t>References</w:t>
      </w:r>
      <w:bookmarkEnd w:id="22"/>
    </w:p>
    <w:p w:rsidR="00DA563B" w:rsidRDefault="00DA563B" w:rsidP="00CA24D7">
      <w:r>
        <w:rPr>
          <w:rFonts w:ascii="Calibri" w:hAnsi="Calibri"/>
          <w:szCs w:val="22"/>
        </w:rPr>
        <w:t xml:space="preserve">ACCC (2015) </w:t>
      </w:r>
      <w:r w:rsidRPr="00EE4D85">
        <w:rPr>
          <w:i/>
        </w:rPr>
        <w:t>Changes in the prices paid for telecommunications services in Australia 2013-14</w:t>
      </w:r>
      <w:r>
        <w:rPr>
          <w:i/>
        </w:rPr>
        <w:t xml:space="preserve"> </w:t>
      </w:r>
      <w:hyperlink r:id="rId65" w:history="1">
        <w:r w:rsidRPr="007078F3">
          <w:rPr>
            <w:rStyle w:val="Hyperlink"/>
          </w:rPr>
          <w:t>http://www.accc.gov.au/system/files/906_ACCC%20Telecommunications%20reports%202013%E2%80%9314_web_2-June-2015.pdf</w:t>
        </w:r>
      </w:hyperlink>
    </w:p>
    <w:p w:rsidR="00DA563B" w:rsidRPr="00923CB3" w:rsidRDefault="00DA563B" w:rsidP="00CA24D7">
      <w:pPr>
        <w:rPr>
          <w:rFonts w:ascii="Calibri" w:hAnsi="Calibri"/>
          <w:szCs w:val="22"/>
        </w:rPr>
      </w:pPr>
      <w:r w:rsidRPr="00923CB3">
        <w:rPr>
          <w:rFonts w:ascii="Calibri" w:hAnsi="Calibri"/>
          <w:szCs w:val="22"/>
        </w:rPr>
        <w:t xml:space="preserve">ACCC (2015b) </w:t>
      </w:r>
      <w:r w:rsidRPr="00923CB3">
        <w:rPr>
          <w:rFonts w:ascii="Calibri" w:hAnsi="Calibri"/>
          <w:i/>
          <w:szCs w:val="22"/>
        </w:rPr>
        <w:t>Draft FAD, Fixed line Services Review,</w:t>
      </w:r>
      <w:r w:rsidRPr="00923CB3">
        <w:rPr>
          <w:rFonts w:ascii="Calibri" w:hAnsi="Calibri"/>
          <w:szCs w:val="22"/>
        </w:rPr>
        <w:t xml:space="preserve"> </w:t>
      </w:r>
      <w:hyperlink r:id="rId66" w:history="1">
        <w:r w:rsidRPr="00923CB3">
          <w:rPr>
            <w:rStyle w:val="Hyperlink"/>
            <w:rFonts w:ascii="Calibri" w:hAnsi="Calibri"/>
            <w:szCs w:val="22"/>
          </w:rPr>
          <w:t>http://www.accc.gov.au/system/files/ACCC%20FSR%20FAD%20Further%20Draft%20Decision%20-%20Public%20Version_1_0.pdf</w:t>
        </w:r>
      </w:hyperlink>
    </w:p>
    <w:p w:rsidR="00DA563B" w:rsidRDefault="00DA563B" w:rsidP="008B3C19">
      <w:pPr>
        <w:rPr>
          <w:rFonts w:ascii="Calibri" w:hAnsi="Calibri"/>
          <w:szCs w:val="22"/>
        </w:rPr>
      </w:pPr>
      <w:r>
        <w:rPr>
          <w:rFonts w:ascii="Calibri" w:hAnsi="Calibri"/>
          <w:szCs w:val="22"/>
        </w:rPr>
        <w:t xml:space="preserve">ACMA (2015) </w:t>
      </w:r>
      <w:hyperlink r:id="rId67" w:history="1">
        <w:r w:rsidRPr="00FF6D35">
          <w:rPr>
            <w:rStyle w:val="Hyperlink"/>
            <w:rFonts w:ascii="Calibri" w:hAnsi="Calibri"/>
            <w:i/>
            <w:szCs w:val="22"/>
          </w:rPr>
          <w:t>Australians get mobile</w:t>
        </w:r>
      </w:hyperlink>
      <w:r>
        <w:rPr>
          <w:rFonts w:ascii="Calibri" w:hAnsi="Calibri"/>
          <w:szCs w:val="22"/>
        </w:rPr>
        <w:t xml:space="preserve"> </w:t>
      </w:r>
    </w:p>
    <w:p w:rsidR="00DA563B" w:rsidRPr="00FF6D35" w:rsidRDefault="00DA563B" w:rsidP="008B3C19">
      <w:pPr>
        <w:rPr>
          <w:rFonts w:ascii="Calibri" w:hAnsi="Calibri"/>
          <w:i/>
          <w:szCs w:val="22"/>
        </w:rPr>
      </w:pPr>
      <w:r>
        <w:rPr>
          <w:rFonts w:ascii="Calibri" w:hAnsi="Calibri"/>
          <w:szCs w:val="22"/>
        </w:rPr>
        <w:t xml:space="preserve">ACMA (2015) </w:t>
      </w:r>
      <w:hyperlink r:id="rId68" w:history="1">
        <w:r w:rsidRPr="00FF6D35">
          <w:rPr>
            <w:rStyle w:val="Hyperlink"/>
            <w:rFonts w:ascii="Calibri" w:hAnsi="Calibri"/>
            <w:i/>
            <w:szCs w:val="22"/>
          </w:rPr>
          <w:t>The Aussie VoIP evolution</w:t>
        </w:r>
      </w:hyperlink>
    </w:p>
    <w:p w:rsidR="00DA563B" w:rsidRPr="00FF6D35" w:rsidRDefault="00DA563B" w:rsidP="008B3C19">
      <w:pPr>
        <w:rPr>
          <w:rFonts w:ascii="Calibri" w:hAnsi="Calibri"/>
          <w:i/>
          <w:szCs w:val="22"/>
        </w:rPr>
      </w:pPr>
      <w:r>
        <w:rPr>
          <w:rFonts w:ascii="Calibri" w:hAnsi="Calibri"/>
          <w:szCs w:val="22"/>
        </w:rPr>
        <w:t xml:space="preserve">ACMA (2013) </w:t>
      </w:r>
      <w:r w:rsidRPr="00FF6D35">
        <w:rPr>
          <w:rFonts w:ascii="Calibri" w:hAnsi="Calibri"/>
          <w:i/>
          <w:szCs w:val="22"/>
        </w:rPr>
        <w:t>Connected Citizens: A regulatory strategy for the networked society and information economy.</w:t>
      </w:r>
    </w:p>
    <w:p w:rsidR="00DA563B" w:rsidRPr="00FF6D35" w:rsidRDefault="00DA563B" w:rsidP="008B3C19">
      <w:pPr>
        <w:rPr>
          <w:rFonts w:ascii="Calibri" w:hAnsi="Calibri"/>
          <w:i/>
          <w:szCs w:val="22"/>
        </w:rPr>
      </w:pPr>
      <w:r w:rsidRPr="00CA7AF7">
        <w:rPr>
          <w:rFonts w:ascii="Calibri" w:hAnsi="Calibri"/>
          <w:szCs w:val="22"/>
        </w:rPr>
        <w:t>Australian</w:t>
      </w:r>
      <w:r>
        <w:rPr>
          <w:rFonts w:ascii="Calibri" w:hAnsi="Calibri"/>
          <w:szCs w:val="22"/>
        </w:rPr>
        <w:t xml:space="preserve"> Governmen</w:t>
      </w:r>
      <w:r w:rsidR="00816D5B">
        <w:rPr>
          <w:rFonts w:ascii="Calibri" w:hAnsi="Calibri"/>
          <w:szCs w:val="22"/>
        </w:rPr>
        <w:t xml:space="preserve">t (2013) Department of Communications, </w:t>
      </w:r>
      <w:r w:rsidRPr="00FF6D35">
        <w:rPr>
          <w:rFonts w:ascii="Calibri" w:hAnsi="Calibri"/>
          <w:i/>
          <w:szCs w:val="22"/>
        </w:rPr>
        <w:t>Broadband Availability and Quality Report</w:t>
      </w:r>
    </w:p>
    <w:p w:rsidR="00DA563B" w:rsidRDefault="00DA563B" w:rsidP="008B3C19">
      <w:pPr>
        <w:rPr>
          <w:rFonts w:ascii="Calibri" w:hAnsi="Calibri"/>
          <w:szCs w:val="22"/>
        </w:rPr>
      </w:pPr>
      <w:r>
        <w:rPr>
          <w:rFonts w:ascii="Calibri" w:hAnsi="Calibri"/>
          <w:szCs w:val="22"/>
        </w:rPr>
        <w:t xml:space="preserve">Australian Government </w:t>
      </w:r>
      <w:r w:rsidR="00816D5B">
        <w:rPr>
          <w:rFonts w:ascii="Calibri" w:hAnsi="Calibri"/>
          <w:szCs w:val="22"/>
        </w:rPr>
        <w:t xml:space="preserve">(2015) </w:t>
      </w:r>
      <w:r>
        <w:rPr>
          <w:rFonts w:ascii="Calibri" w:hAnsi="Calibri"/>
          <w:szCs w:val="22"/>
        </w:rPr>
        <w:t>Reg</w:t>
      </w:r>
      <w:r w:rsidR="00816D5B">
        <w:rPr>
          <w:rFonts w:ascii="Calibri" w:hAnsi="Calibri"/>
          <w:szCs w:val="22"/>
        </w:rPr>
        <w:t xml:space="preserve">ional Telecommunications Review </w:t>
      </w:r>
      <w:r w:rsidRPr="00FF6D35">
        <w:rPr>
          <w:rFonts w:ascii="Calibri" w:hAnsi="Calibri"/>
          <w:i/>
          <w:szCs w:val="22"/>
        </w:rPr>
        <w:t>Consultation</w:t>
      </w:r>
    </w:p>
    <w:p w:rsidR="00DA563B" w:rsidRDefault="00816D5B" w:rsidP="008B3C19">
      <w:pPr>
        <w:rPr>
          <w:rFonts w:ascii="Calibri" w:hAnsi="Calibri"/>
          <w:szCs w:val="22"/>
        </w:rPr>
      </w:pPr>
      <w:r>
        <w:rPr>
          <w:rFonts w:ascii="Calibri" w:hAnsi="Calibri"/>
          <w:szCs w:val="22"/>
        </w:rPr>
        <w:t xml:space="preserve">Australian Government (2014) </w:t>
      </w:r>
      <w:hyperlink r:id="rId69" w:history="1">
        <w:r w:rsidR="00DA563B" w:rsidRPr="00FF6D35">
          <w:rPr>
            <w:rStyle w:val="Hyperlink"/>
            <w:rFonts w:ascii="Calibri" w:hAnsi="Calibri"/>
            <w:i/>
            <w:szCs w:val="22"/>
          </w:rPr>
          <w:t>Statement of Expectations</w:t>
        </w:r>
      </w:hyperlink>
      <w:r w:rsidR="00DA563B">
        <w:rPr>
          <w:rFonts w:ascii="Calibri" w:hAnsi="Calibri"/>
          <w:szCs w:val="22"/>
        </w:rPr>
        <w:t xml:space="preserve"> </w:t>
      </w:r>
    </w:p>
    <w:p w:rsidR="00DA563B" w:rsidRDefault="00DA563B" w:rsidP="008B3C19">
      <w:pPr>
        <w:rPr>
          <w:rFonts w:ascii="Calibri" w:hAnsi="Calibri"/>
          <w:i/>
          <w:iCs/>
          <w:szCs w:val="22"/>
        </w:rPr>
      </w:pPr>
      <w:r>
        <w:rPr>
          <w:rFonts w:ascii="Calibri" w:hAnsi="Calibri"/>
          <w:szCs w:val="22"/>
        </w:rPr>
        <w:t xml:space="preserve">Corbin, Teresa (2015) </w:t>
      </w:r>
      <w:r w:rsidRPr="00FF6D35">
        <w:rPr>
          <w:rFonts w:ascii="Calibri" w:hAnsi="Calibri"/>
          <w:bCs/>
          <w:i/>
          <w:szCs w:val="22"/>
        </w:rPr>
        <w:t>The Future of the USO in a Multi Technology Environment</w:t>
      </w:r>
      <w:r>
        <w:rPr>
          <w:rFonts w:ascii="Calibri" w:hAnsi="Calibri"/>
          <w:bCs/>
          <w:szCs w:val="22"/>
        </w:rPr>
        <w:t xml:space="preserve">; talk to </w:t>
      </w:r>
      <w:proofErr w:type="spellStart"/>
      <w:r w:rsidRPr="00F83575">
        <w:rPr>
          <w:rFonts w:ascii="Calibri" w:hAnsi="Calibri"/>
          <w:i/>
          <w:iCs/>
          <w:szCs w:val="22"/>
        </w:rPr>
        <w:t>Comms</w:t>
      </w:r>
      <w:proofErr w:type="spellEnd"/>
      <w:r w:rsidRPr="00F83575">
        <w:rPr>
          <w:rFonts w:ascii="Calibri" w:hAnsi="Calibri"/>
          <w:i/>
          <w:iCs/>
          <w:szCs w:val="22"/>
        </w:rPr>
        <w:t xml:space="preserve"> Day </w:t>
      </w:r>
      <w:r w:rsidRPr="0067504B">
        <w:rPr>
          <w:rFonts w:ascii="Calibri" w:hAnsi="Calibri"/>
          <w:iCs/>
          <w:szCs w:val="22"/>
        </w:rPr>
        <w:t>20</w:t>
      </w:r>
      <w:r w:rsidRPr="0067504B">
        <w:rPr>
          <w:rFonts w:ascii="Calibri" w:hAnsi="Calibri"/>
          <w:iCs/>
          <w:szCs w:val="22"/>
          <w:vertAlign w:val="superscript"/>
        </w:rPr>
        <w:t>th</w:t>
      </w:r>
      <w:r w:rsidRPr="0067504B">
        <w:rPr>
          <w:rFonts w:ascii="Calibri" w:hAnsi="Calibri"/>
          <w:iCs/>
          <w:szCs w:val="22"/>
        </w:rPr>
        <w:t xml:space="preserve"> April 2015</w:t>
      </w:r>
      <w:r w:rsidRPr="00F83575">
        <w:rPr>
          <w:rFonts w:ascii="Calibri" w:hAnsi="Calibri"/>
          <w:i/>
          <w:iCs/>
          <w:szCs w:val="22"/>
        </w:rPr>
        <w:t xml:space="preserve"> </w:t>
      </w:r>
    </w:p>
    <w:p w:rsidR="00DA563B" w:rsidRPr="00EB2E94" w:rsidRDefault="00DA563B" w:rsidP="008B3C19">
      <w:pPr>
        <w:rPr>
          <w:rFonts w:ascii="Calibri" w:hAnsi="Calibri"/>
          <w:iCs/>
          <w:szCs w:val="22"/>
        </w:rPr>
      </w:pPr>
      <w:r>
        <w:rPr>
          <w:rFonts w:ascii="Calibri" w:hAnsi="Calibri"/>
          <w:iCs/>
          <w:szCs w:val="22"/>
        </w:rPr>
        <w:t xml:space="preserve">Coutts, </w:t>
      </w:r>
      <w:proofErr w:type="spellStart"/>
      <w:r>
        <w:rPr>
          <w:rFonts w:ascii="Calibri" w:hAnsi="Calibri"/>
          <w:iCs/>
          <w:szCs w:val="22"/>
        </w:rPr>
        <w:t>Reg</w:t>
      </w:r>
      <w:proofErr w:type="spellEnd"/>
      <w:r>
        <w:rPr>
          <w:rFonts w:ascii="Calibri" w:hAnsi="Calibri"/>
          <w:iCs/>
          <w:szCs w:val="22"/>
        </w:rPr>
        <w:t xml:space="preserve"> (2015) Better telecommunications services for all Australians: Rethinking the USO</w:t>
      </w:r>
    </w:p>
    <w:p w:rsidR="00DA563B" w:rsidRDefault="00DA563B" w:rsidP="008B3C19">
      <w:pPr>
        <w:rPr>
          <w:rFonts w:ascii="Calibri" w:hAnsi="Calibri"/>
          <w:szCs w:val="22"/>
        </w:rPr>
      </w:pPr>
      <w:r>
        <w:rPr>
          <w:rFonts w:ascii="Calibri" w:hAnsi="Calibri"/>
          <w:szCs w:val="22"/>
        </w:rPr>
        <w:t xml:space="preserve">De Ridder, J. (2015) </w:t>
      </w:r>
      <w:hyperlink r:id="rId70" w:history="1">
        <w:r w:rsidRPr="00FF6D35">
          <w:rPr>
            <w:rStyle w:val="Hyperlink"/>
            <w:rFonts w:ascii="Calibri" w:hAnsi="Calibri"/>
            <w:i/>
            <w:szCs w:val="22"/>
          </w:rPr>
          <w:t>Submission to the Bureau of Communications Research</w:t>
        </w:r>
      </w:hyperlink>
      <w:r>
        <w:rPr>
          <w:rFonts w:ascii="Calibri" w:hAnsi="Calibri"/>
          <w:szCs w:val="22"/>
        </w:rPr>
        <w:t xml:space="preserve">, </w:t>
      </w:r>
      <w:r w:rsidRPr="00EC5C1C">
        <w:rPr>
          <w:rFonts w:ascii="Calibri" w:hAnsi="Calibri"/>
          <w:szCs w:val="22"/>
        </w:rPr>
        <w:t>NBN Funding Options Consultation Paper</w:t>
      </w:r>
    </w:p>
    <w:p w:rsidR="00DA563B" w:rsidRDefault="00DA563B" w:rsidP="008B3C19">
      <w:pPr>
        <w:rPr>
          <w:rFonts w:ascii="Calibri" w:hAnsi="Calibri"/>
          <w:szCs w:val="22"/>
        </w:rPr>
      </w:pPr>
      <w:r>
        <w:rPr>
          <w:rFonts w:ascii="Calibri" w:hAnsi="Calibri"/>
          <w:szCs w:val="22"/>
        </w:rPr>
        <w:t xml:space="preserve">De Ridder, J. and James R. (2014) </w:t>
      </w:r>
      <w:hyperlink r:id="rId71" w:history="1">
        <w:r w:rsidRPr="00BA3DB3">
          <w:rPr>
            <w:rStyle w:val="Hyperlink"/>
            <w:rFonts w:ascii="Calibri" w:hAnsi="Calibri"/>
            <w:i/>
            <w:iCs/>
            <w:szCs w:val="22"/>
          </w:rPr>
          <w:t>Affordable retail pricing on the NBN</w:t>
        </w:r>
      </w:hyperlink>
      <w:r w:rsidRPr="004957FC">
        <w:rPr>
          <w:rFonts w:ascii="Calibri" w:hAnsi="Calibri"/>
          <w:szCs w:val="22"/>
        </w:rPr>
        <w:t xml:space="preserve">. Australian Journal of Telecommunications and the Digital Economy, </w:t>
      </w:r>
      <w:proofErr w:type="spellStart"/>
      <w:r w:rsidRPr="004957FC">
        <w:rPr>
          <w:rFonts w:ascii="Calibri" w:hAnsi="Calibri"/>
          <w:szCs w:val="22"/>
        </w:rPr>
        <w:t>Vol</w:t>
      </w:r>
      <w:proofErr w:type="spellEnd"/>
      <w:r w:rsidRPr="004957FC">
        <w:rPr>
          <w:rFonts w:ascii="Calibri" w:hAnsi="Calibri"/>
          <w:szCs w:val="22"/>
        </w:rPr>
        <w:t xml:space="preserve"> 1, No 1, Article 5. </w:t>
      </w:r>
      <w:hyperlink r:id="rId72" w:tgtFrame="_blank" w:history="1"/>
      <w:r>
        <w:rPr>
          <w:rStyle w:val="Hyperlink"/>
          <w:rFonts w:ascii="Calibri" w:hAnsi="Calibri"/>
          <w:szCs w:val="22"/>
        </w:rPr>
        <w:t xml:space="preserve"> </w:t>
      </w:r>
    </w:p>
    <w:p w:rsidR="00DA563B" w:rsidRDefault="00DA563B" w:rsidP="008B3C19">
      <w:pPr>
        <w:rPr>
          <w:rFonts w:ascii="Calibri" w:hAnsi="Calibri"/>
          <w:szCs w:val="22"/>
        </w:rPr>
      </w:pPr>
      <w:proofErr w:type="spellStart"/>
      <w:r w:rsidRPr="00EA521D">
        <w:rPr>
          <w:rFonts w:ascii="Calibri" w:hAnsi="Calibri"/>
          <w:szCs w:val="22"/>
        </w:rPr>
        <w:t>Eardsley</w:t>
      </w:r>
      <w:proofErr w:type="spellEnd"/>
      <w:r w:rsidRPr="00EA521D">
        <w:rPr>
          <w:rFonts w:ascii="Calibri" w:hAnsi="Calibri"/>
          <w:szCs w:val="22"/>
        </w:rPr>
        <w:t xml:space="preserve">, A. (2009). </w:t>
      </w:r>
      <w:hyperlink r:id="rId73" w:history="1">
        <w:r w:rsidRPr="00BA3DB3">
          <w:rPr>
            <w:rStyle w:val="Hyperlink"/>
            <w:rFonts w:ascii="Calibri" w:hAnsi="Calibri"/>
            <w:i/>
            <w:iCs/>
            <w:szCs w:val="22"/>
          </w:rPr>
          <w:t>Telecommunications and Community Wellbeing: A review of the literature on access and affordability for low-income and disadvantaged groups</w:t>
        </w:r>
      </w:hyperlink>
      <w:r w:rsidRPr="00EA521D">
        <w:rPr>
          <w:rFonts w:ascii="Calibri" w:hAnsi="Calibri"/>
          <w:i/>
          <w:iCs/>
          <w:szCs w:val="22"/>
        </w:rPr>
        <w:t xml:space="preserve">. </w:t>
      </w:r>
      <w:r w:rsidRPr="00EA521D">
        <w:rPr>
          <w:rFonts w:ascii="Calibri" w:hAnsi="Calibri"/>
          <w:szCs w:val="22"/>
        </w:rPr>
        <w:t>Final report for the Telstra Low Income Measures Assessment Committee (LIMAC). Sydney: Social Policy Research Centre and Journalism and Media Research Centre, University of New South Wales.</w:t>
      </w:r>
      <w:r>
        <w:rPr>
          <w:rFonts w:ascii="Calibri" w:hAnsi="Calibri"/>
          <w:szCs w:val="22"/>
        </w:rPr>
        <w:t xml:space="preserve"> </w:t>
      </w:r>
      <w:r w:rsidR="00C6590E">
        <w:fldChar w:fldCharType="begin"/>
      </w:r>
      <w:r w:rsidR="00C6590E">
        <w:instrText xml:space="preserve"> HYPERLINK "https://www.dropbox.com/s/l70pwgr48barwzm/2009EardleyGogginReport9_09_Telecommunications_Community_Wellbeing.rtf?dl=0" </w:instrText>
      </w:r>
      <w:r w:rsidR="00C6590E">
        <w:fldChar w:fldCharType="separate"/>
      </w:r>
      <w:r w:rsidR="00C6590E">
        <w:fldChar w:fldCharType="end"/>
      </w:r>
      <w:r>
        <w:rPr>
          <w:rStyle w:val="Hyperlink"/>
          <w:rFonts w:ascii="Calibri" w:hAnsi="Calibri"/>
          <w:szCs w:val="22"/>
        </w:rPr>
        <w:t xml:space="preserve"> </w:t>
      </w:r>
      <w:r>
        <w:rPr>
          <w:rFonts w:ascii="Calibri" w:hAnsi="Calibri"/>
          <w:szCs w:val="22"/>
        </w:rPr>
        <w:t xml:space="preserve"> </w:t>
      </w:r>
    </w:p>
    <w:p w:rsidR="00DA563B" w:rsidRDefault="00C6590E" w:rsidP="00C61912">
      <w:r>
        <w:fldChar w:fldCharType="begin"/>
      </w:r>
      <w:r>
        <w:instrText xml:space="preserve"> HYPERLINK "http://dx.doi.org/10.1108/14636</w:instrText>
      </w:r>
      <w:r>
        <w:instrText xml:space="preserve">690810904661" </w:instrText>
      </w:r>
      <w:r>
        <w:fldChar w:fldCharType="separate"/>
      </w:r>
      <w:r>
        <w:fldChar w:fldCharType="end"/>
      </w:r>
      <w:r w:rsidR="00DA563B" w:rsidRPr="00C61912">
        <w:rPr>
          <w:rFonts w:ascii="Calibri" w:hAnsi="Calibri"/>
          <w:szCs w:val="22"/>
        </w:rPr>
        <w:t>E</w:t>
      </w:r>
      <w:r w:rsidR="00816D5B">
        <w:rPr>
          <w:rFonts w:ascii="Calibri" w:hAnsi="Calibri"/>
          <w:szCs w:val="22"/>
        </w:rPr>
        <w:t xml:space="preserve">uropean </w:t>
      </w:r>
      <w:r w:rsidR="00DA563B" w:rsidRPr="00C61912">
        <w:rPr>
          <w:rFonts w:ascii="Calibri" w:hAnsi="Calibri"/>
          <w:szCs w:val="22"/>
        </w:rPr>
        <w:t>C</w:t>
      </w:r>
      <w:r w:rsidR="00816D5B">
        <w:rPr>
          <w:rFonts w:ascii="Calibri" w:hAnsi="Calibri"/>
          <w:szCs w:val="22"/>
        </w:rPr>
        <w:t>ommission</w:t>
      </w:r>
      <w:r w:rsidR="00DA563B" w:rsidRPr="00C61912">
        <w:rPr>
          <w:rFonts w:ascii="Calibri" w:hAnsi="Calibri"/>
          <w:szCs w:val="22"/>
        </w:rPr>
        <w:t xml:space="preserve"> (2005), </w:t>
      </w:r>
      <w:hyperlink r:id="rId74" w:history="1">
        <w:r w:rsidR="00DA563B" w:rsidRPr="00FF6D35">
          <w:rPr>
            <w:rStyle w:val="Hyperlink"/>
            <w:rFonts w:ascii="Calibri" w:hAnsi="Calibri"/>
            <w:i/>
            <w:szCs w:val="22"/>
          </w:rPr>
          <w:t>On the Review of the Scope of Universal Service</w:t>
        </w:r>
      </w:hyperlink>
      <w:r w:rsidR="00DA563B" w:rsidRPr="00FF6D35">
        <w:rPr>
          <w:rFonts w:ascii="Calibri" w:hAnsi="Calibri"/>
          <w:i/>
          <w:szCs w:val="22"/>
        </w:rPr>
        <w:t xml:space="preserve"> </w:t>
      </w:r>
      <w:r w:rsidR="00DA563B" w:rsidRPr="00C61912">
        <w:rPr>
          <w:rFonts w:ascii="Calibri" w:hAnsi="Calibri"/>
          <w:szCs w:val="22"/>
        </w:rPr>
        <w:t>in Accordance with Article 15 of Directive</w:t>
      </w:r>
      <w:r w:rsidR="00816D5B">
        <w:rPr>
          <w:rFonts w:ascii="Calibri" w:hAnsi="Calibri"/>
          <w:szCs w:val="22"/>
        </w:rPr>
        <w:t xml:space="preserve"> </w:t>
      </w:r>
      <w:r w:rsidR="00DA563B" w:rsidRPr="00C61912">
        <w:rPr>
          <w:rFonts w:ascii="Calibri" w:hAnsi="Calibri"/>
          <w:szCs w:val="22"/>
        </w:rPr>
        <w:t xml:space="preserve">2002/22/EC, </w:t>
      </w:r>
      <w:proofErr w:type="gramStart"/>
      <w:r w:rsidR="00DA563B" w:rsidRPr="00C61912">
        <w:rPr>
          <w:rFonts w:ascii="Calibri" w:hAnsi="Calibri"/>
          <w:szCs w:val="22"/>
        </w:rPr>
        <w:t>COM(</w:t>
      </w:r>
      <w:proofErr w:type="gramEnd"/>
      <w:r w:rsidR="00DA563B" w:rsidRPr="00C61912">
        <w:rPr>
          <w:rFonts w:ascii="Calibri" w:hAnsi="Calibri"/>
          <w:szCs w:val="22"/>
        </w:rPr>
        <w:t>2005) 203, May, European Commission, Brussels.</w:t>
      </w:r>
      <w:r w:rsidR="00DA563B" w:rsidRPr="00BC08B6">
        <w:t xml:space="preserve"> </w:t>
      </w:r>
      <w:r w:rsidR="00DA563B">
        <w:t xml:space="preserve"> </w:t>
      </w:r>
    </w:p>
    <w:p w:rsidR="00816D5B" w:rsidRPr="00A715FD" w:rsidRDefault="00816D5B" w:rsidP="00816D5B">
      <w:pPr>
        <w:rPr>
          <w:rFonts w:ascii="Calibri" w:hAnsi="Calibri"/>
          <w:szCs w:val="22"/>
        </w:rPr>
      </w:pPr>
      <w:proofErr w:type="spellStart"/>
      <w:r w:rsidRPr="00A715FD">
        <w:rPr>
          <w:rFonts w:ascii="Calibri" w:hAnsi="Calibri"/>
          <w:szCs w:val="22"/>
        </w:rPr>
        <w:t>Feijoo</w:t>
      </w:r>
      <w:proofErr w:type="spellEnd"/>
      <w:r>
        <w:rPr>
          <w:rFonts w:ascii="Calibri" w:hAnsi="Calibri"/>
          <w:szCs w:val="22"/>
        </w:rPr>
        <w:t>, C. and</w:t>
      </w:r>
      <w:r w:rsidRPr="00A715FD">
        <w:rPr>
          <w:rFonts w:ascii="Calibri" w:hAnsi="Calibri"/>
          <w:szCs w:val="22"/>
        </w:rPr>
        <w:t xml:space="preserve"> Milne</w:t>
      </w:r>
      <w:r>
        <w:rPr>
          <w:rFonts w:ascii="Calibri" w:hAnsi="Calibri"/>
          <w:szCs w:val="22"/>
        </w:rPr>
        <w:t>, C.</w:t>
      </w:r>
      <w:r w:rsidRPr="00A715FD">
        <w:rPr>
          <w:rFonts w:ascii="Calibri" w:hAnsi="Calibri"/>
          <w:szCs w:val="22"/>
        </w:rPr>
        <w:t xml:space="preserve"> (2008),"</w:t>
      </w:r>
      <w:hyperlink r:id="rId75" w:history="1">
        <w:r w:rsidRPr="00BA3DB3">
          <w:rPr>
            <w:rStyle w:val="Hyperlink"/>
            <w:rFonts w:ascii="Calibri" w:hAnsi="Calibri"/>
            <w:i/>
            <w:szCs w:val="22"/>
          </w:rPr>
          <w:t>Re-thinking universal service policy for the digital era: setting the scene – an introduction to the special issue on universal service</w:t>
        </w:r>
      </w:hyperlink>
      <w:r w:rsidRPr="00A715FD">
        <w:rPr>
          <w:rFonts w:ascii="Calibri" w:hAnsi="Calibri"/>
          <w:szCs w:val="22"/>
        </w:rPr>
        <w:t xml:space="preserve">", info, Vol. 10 </w:t>
      </w:r>
      <w:proofErr w:type="spellStart"/>
      <w:r w:rsidRPr="00A715FD">
        <w:rPr>
          <w:rFonts w:ascii="Calibri" w:hAnsi="Calibri"/>
          <w:szCs w:val="22"/>
        </w:rPr>
        <w:t>Iss</w:t>
      </w:r>
      <w:proofErr w:type="spellEnd"/>
      <w:r w:rsidRPr="00A715FD">
        <w:rPr>
          <w:rFonts w:ascii="Calibri" w:hAnsi="Calibri"/>
          <w:szCs w:val="22"/>
        </w:rPr>
        <w:t xml:space="preserve"> 5/6 pp. 4 - 11</w:t>
      </w:r>
    </w:p>
    <w:p w:rsidR="00DA563B" w:rsidRDefault="00DA563B" w:rsidP="008B3C19">
      <w:pPr>
        <w:rPr>
          <w:rFonts w:ascii="Calibri" w:hAnsi="Calibri"/>
          <w:szCs w:val="22"/>
        </w:rPr>
      </w:pPr>
      <w:proofErr w:type="spellStart"/>
      <w:r>
        <w:rPr>
          <w:rFonts w:ascii="Calibri" w:hAnsi="Calibri"/>
          <w:szCs w:val="22"/>
        </w:rPr>
        <w:t>Goggin</w:t>
      </w:r>
      <w:proofErr w:type="spellEnd"/>
      <w:r>
        <w:rPr>
          <w:rFonts w:ascii="Calibri" w:hAnsi="Calibri"/>
          <w:szCs w:val="22"/>
        </w:rPr>
        <w:t xml:space="preserve">, Gerard (2010) for ACCAN, </w:t>
      </w:r>
      <w:r w:rsidRPr="00FF6D35">
        <w:rPr>
          <w:rFonts w:ascii="Calibri" w:hAnsi="Calibri"/>
          <w:i/>
          <w:szCs w:val="22"/>
        </w:rPr>
        <w:t>Realising Universal Communications</w:t>
      </w:r>
    </w:p>
    <w:p w:rsidR="00DA563B" w:rsidRPr="00EC5C1C" w:rsidRDefault="00DA563B" w:rsidP="008B3C19">
      <w:pPr>
        <w:rPr>
          <w:rFonts w:ascii="Calibri" w:hAnsi="Calibri"/>
          <w:szCs w:val="22"/>
        </w:rPr>
      </w:pPr>
      <w:r>
        <w:rPr>
          <w:rFonts w:ascii="Calibri" w:hAnsi="Calibri"/>
          <w:szCs w:val="22"/>
        </w:rPr>
        <w:t xml:space="preserve">Hawkins, W. and </w:t>
      </w:r>
      <w:proofErr w:type="spellStart"/>
      <w:r>
        <w:rPr>
          <w:rFonts w:ascii="Calibri" w:hAnsi="Calibri"/>
          <w:szCs w:val="22"/>
        </w:rPr>
        <w:t>Pavlidis</w:t>
      </w:r>
      <w:proofErr w:type="spellEnd"/>
      <w:r>
        <w:rPr>
          <w:rFonts w:ascii="Calibri" w:hAnsi="Calibri"/>
          <w:szCs w:val="22"/>
        </w:rPr>
        <w:t xml:space="preserve">, K. (2015) </w:t>
      </w:r>
      <w:r w:rsidRPr="00FF6D35">
        <w:rPr>
          <w:rFonts w:ascii="Calibri" w:hAnsi="Calibri"/>
          <w:i/>
          <w:szCs w:val="22"/>
        </w:rPr>
        <w:t xml:space="preserve">Affordability and </w:t>
      </w:r>
      <w:proofErr w:type="gramStart"/>
      <w:r w:rsidRPr="00FF6D35">
        <w:rPr>
          <w:rFonts w:ascii="Calibri" w:hAnsi="Calibri"/>
          <w:i/>
          <w:szCs w:val="22"/>
        </w:rPr>
        <w:t>21st  century</w:t>
      </w:r>
      <w:proofErr w:type="gramEnd"/>
      <w:r w:rsidRPr="00FF6D35">
        <w:rPr>
          <w:rFonts w:ascii="Calibri" w:hAnsi="Calibri"/>
          <w:i/>
          <w:szCs w:val="22"/>
        </w:rPr>
        <w:t xml:space="preserve"> telecommunications services</w:t>
      </w:r>
      <w:r>
        <w:rPr>
          <w:rFonts w:ascii="Calibri" w:hAnsi="Calibri"/>
          <w:szCs w:val="22"/>
        </w:rPr>
        <w:t>, ADJTE, Vol.3 No. 2</w:t>
      </w:r>
    </w:p>
    <w:p w:rsidR="00DA563B" w:rsidRDefault="00DA563B" w:rsidP="00007997">
      <w:pPr>
        <w:rPr>
          <w:rFonts w:ascii="Calibri" w:hAnsi="Calibri"/>
          <w:szCs w:val="22"/>
        </w:rPr>
      </w:pPr>
      <w:r w:rsidRPr="00EB2E94">
        <w:rPr>
          <w:rFonts w:ascii="Calibri" w:hAnsi="Calibri"/>
          <w:szCs w:val="22"/>
        </w:rPr>
        <w:lastRenderedPageBreak/>
        <w:t xml:space="preserve">Humphry, J. (2014) </w:t>
      </w:r>
      <w:r w:rsidRPr="00EB2E94">
        <w:rPr>
          <w:rFonts w:ascii="Calibri" w:hAnsi="Calibri"/>
          <w:i/>
          <w:szCs w:val="22"/>
        </w:rPr>
        <w:t>Homeless and Connected: Mobile phones and the Internet in the lives of homeless Australians</w:t>
      </w:r>
      <w:r w:rsidRPr="00EB2E94">
        <w:rPr>
          <w:rFonts w:ascii="Calibri" w:hAnsi="Calibri"/>
          <w:szCs w:val="22"/>
        </w:rPr>
        <w:t>, Australian Communications Consumer Action Network, Sydney.</w:t>
      </w:r>
    </w:p>
    <w:p w:rsidR="00DA563B" w:rsidRPr="00EB2E94" w:rsidRDefault="00816D5B" w:rsidP="00007997">
      <w:pPr>
        <w:rPr>
          <w:rFonts w:ascii="Calibri" w:hAnsi="Calibri"/>
          <w:szCs w:val="22"/>
        </w:rPr>
      </w:pPr>
      <w:proofErr w:type="spellStart"/>
      <w:r>
        <w:rPr>
          <w:rFonts w:ascii="Calibri" w:hAnsi="Calibri"/>
          <w:szCs w:val="22"/>
        </w:rPr>
        <w:t>Lewin</w:t>
      </w:r>
      <w:proofErr w:type="spellEnd"/>
      <w:r>
        <w:rPr>
          <w:rFonts w:ascii="Calibri" w:hAnsi="Calibri"/>
          <w:szCs w:val="22"/>
        </w:rPr>
        <w:t xml:space="preserve">, D. and </w:t>
      </w:r>
      <w:r w:rsidR="00DA563B" w:rsidRPr="00EB2E94">
        <w:rPr>
          <w:rFonts w:ascii="Calibri" w:hAnsi="Calibri"/>
          <w:szCs w:val="22"/>
        </w:rPr>
        <w:t xml:space="preserve">Milne, C. (2010) </w:t>
      </w:r>
      <w:hyperlink r:id="rId76" w:history="1">
        <w:r w:rsidR="00DA563B" w:rsidRPr="00EB2E94">
          <w:rPr>
            <w:rStyle w:val="Hyperlink"/>
            <w:rFonts w:ascii="Calibri" w:hAnsi="Calibri"/>
            <w:i/>
            <w:szCs w:val="22"/>
          </w:rPr>
          <w:t>Are telecommunications services universally affordable across the EU? An independent assessment for Vodafone</w:t>
        </w:r>
      </w:hyperlink>
      <w:r w:rsidR="00DA563B" w:rsidRPr="00EB2E94">
        <w:rPr>
          <w:rFonts w:ascii="Calibri" w:hAnsi="Calibri"/>
          <w:szCs w:val="22"/>
        </w:rPr>
        <w:t xml:space="preserve"> </w:t>
      </w:r>
      <w:r w:rsidR="00C6590E">
        <w:fldChar w:fldCharType="begin"/>
      </w:r>
      <w:r w:rsidR="00C6590E">
        <w:instrText xml:space="preserve"> HYPERLINK "http://www.vodafone.com/content</w:instrText>
      </w:r>
      <w:r w:rsidR="00C6590E">
        <w:instrText xml:space="preserve">/dam/vodafone/about/public_policy/affordability_plum.pdf" </w:instrText>
      </w:r>
      <w:r w:rsidR="00C6590E">
        <w:fldChar w:fldCharType="separate"/>
      </w:r>
      <w:r w:rsidR="00C6590E">
        <w:fldChar w:fldCharType="end"/>
      </w:r>
      <w:r w:rsidR="00DA563B" w:rsidRPr="00EB2E94">
        <w:rPr>
          <w:rFonts w:ascii="Calibri" w:hAnsi="Calibri"/>
          <w:szCs w:val="22"/>
        </w:rPr>
        <w:t xml:space="preserve"> </w:t>
      </w:r>
    </w:p>
    <w:p w:rsidR="00DA563B" w:rsidRDefault="00DA563B" w:rsidP="00007997">
      <w:pPr>
        <w:rPr>
          <w:rFonts w:ascii="Calibri" w:hAnsi="Calibri"/>
          <w:szCs w:val="22"/>
        </w:rPr>
      </w:pPr>
      <w:r>
        <w:rPr>
          <w:rFonts w:ascii="Calibri" w:hAnsi="Calibri"/>
          <w:szCs w:val="22"/>
        </w:rPr>
        <w:t>Liberal Party of Australia (</w:t>
      </w:r>
      <w:r w:rsidRPr="00007997">
        <w:rPr>
          <w:rFonts w:ascii="Calibri" w:hAnsi="Calibri"/>
          <w:szCs w:val="22"/>
        </w:rPr>
        <w:t>2013</w:t>
      </w:r>
      <w:r>
        <w:rPr>
          <w:rFonts w:ascii="Calibri" w:hAnsi="Calibri"/>
          <w:szCs w:val="22"/>
        </w:rPr>
        <w:t>)</w:t>
      </w:r>
      <w:r w:rsidRPr="00007997">
        <w:rPr>
          <w:rFonts w:ascii="Calibri" w:hAnsi="Calibri"/>
          <w:szCs w:val="22"/>
        </w:rPr>
        <w:t xml:space="preserve"> ‘</w:t>
      </w:r>
      <w:hyperlink r:id="rId77" w:history="1">
        <w:r w:rsidRPr="00CA3253">
          <w:rPr>
            <w:rStyle w:val="Hyperlink"/>
            <w:rFonts w:ascii="Calibri" w:hAnsi="Calibri"/>
            <w:szCs w:val="22"/>
          </w:rPr>
          <w:t>The Coalition’s Plan for E-Government and the Digital Economy’</w:t>
        </w:r>
      </w:hyperlink>
      <w:r w:rsidRPr="00007997">
        <w:rPr>
          <w:rFonts w:ascii="Calibri" w:hAnsi="Calibri"/>
          <w:szCs w:val="22"/>
        </w:rPr>
        <w:t xml:space="preserve">, </w:t>
      </w:r>
    </w:p>
    <w:p w:rsidR="00DA563B" w:rsidRDefault="00DA563B" w:rsidP="00007997">
      <w:pPr>
        <w:rPr>
          <w:rFonts w:ascii="Calibri" w:hAnsi="Calibri"/>
          <w:i/>
          <w:szCs w:val="22"/>
        </w:rPr>
      </w:pPr>
      <w:r>
        <w:rPr>
          <w:rFonts w:ascii="Calibri" w:hAnsi="Calibri"/>
          <w:szCs w:val="22"/>
        </w:rPr>
        <w:t xml:space="preserve">McKinsey &amp; KPMG (2010) </w:t>
      </w:r>
      <w:r w:rsidRPr="00FF6D35">
        <w:rPr>
          <w:rFonts w:ascii="Calibri" w:hAnsi="Calibri"/>
          <w:i/>
          <w:szCs w:val="22"/>
        </w:rPr>
        <w:t>NBN Implementation Study</w:t>
      </w:r>
    </w:p>
    <w:p w:rsidR="00DA563B" w:rsidRPr="00BA4C03" w:rsidRDefault="00DA563B" w:rsidP="00007997">
      <w:pPr>
        <w:rPr>
          <w:rFonts w:ascii="Calibri" w:hAnsi="Calibri"/>
          <w:szCs w:val="22"/>
        </w:rPr>
      </w:pPr>
      <w:proofErr w:type="spellStart"/>
      <w:r w:rsidRPr="00BA4C03">
        <w:rPr>
          <w:rFonts w:ascii="Calibri" w:hAnsi="Calibri"/>
          <w:szCs w:val="22"/>
          <w:lang w:val="en-GB"/>
        </w:rPr>
        <w:t>Morsillo</w:t>
      </w:r>
      <w:proofErr w:type="spellEnd"/>
      <w:r w:rsidRPr="00BA4C03">
        <w:rPr>
          <w:rFonts w:ascii="Calibri" w:hAnsi="Calibri"/>
          <w:szCs w:val="22"/>
          <w:lang w:val="en-GB"/>
        </w:rPr>
        <w:t>, R</w:t>
      </w:r>
      <w:r w:rsidR="00816D5B">
        <w:rPr>
          <w:rFonts w:ascii="Calibri" w:hAnsi="Calibri"/>
          <w:szCs w:val="22"/>
          <w:lang w:val="en-GB"/>
        </w:rPr>
        <w:t>.</w:t>
      </w:r>
      <w:r w:rsidRPr="00BA4C03">
        <w:rPr>
          <w:rFonts w:ascii="Calibri" w:hAnsi="Calibri"/>
          <w:szCs w:val="22"/>
          <w:lang w:val="en-GB"/>
        </w:rPr>
        <w:t xml:space="preserve"> </w:t>
      </w:r>
      <w:r>
        <w:rPr>
          <w:rFonts w:ascii="Calibri" w:hAnsi="Calibri"/>
          <w:szCs w:val="22"/>
          <w:lang w:val="en-GB"/>
        </w:rPr>
        <w:t xml:space="preserve">(2012) </w:t>
      </w:r>
      <w:r w:rsidRPr="00BA4C03">
        <w:rPr>
          <w:rFonts w:ascii="Calibri" w:hAnsi="Calibri"/>
          <w:szCs w:val="22"/>
          <w:lang w:val="en-GB"/>
        </w:rPr>
        <w:t>“</w:t>
      </w:r>
      <w:r w:rsidRPr="00BA4C03">
        <w:rPr>
          <w:rFonts w:ascii="Calibri" w:hAnsi="Calibri"/>
          <w:i/>
          <w:szCs w:val="22"/>
          <w:lang w:val="en-GB"/>
        </w:rPr>
        <w:t>Broadband affordability in Australia: Looking beyond availability</w:t>
      </w:r>
      <w:r w:rsidRPr="00BA4C03">
        <w:rPr>
          <w:rFonts w:ascii="Calibri" w:hAnsi="Calibri"/>
          <w:szCs w:val="22"/>
          <w:lang w:val="en-GB"/>
        </w:rPr>
        <w:t xml:space="preserve">”, in </w:t>
      </w:r>
      <w:r w:rsidRPr="00BA4C03">
        <w:rPr>
          <w:rFonts w:ascii="Calibri" w:hAnsi="Calibri"/>
          <w:iCs/>
          <w:szCs w:val="22"/>
          <w:lang w:val="en-GB"/>
        </w:rPr>
        <w:t>Telecommunications Journal of Australia, Vol. 62, Number 5</w:t>
      </w:r>
      <w:r w:rsidRPr="00BA4C03">
        <w:rPr>
          <w:rFonts w:ascii="Calibri" w:hAnsi="Calibri"/>
          <w:i/>
          <w:iCs/>
          <w:szCs w:val="22"/>
          <w:lang w:val="en-GB"/>
        </w:rPr>
        <w:t xml:space="preserve"> </w:t>
      </w:r>
      <w:r w:rsidRPr="00BA4C03">
        <w:rPr>
          <w:rFonts w:ascii="Calibri" w:hAnsi="Calibri"/>
          <w:szCs w:val="22"/>
          <w:lang w:val="en-GB"/>
        </w:rPr>
        <w:t xml:space="preserve"> </w:t>
      </w:r>
    </w:p>
    <w:p w:rsidR="00DA563B" w:rsidRDefault="00DA563B" w:rsidP="00007997">
      <w:pPr>
        <w:rPr>
          <w:rFonts w:ascii="Calibri" w:hAnsi="Calibri"/>
          <w:szCs w:val="22"/>
        </w:rPr>
      </w:pPr>
      <w:proofErr w:type="spellStart"/>
      <w:r>
        <w:rPr>
          <w:rFonts w:ascii="Calibri" w:hAnsi="Calibri"/>
          <w:szCs w:val="22"/>
        </w:rPr>
        <w:t>Morsillo</w:t>
      </w:r>
      <w:proofErr w:type="gramStart"/>
      <w:r>
        <w:rPr>
          <w:rFonts w:ascii="Calibri" w:hAnsi="Calibri"/>
          <w:szCs w:val="22"/>
        </w:rPr>
        <w:t>,R</w:t>
      </w:r>
      <w:proofErr w:type="spellEnd"/>
      <w:proofErr w:type="gramEnd"/>
      <w:r>
        <w:rPr>
          <w:rFonts w:ascii="Calibri" w:hAnsi="Calibri"/>
          <w:szCs w:val="22"/>
        </w:rPr>
        <w:t xml:space="preserve">. (2008) </w:t>
      </w:r>
      <w:r w:rsidRPr="00E95271">
        <w:rPr>
          <w:rFonts w:ascii="Calibri" w:hAnsi="Calibri"/>
          <w:i/>
          <w:szCs w:val="22"/>
        </w:rPr>
        <w:t>Indigenous culture and communications</w:t>
      </w:r>
      <w:r>
        <w:rPr>
          <w:rFonts w:ascii="Calibri" w:hAnsi="Calibri"/>
          <w:szCs w:val="22"/>
        </w:rPr>
        <w:t>, in Telecommunications Journal of Australia, Vol.58  No. 1</w:t>
      </w:r>
    </w:p>
    <w:p w:rsidR="00816D5B" w:rsidRDefault="00816D5B" w:rsidP="00816D5B">
      <w:pPr>
        <w:rPr>
          <w:rFonts w:ascii="Calibri" w:hAnsi="Calibri"/>
          <w:szCs w:val="22"/>
        </w:rPr>
      </w:pPr>
      <w:proofErr w:type="spellStart"/>
      <w:r>
        <w:rPr>
          <w:rFonts w:ascii="Calibri" w:hAnsi="Calibri"/>
          <w:szCs w:val="22"/>
        </w:rPr>
        <w:t>Ofcom</w:t>
      </w:r>
      <w:proofErr w:type="spellEnd"/>
      <w:r>
        <w:rPr>
          <w:rFonts w:ascii="Calibri" w:hAnsi="Calibri"/>
          <w:szCs w:val="22"/>
        </w:rPr>
        <w:t xml:space="preserve"> (2015) </w:t>
      </w:r>
      <w:hyperlink r:id="rId78" w:history="1">
        <w:r w:rsidRPr="00FF6D35">
          <w:rPr>
            <w:rStyle w:val="Hyperlink"/>
            <w:rFonts w:ascii="Calibri" w:hAnsi="Calibri"/>
            <w:i/>
            <w:szCs w:val="22"/>
          </w:rPr>
          <w:t>Strategic Review</w:t>
        </w:r>
        <w:r w:rsidRPr="00FF6D35">
          <w:rPr>
            <w:rStyle w:val="Hyperlink"/>
            <w:rFonts w:ascii="Calibri" w:hAnsi="Calibri"/>
            <w:szCs w:val="22"/>
          </w:rPr>
          <w:t xml:space="preserve"> </w:t>
        </w:r>
      </w:hyperlink>
      <w:r>
        <w:rPr>
          <w:rStyle w:val="Hyperlink"/>
          <w:rFonts w:ascii="Calibri" w:hAnsi="Calibri"/>
          <w:szCs w:val="22"/>
        </w:rPr>
        <w:t xml:space="preserve"> </w:t>
      </w:r>
    </w:p>
    <w:p w:rsidR="00DA563B" w:rsidRDefault="00DA563B" w:rsidP="00007997">
      <w:pPr>
        <w:rPr>
          <w:rFonts w:ascii="Calibri" w:hAnsi="Calibri"/>
          <w:szCs w:val="22"/>
        </w:rPr>
      </w:pPr>
      <w:proofErr w:type="spellStart"/>
      <w:r>
        <w:rPr>
          <w:rFonts w:ascii="Calibri" w:hAnsi="Calibri"/>
          <w:szCs w:val="22"/>
        </w:rPr>
        <w:t>Ofcom</w:t>
      </w:r>
      <w:proofErr w:type="spellEnd"/>
      <w:r>
        <w:rPr>
          <w:rFonts w:ascii="Calibri" w:hAnsi="Calibri"/>
          <w:szCs w:val="22"/>
        </w:rPr>
        <w:t xml:space="preserve"> (2014)</w:t>
      </w:r>
      <w:r w:rsidRPr="000C36A4">
        <w:rPr>
          <w:rFonts w:ascii="Georgia" w:hAnsi="Georgia"/>
          <w:i/>
          <w:szCs w:val="22"/>
        </w:rPr>
        <w:t xml:space="preserve"> </w:t>
      </w:r>
      <w:hyperlink r:id="rId79" w:history="1">
        <w:r w:rsidRPr="00FF6D35">
          <w:rPr>
            <w:rStyle w:val="Hyperlink"/>
            <w:rFonts w:ascii="Calibri" w:hAnsi="Calibri"/>
            <w:i/>
            <w:szCs w:val="22"/>
          </w:rPr>
          <w:t>Results of research into consumer views on the importance of communications services and their affordability</w:t>
        </w:r>
      </w:hyperlink>
      <w:r w:rsidRPr="000C36A4">
        <w:rPr>
          <w:rFonts w:ascii="Calibri" w:hAnsi="Calibri"/>
          <w:szCs w:val="22"/>
        </w:rPr>
        <w:t xml:space="preserve"> </w:t>
      </w:r>
      <w:r w:rsidR="00C6590E">
        <w:fldChar w:fldCharType="begin"/>
      </w:r>
      <w:r w:rsidR="00C6590E">
        <w:instrText xml:space="preserve"> HYPERLINK "http://stakeholders.ofcom.org</w:instrText>
      </w:r>
      <w:r w:rsidR="00C6590E">
        <w:instrText xml:space="preserve">.uk/binaries/research/affordability/affordability_report.pdf" </w:instrText>
      </w:r>
      <w:r w:rsidR="00C6590E">
        <w:fldChar w:fldCharType="separate"/>
      </w:r>
      <w:r w:rsidR="00C6590E">
        <w:fldChar w:fldCharType="end"/>
      </w:r>
      <w:r>
        <w:rPr>
          <w:rStyle w:val="Hyperlink"/>
          <w:rFonts w:ascii="Calibri" w:hAnsi="Calibri"/>
          <w:szCs w:val="22"/>
        </w:rPr>
        <w:t xml:space="preserve"> </w:t>
      </w:r>
      <w:r>
        <w:rPr>
          <w:rFonts w:ascii="Calibri" w:hAnsi="Calibri"/>
          <w:szCs w:val="22"/>
        </w:rPr>
        <w:t xml:space="preserve"> </w:t>
      </w:r>
    </w:p>
    <w:p w:rsidR="00DA563B" w:rsidRDefault="00DA563B" w:rsidP="00007997">
      <w:pPr>
        <w:rPr>
          <w:rFonts w:ascii="Calibri" w:hAnsi="Calibri"/>
          <w:i/>
          <w:szCs w:val="22"/>
        </w:rPr>
      </w:pPr>
      <w:proofErr w:type="spellStart"/>
      <w:r>
        <w:rPr>
          <w:rFonts w:ascii="Calibri" w:hAnsi="Calibri"/>
          <w:szCs w:val="22"/>
        </w:rPr>
        <w:t>Ofcom</w:t>
      </w:r>
      <w:proofErr w:type="spellEnd"/>
      <w:r>
        <w:rPr>
          <w:rFonts w:ascii="Calibri" w:hAnsi="Calibri"/>
          <w:szCs w:val="22"/>
        </w:rPr>
        <w:t xml:space="preserve"> (2014) </w:t>
      </w:r>
      <w:proofErr w:type="spellStart"/>
      <w:r>
        <w:rPr>
          <w:rFonts w:ascii="Calibri" w:hAnsi="Calibri"/>
          <w:szCs w:val="22"/>
        </w:rPr>
        <w:t>Futuresight</w:t>
      </w:r>
      <w:proofErr w:type="spellEnd"/>
      <w:r>
        <w:rPr>
          <w:rFonts w:ascii="Calibri" w:hAnsi="Calibri"/>
          <w:szCs w:val="22"/>
        </w:rPr>
        <w:t xml:space="preserve"> report on </w:t>
      </w:r>
      <w:hyperlink r:id="rId80" w:history="1">
        <w:r w:rsidRPr="00FF6D35">
          <w:rPr>
            <w:rStyle w:val="Hyperlink"/>
            <w:rFonts w:ascii="Calibri" w:hAnsi="Calibri"/>
            <w:i/>
            <w:szCs w:val="22"/>
          </w:rPr>
          <w:t xml:space="preserve">Affordability of essential communications services  </w:t>
        </w:r>
      </w:hyperlink>
      <w:r>
        <w:rPr>
          <w:rFonts w:ascii="Calibri" w:hAnsi="Calibri"/>
          <w:i/>
          <w:szCs w:val="22"/>
        </w:rPr>
        <w:t xml:space="preserve"> </w:t>
      </w:r>
    </w:p>
    <w:p w:rsidR="00DA563B" w:rsidRPr="003B2751" w:rsidRDefault="00DA563B" w:rsidP="00007997">
      <w:pPr>
        <w:rPr>
          <w:rFonts w:ascii="Calibri" w:hAnsi="Calibri"/>
          <w:i/>
          <w:szCs w:val="22"/>
        </w:rPr>
      </w:pPr>
      <w:proofErr w:type="spellStart"/>
      <w:r>
        <w:rPr>
          <w:rFonts w:ascii="Calibri" w:hAnsi="Calibri"/>
          <w:szCs w:val="22"/>
        </w:rPr>
        <w:t>Ofcom</w:t>
      </w:r>
      <w:proofErr w:type="spellEnd"/>
      <w:r>
        <w:rPr>
          <w:rFonts w:ascii="Calibri" w:hAnsi="Calibri"/>
          <w:szCs w:val="22"/>
        </w:rPr>
        <w:t xml:space="preserve"> (2014) Jigsaw report on </w:t>
      </w:r>
      <w:hyperlink r:id="rId81" w:history="1">
        <w:r w:rsidRPr="00FF6D35">
          <w:rPr>
            <w:rStyle w:val="Hyperlink"/>
            <w:rFonts w:ascii="Calibri" w:hAnsi="Calibri"/>
            <w:i/>
            <w:szCs w:val="22"/>
          </w:rPr>
          <w:t>Affordability of communications services essential for participation</w:t>
        </w:r>
      </w:hyperlink>
      <w:r>
        <w:rPr>
          <w:rFonts w:ascii="Calibri" w:hAnsi="Calibri"/>
          <w:i/>
          <w:szCs w:val="22"/>
        </w:rPr>
        <w:t xml:space="preserve"> </w:t>
      </w:r>
    </w:p>
    <w:proofErr w:type="gramStart"/>
    <w:p w:rsidR="00DA563B" w:rsidRDefault="00C6590E" w:rsidP="008B3C19">
      <w:pPr>
        <w:rPr>
          <w:rFonts w:ascii="Calibri" w:hAnsi="Calibri"/>
          <w:szCs w:val="22"/>
        </w:rPr>
      </w:pPr>
      <w:r>
        <w:fldChar w:fldCharType="begin"/>
      </w:r>
      <w:r>
        <w:instrText xml:space="preserve"> HYPERLINK "http://www.malcolmturnbull.co</w:instrText>
      </w:r>
      <w:r>
        <w:instrText xml:space="preserve">m.au/assets/Coalitions_Policy_for_E-Government_and_the_Digital_Economy_%282%29.pdf" </w:instrText>
      </w:r>
      <w:r>
        <w:fldChar w:fldCharType="separate"/>
      </w:r>
      <w:r>
        <w:fldChar w:fldCharType="end"/>
      </w:r>
      <w:proofErr w:type="spellStart"/>
      <w:r w:rsidR="00DA563B">
        <w:rPr>
          <w:rFonts w:ascii="Calibri" w:hAnsi="Calibri"/>
          <w:szCs w:val="22"/>
        </w:rPr>
        <w:t>Pavlidis</w:t>
      </w:r>
      <w:proofErr w:type="spellEnd"/>
      <w:r w:rsidR="00DA563B">
        <w:rPr>
          <w:rFonts w:ascii="Calibri" w:hAnsi="Calibri"/>
          <w:szCs w:val="22"/>
        </w:rPr>
        <w:t xml:space="preserve">, K. and </w:t>
      </w:r>
      <w:proofErr w:type="spellStart"/>
      <w:r w:rsidR="00DA563B">
        <w:rPr>
          <w:rFonts w:ascii="Calibri" w:hAnsi="Calibri"/>
          <w:szCs w:val="22"/>
        </w:rPr>
        <w:t>Gadir</w:t>
      </w:r>
      <w:proofErr w:type="spellEnd"/>
      <w:r w:rsidR="00DA563B">
        <w:rPr>
          <w:rFonts w:ascii="Calibri" w:hAnsi="Calibri"/>
          <w:szCs w:val="22"/>
        </w:rPr>
        <w:t xml:space="preserve">, J. (2013) </w:t>
      </w:r>
      <w:hyperlink r:id="rId82" w:history="1">
        <w:r w:rsidR="00DA563B" w:rsidRPr="00FF6D35">
          <w:rPr>
            <w:rStyle w:val="Hyperlink"/>
            <w:rFonts w:ascii="Calibri" w:hAnsi="Calibri"/>
            <w:i/>
            <w:iCs/>
            <w:szCs w:val="22"/>
          </w:rPr>
          <w:t>Improving affordability of communications</w:t>
        </w:r>
      </w:hyperlink>
      <w:r w:rsidR="00DA563B" w:rsidRPr="002A74A5">
        <w:rPr>
          <w:rFonts w:ascii="Calibri" w:hAnsi="Calibri"/>
          <w:szCs w:val="22"/>
        </w:rPr>
        <w:t>.</w:t>
      </w:r>
      <w:proofErr w:type="gramEnd"/>
      <w:r w:rsidR="00DA563B" w:rsidRPr="002A74A5">
        <w:rPr>
          <w:rFonts w:ascii="Calibri" w:hAnsi="Calibri"/>
          <w:szCs w:val="22"/>
        </w:rPr>
        <w:t xml:space="preserve"> Australian Journal of Telecommunications and the Digital Ec</w:t>
      </w:r>
      <w:r w:rsidR="00DA563B">
        <w:rPr>
          <w:rFonts w:ascii="Calibri" w:hAnsi="Calibri"/>
          <w:szCs w:val="22"/>
        </w:rPr>
        <w:t xml:space="preserve">onomy, </w:t>
      </w:r>
      <w:proofErr w:type="spellStart"/>
      <w:r w:rsidR="00DA563B">
        <w:rPr>
          <w:rFonts w:ascii="Calibri" w:hAnsi="Calibri"/>
          <w:szCs w:val="22"/>
        </w:rPr>
        <w:t>Vol</w:t>
      </w:r>
      <w:proofErr w:type="spellEnd"/>
      <w:r w:rsidR="00DA563B">
        <w:rPr>
          <w:rFonts w:ascii="Calibri" w:hAnsi="Calibri"/>
          <w:szCs w:val="22"/>
        </w:rPr>
        <w:t> 1, No 1, Article 10</w:t>
      </w:r>
    </w:p>
    <w:p w:rsidR="00DA563B" w:rsidRPr="00F83575" w:rsidRDefault="00DA563B" w:rsidP="008B3C19">
      <w:pPr>
        <w:rPr>
          <w:rFonts w:ascii="Calibri" w:hAnsi="Calibri"/>
          <w:szCs w:val="22"/>
        </w:rPr>
      </w:pPr>
      <w:proofErr w:type="spellStart"/>
      <w:r w:rsidRPr="00F83575">
        <w:rPr>
          <w:rFonts w:ascii="Calibri" w:hAnsi="Calibri"/>
          <w:szCs w:val="22"/>
        </w:rPr>
        <w:t>Raiche</w:t>
      </w:r>
      <w:proofErr w:type="spellEnd"/>
      <w:r w:rsidRPr="00F83575">
        <w:rPr>
          <w:rFonts w:ascii="Calibri" w:hAnsi="Calibri"/>
          <w:szCs w:val="22"/>
        </w:rPr>
        <w:t>, Holly</w:t>
      </w:r>
      <w:r>
        <w:rPr>
          <w:rFonts w:ascii="Calibri" w:hAnsi="Calibri"/>
          <w:szCs w:val="22"/>
        </w:rPr>
        <w:t xml:space="preserve"> (2010) for ACCAN, </w:t>
      </w:r>
      <w:r w:rsidRPr="00FF6D35">
        <w:rPr>
          <w:rFonts w:ascii="Calibri" w:hAnsi="Calibri"/>
          <w:i/>
          <w:szCs w:val="22"/>
        </w:rPr>
        <w:t>Universal Communications in a Broadband World</w:t>
      </w:r>
    </w:p>
    <w:p w:rsidR="00DA563B" w:rsidRDefault="00DA563B" w:rsidP="00987B1D">
      <w:pPr>
        <w:rPr>
          <w:rFonts w:ascii="Calibri" w:hAnsi="Calibri"/>
          <w:bCs/>
          <w:szCs w:val="22"/>
        </w:rPr>
      </w:pPr>
      <w:r>
        <w:rPr>
          <w:rFonts w:ascii="Calibri" w:hAnsi="Calibri"/>
          <w:bCs/>
          <w:szCs w:val="22"/>
        </w:rPr>
        <w:t xml:space="preserve">South Australian Council of Social Service (SACOSS) (2015) </w:t>
      </w:r>
      <w:hyperlink r:id="rId83" w:history="1">
        <w:r w:rsidRPr="00CA3253">
          <w:rPr>
            <w:rStyle w:val="Hyperlink"/>
            <w:rFonts w:ascii="Calibri" w:hAnsi="Calibri"/>
            <w:bCs/>
            <w:szCs w:val="22"/>
          </w:rPr>
          <w:t xml:space="preserve">Cost of Living Update, No.22, March </w:t>
        </w:r>
        <w:proofErr w:type="spellStart"/>
        <w:r w:rsidRPr="00CA3253">
          <w:rPr>
            <w:rStyle w:val="Hyperlink"/>
            <w:rFonts w:ascii="Calibri" w:hAnsi="Calibri"/>
            <w:bCs/>
            <w:szCs w:val="22"/>
          </w:rPr>
          <w:t>Qtr</w:t>
        </w:r>
        <w:proofErr w:type="spellEnd"/>
        <w:r w:rsidRPr="00CA3253">
          <w:rPr>
            <w:rStyle w:val="Hyperlink"/>
            <w:rFonts w:ascii="Calibri" w:hAnsi="Calibri"/>
            <w:bCs/>
            <w:szCs w:val="22"/>
          </w:rPr>
          <w:t xml:space="preserve"> 2015</w:t>
        </w:r>
      </w:hyperlink>
      <w:r>
        <w:rPr>
          <w:rFonts w:ascii="Calibri" w:hAnsi="Calibri"/>
          <w:bCs/>
          <w:szCs w:val="22"/>
        </w:rPr>
        <w:t xml:space="preserve"> </w:t>
      </w:r>
    </w:p>
    <w:p w:rsidR="00DA563B" w:rsidRDefault="00DA563B" w:rsidP="008B3C19">
      <w:pPr>
        <w:rPr>
          <w:rFonts w:ascii="Calibri" w:hAnsi="Calibri"/>
          <w:szCs w:val="22"/>
          <w:lang w:val="en-GB"/>
        </w:rPr>
      </w:pPr>
      <w:r>
        <w:rPr>
          <w:rFonts w:ascii="Calibri" w:hAnsi="Calibri"/>
          <w:szCs w:val="22"/>
          <w:lang w:val="en-GB"/>
        </w:rPr>
        <w:t xml:space="preserve">Telstra (2012) </w:t>
      </w:r>
      <w:hyperlink r:id="rId84" w:history="1">
        <w:r w:rsidRPr="00DA6764">
          <w:rPr>
            <w:rStyle w:val="Hyperlink"/>
            <w:rFonts w:ascii="Calibri" w:hAnsi="Calibri"/>
            <w:i/>
            <w:szCs w:val="22"/>
            <w:lang w:val="en-GB"/>
          </w:rPr>
          <w:t>Definitive agreement with NBN</w:t>
        </w:r>
      </w:hyperlink>
    </w:p>
    <w:p w:rsidR="00DA563B" w:rsidRPr="00DA6764" w:rsidRDefault="00DA563B" w:rsidP="008B3C19">
      <w:r w:rsidRPr="00DE6C43">
        <w:rPr>
          <w:rFonts w:ascii="Calibri" w:hAnsi="Calibri"/>
          <w:szCs w:val="22"/>
        </w:rPr>
        <w:t xml:space="preserve">Telstra </w:t>
      </w:r>
      <w:hyperlink r:id="rId85" w:history="1">
        <w:r w:rsidRPr="00FF6D35">
          <w:rPr>
            <w:rStyle w:val="Hyperlink"/>
            <w:rFonts w:ascii="Calibri" w:hAnsi="Calibri"/>
            <w:i/>
            <w:szCs w:val="22"/>
          </w:rPr>
          <w:t>Access for Everyone</w:t>
        </w:r>
      </w:hyperlink>
      <w:r>
        <w:t xml:space="preserve"> </w:t>
      </w:r>
    </w:p>
    <w:p w:rsidR="00DA563B" w:rsidRDefault="00DA563B" w:rsidP="008B3C19">
      <w:pPr>
        <w:rPr>
          <w:rFonts w:ascii="Calibri" w:hAnsi="Calibri"/>
          <w:szCs w:val="22"/>
        </w:rPr>
      </w:pPr>
      <w:r>
        <w:rPr>
          <w:rFonts w:ascii="Calibri" w:hAnsi="Calibri"/>
          <w:szCs w:val="22"/>
        </w:rPr>
        <w:t xml:space="preserve">UK Regulators Network (2015) </w:t>
      </w:r>
      <w:r w:rsidRPr="00FF6D35">
        <w:rPr>
          <w:rFonts w:ascii="Calibri" w:hAnsi="Calibri"/>
          <w:i/>
          <w:szCs w:val="22"/>
        </w:rPr>
        <w:t>Understanding affordability pressures in essential services</w:t>
      </w:r>
      <w:r>
        <w:rPr>
          <w:rFonts w:ascii="Calibri" w:hAnsi="Calibri"/>
          <w:szCs w:val="22"/>
        </w:rPr>
        <w:t>.</w:t>
      </w:r>
    </w:p>
    <w:p w:rsidR="00DA563B" w:rsidRDefault="00DA563B" w:rsidP="008B3C19">
      <w:pPr>
        <w:rPr>
          <w:rFonts w:ascii="Calibri" w:hAnsi="Calibri"/>
          <w:szCs w:val="22"/>
        </w:rPr>
      </w:pPr>
      <w:proofErr w:type="spellStart"/>
      <w:r>
        <w:rPr>
          <w:rFonts w:ascii="Calibri" w:hAnsi="Calibri"/>
          <w:szCs w:val="22"/>
        </w:rPr>
        <w:t>Vertigan</w:t>
      </w:r>
      <w:proofErr w:type="spellEnd"/>
      <w:r>
        <w:rPr>
          <w:rFonts w:ascii="Calibri" w:hAnsi="Calibri"/>
          <w:szCs w:val="22"/>
        </w:rPr>
        <w:t xml:space="preserve">, (2014) </w:t>
      </w:r>
      <w:hyperlink r:id="rId86" w:history="1">
        <w:r w:rsidRPr="0049670A">
          <w:rPr>
            <w:rStyle w:val="Hyperlink"/>
            <w:rFonts w:ascii="Calibri" w:hAnsi="Calibri"/>
            <w:szCs w:val="22"/>
          </w:rPr>
          <w:t>Market and Regulatory Report,</w:t>
        </w:r>
      </w:hyperlink>
      <w:r>
        <w:rPr>
          <w:rFonts w:ascii="Calibri" w:hAnsi="Calibri"/>
          <w:szCs w:val="22"/>
        </w:rPr>
        <w:t xml:space="preserve"> Vol. 1</w:t>
      </w:r>
    </w:p>
    <w:p w:rsidR="003F0362" w:rsidRDefault="003F0362" w:rsidP="003F0362">
      <w:pPr>
        <w:pStyle w:val="Heading1"/>
      </w:pPr>
      <w:bookmarkStart w:id="23" w:name="_Toc436121948"/>
      <w:r>
        <w:lastRenderedPageBreak/>
        <w:t>About</w:t>
      </w:r>
      <w:bookmarkEnd w:id="23"/>
    </w:p>
    <w:p w:rsidR="003F0362" w:rsidRPr="004E682E" w:rsidRDefault="003F0362" w:rsidP="003F0362">
      <w:pPr>
        <w:pStyle w:val="Heading2"/>
      </w:pPr>
      <w:bookmarkStart w:id="24" w:name="_Toc436121949"/>
      <w:r>
        <w:t>John de Ridder</w:t>
      </w:r>
      <w:bookmarkEnd w:id="24"/>
    </w:p>
    <w:p w:rsidR="003F0362" w:rsidRPr="003F0362" w:rsidRDefault="003F0362" w:rsidP="003F0362">
      <w:pPr>
        <w:rPr>
          <w:lang w:val="en-US"/>
        </w:rPr>
      </w:pPr>
      <w:bookmarkStart w:id="25" w:name="_Toc432166872"/>
      <w:r w:rsidRPr="003F0362">
        <w:t>John’s career has put him at the cutting edge of developments such as universal service costing and the evolution of competition and regulation. He</w:t>
      </w:r>
      <w:r w:rsidRPr="003F0362">
        <w:rPr>
          <w:lang w:val="en-US"/>
        </w:rPr>
        <w:t xml:space="preserve"> is a former chief economist of Telstra where his 18 year career included a number of roles including broadband and data pricing and USO costing. Since leaving Telstra in 2002, he has consulted to various domestic and international </w:t>
      </w:r>
      <w:proofErr w:type="spellStart"/>
      <w:r w:rsidRPr="003F0362">
        <w:rPr>
          <w:lang w:val="en-US"/>
        </w:rPr>
        <w:t>organisations</w:t>
      </w:r>
      <w:proofErr w:type="spellEnd"/>
      <w:r w:rsidRPr="003F0362">
        <w:rPr>
          <w:lang w:val="en-US"/>
        </w:rPr>
        <w:t xml:space="preserve">. </w:t>
      </w:r>
    </w:p>
    <w:p w:rsidR="003F0362" w:rsidRPr="003F0362" w:rsidRDefault="003F0362" w:rsidP="003F0362">
      <w:r w:rsidRPr="003F0362">
        <w:t xml:space="preserve">He is recognized locally and internationally as an experienced telecommunications economist with expertise in broadband pricing and regulation. Clients have included </w:t>
      </w:r>
      <w:proofErr w:type="spellStart"/>
      <w:r w:rsidRPr="003F0362">
        <w:t>InfoDev</w:t>
      </w:r>
      <w:proofErr w:type="spellEnd"/>
      <w:r w:rsidRPr="003F0362">
        <w:t xml:space="preserve"> (World Bank),   ITU (United Nations), DBCDE (Australia), OECD, APEC and the NZ Commerce Commission.</w:t>
      </w:r>
    </w:p>
    <w:p w:rsidR="003F0362" w:rsidRPr="003F0362" w:rsidRDefault="003F0362" w:rsidP="003F0362">
      <w:pPr>
        <w:rPr>
          <w:lang w:val="en-US"/>
        </w:rPr>
      </w:pPr>
      <w:r w:rsidRPr="003F0362">
        <w:rPr>
          <w:lang w:val="en-US"/>
        </w:rPr>
        <w:t xml:space="preserve">His econometric analysis of broadband penetration for the OECD was referred to extensively in the </w:t>
      </w:r>
      <w:proofErr w:type="spellStart"/>
      <w:r w:rsidRPr="003F0362">
        <w:rPr>
          <w:lang w:val="en-US"/>
        </w:rPr>
        <w:t>Berkman</w:t>
      </w:r>
      <w:proofErr w:type="spellEnd"/>
      <w:r w:rsidRPr="003F0362">
        <w:rPr>
          <w:lang w:val="en-US"/>
        </w:rPr>
        <w:t xml:space="preserve"> (Harvard) Centre Report to the FCC on US broadband policy. He was also a key player in </w:t>
      </w:r>
      <w:proofErr w:type="spellStart"/>
      <w:r w:rsidRPr="003F0362">
        <w:rPr>
          <w:lang w:val="en-US"/>
        </w:rPr>
        <w:t>TransACT’s</w:t>
      </w:r>
      <w:proofErr w:type="spellEnd"/>
      <w:r w:rsidRPr="003F0362">
        <w:rPr>
          <w:lang w:val="en-US"/>
        </w:rPr>
        <w:t xml:space="preserve"> proposal for NBN Mark 1. </w:t>
      </w:r>
    </w:p>
    <w:p w:rsidR="003F0362" w:rsidRPr="003F0362" w:rsidRDefault="003F0362" w:rsidP="003F0362">
      <w:r w:rsidRPr="003F0362">
        <w:t xml:space="preserve">Before joining Telstra, John held various positions in Australia and the UK. In Australia he worked as an economist for ICI and as the research manager for IBIS Consulting. In London, he worked for Shell International as an economist and for DRI-McGraw Hill both as a macro-economic forecaster and as a marketer. </w:t>
      </w:r>
    </w:p>
    <w:p w:rsidR="003F0362" w:rsidRPr="004E682E" w:rsidRDefault="003F0362" w:rsidP="003F0362">
      <w:pPr>
        <w:pStyle w:val="Heading2"/>
      </w:pPr>
      <w:bookmarkStart w:id="26" w:name="_Toc436121950"/>
      <w:bookmarkEnd w:id="25"/>
      <w:r>
        <w:t>ACCAN</w:t>
      </w:r>
      <w:bookmarkEnd w:id="26"/>
      <w:r>
        <w:t xml:space="preserve">  </w:t>
      </w:r>
    </w:p>
    <w:p w:rsidR="003F0362" w:rsidRPr="004D3E3A" w:rsidRDefault="003F0362" w:rsidP="003F0362">
      <w:r w:rsidRPr="004D3E3A">
        <w:t xml:space="preserve">The Australian Communications Consumer Action Network (ACCAN) is the peak body that represents all consumers on communications technology issues including telecommunications, broadband and emerging new services. </w:t>
      </w:r>
    </w:p>
    <w:p w:rsidR="003F0362" w:rsidRPr="004D3E3A" w:rsidRDefault="003F0362" w:rsidP="003F0362">
      <w:r w:rsidRPr="004D3E3A">
        <w:t xml:space="preserve">ACCAN conducts research that drives the fulfilment of its vision for available, accessible and affordable communications that enhance the lives of consumers. ACCAN provides a strong consumer voice, promoting better consumer protection outcomes to industry and government. </w:t>
      </w:r>
    </w:p>
    <w:p w:rsidR="003F0362" w:rsidRPr="004D3E3A" w:rsidRDefault="003F0362" w:rsidP="003F0362">
      <w:r w:rsidRPr="004D3E3A">
        <w:t xml:space="preserve">ACCAN aims to empower consumers so that they are well informed and can make good choices about goods and services. Visit </w:t>
      </w:r>
      <w:hyperlink r:id="rId87" w:history="1">
        <w:r w:rsidRPr="004D3E3A">
          <w:rPr>
            <w:rStyle w:val="Hyperlink"/>
          </w:rPr>
          <w:t>www.accan.org.au</w:t>
        </w:r>
      </w:hyperlink>
      <w:r w:rsidRPr="004D3E3A">
        <w:t xml:space="preserve"> for more information. </w:t>
      </w:r>
    </w:p>
    <w:p w:rsidR="003F0362" w:rsidRDefault="003F0362" w:rsidP="003F0362">
      <w:r w:rsidRPr="004D3E3A">
        <w:t>The operation of the Australian Communications Consumer Action Network is made possible by funding provided by the Commonwealth of Australia under section 593 of the Telecommunications Act 1997. This funding is recovered from charges on telecommunications carriers</w:t>
      </w:r>
      <w:bookmarkStart w:id="27" w:name="_GoBack"/>
      <w:bookmarkEnd w:id="27"/>
    </w:p>
    <w:sectPr w:rsidR="003F0362" w:rsidSect="00323414">
      <w:footerReference w:type="default" r:id="rId88"/>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628" w:rsidRDefault="00B36628" w:rsidP="00C93156">
      <w:r>
        <w:separator/>
      </w:r>
    </w:p>
  </w:endnote>
  <w:endnote w:type="continuationSeparator" w:id="0">
    <w:p w:rsidR="00B36628" w:rsidRDefault="00B36628" w:rsidP="00C9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628" w:rsidRPr="006F63DE" w:rsidRDefault="00B36628" w:rsidP="006F63DE">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14" w:rsidRDefault="00323414" w:rsidP="00507E5F">
    <w:pPr>
      <w:pStyle w:val="Footer"/>
      <w:ind w:left="-1418"/>
    </w:pPr>
    <w:r>
      <w:drawing>
        <wp:anchor distT="0" distB="0" distL="114300" distR="114300" simplePos="0" relativeHeight="251662336" behindDoc="1" locked="0" layoutInCell="1" allowOverlap="1" wp14:anchorId="0EB24BD2" wp14:editId="69136059">
          <wp:simplePos x="0" y="0"/>
          <wp:positionH relativeFrom="column">
            <wp:posOffset>-816610</wp:posOffset>
          </wp:positionH>
          <wp:positionV relativeFrom="paragraph">
            <wp:posOffset>-54137</wp:posOffset>
          </wp:positionV>
          <wp:extent cx="7372800" cy="111600"/>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800" cy="111600"/>
                  </a:xfrm>
                  <a:prstGeom prst="rect">
                    <a:avLst/>
                  </a:prstGeom>
                  <a:noFill/>
                </pic:spPr>
              </pic:pic>
            </a:graphicData>
          </a:graphic>
          <wp14:sizeRelH relativeFrom="margin">
            <wp14:pctWidth>0</wp14:pctWidth>
          </wp14:sizeRelH>
          <wp14:sizeRelV relativeFrom="margin">
            <wp14:pctHeight>0</wp14:pctHeight>
          </wp14:sizeRelV>
        </wp:anchor>
      </w:drawing>
    </w:r>
  </w:p>
  <w:p w:rsidR="00323414" w:rsidRDefault="00323414" w:rsidP="003F0362">
    <w:pPr>
      <w:pStyle w:val="Footer"/>
    </w:pPr>
    <w:r>
      <w:fldChar w:fldCharType="begin"/>
    </w:r>
    <w:r>
      <w:instrText xml:space="preserve"> PAGE   \* MERGEFORMAT </w:instrText>
    </w:r>
    <w:r>
      <w:fldChar w:fldCharType="separate"/>
    </w:r>
    <w:r w:rsidR="00C6590E">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628" w:rsidRDefault="00B36628" w:rsidP="00C93156">
      <w:r>
        <w:separator/>
      </w:r>
    </w:p>
  </w:footnote>
  <w:footnote w:type="continuationSeparator" w:id="0">
    <w:p w:rsidR="00B36628" w:rsidRDefault="00B36628" w:rsidP="00C93156">
      <w:r>
        <w:continuationSeparator/>
      </w:r>
    </w:p>
  </w:footnote>
  <w:footnote w:id="1">
    <w:p w:rsidR="00B36628" w:rsidRDefault="00B36628" w:rsidP="00451896">
      <w:pPr>
        <w:pStyle w:val="FootnoteText"/>
      </w:pPr>
      <w:r>
        <w:rPr>
          <w:rStyle w:val="FootnoteReference"/>
        </w:rPr>
        <w:footnoteRef/>
      </w:r>
      <w:r>
        <w:t xml:space="preserve"> Hawkins, W. </w:t>
      </w:r>
      <w:r w:rsidRPr="004B1DC9">
        <w:t xml:space="preserve">and </w:t>
      </w:r>
      <w:proofErr w:type="spellStart"/>
      <w:r w:rsidRPr="004B1DC9">
        <w:t>Pavlidis</w:t>
      </w:r>
      <w:proofErr w:type="spellEnd"/>
      <w:r w:rsidRPr="004B1DC9">
        <w:t>, K. (2015)</w:t>
      </w:r>
    </w:p>
  </w:footnote>
  <w:footnote w:id="2">
    <w:p w:rsidR="00B36628" w:rsidRDefault="00B36628">
      <w:pPr>
        <w:pStyle w:val="FootnoteText"/>
      </w:pPr>
      <w:r>
        <w:rPr>
          <w:rStyle w:val="FootnoteReference"/>
        </w:rPr>
        <w:footnoteRef/>
      </w:r>
      <w:r>
        <w:t xml:space="preserve"> </w:t>
      </w:r>
      <w:r w:rsidRPr="005D69E2">
        <w:t xml:space="preserve">Note that traditionally the USO was about providing affordable service to every household. But, now </w:t>
      </w:r>
      <w:r>
        <w:t xml:space="preserve">that </w:t>
      </w:r>
      <w:r w:rsidRPr="005D69E2">
        <w:t xml:space="preserve">communications are personal because of mobiles; hence adult rather than household. </w:t>
      </w:r>
    </w:p>
  </w:footnote>
  <w:footnote w:id="3">
    <w:p w:rsidR="00B36628" w:rsidRDefault="00B36628">
      <w:pPr>
        <w:pStyle w:val="FootnoteText"/>
      </w:pPr>
      <w:r>
        <w:rPr>
          <w:rStyle w:val="FootnoteReference"/>
        </w:rPr>
        <w:footnoteRef/>
      </w:r>
      <w:r>
        <w:t xml:space="preserve"> This supposes that providing vouchers or increasing government allowances would be politically unacceptable.</w:t>
      </w:r>
    </w:p>
  </w:footnote>
  <w:footnote w:id="4">
    <w:p w:rsidR="00B36628" w:rsidRDefault="00B36628">
      <w:pPr>
        <w:pStyle w:val="FootnoteText"/>
      </w:pPr>
      <w:r>
        <w:rPr>
          <w:rStyle w:val="FootnoteReference"/>
        </w:rPr>
        <w:footnoteRef/>
      </w:r>
      <w:r>
        <w:t xml:space="preserve"> This term is borrowed from the ACMA’s excellent series of papers on this topic.</w:t>
      </w:r>
    </w:p>
  </w:footnote>
  <w:footnote w:id="5">
    <w:p w:rsidR="00B36628" w:rsidRDefault="00B36628">
      <w:pPr>
        <w:pStyle w:val="FootnoteText"/>
      </w:pPr>
      <w:r>
        <w:rPr>
          <w:rStyle w:val="FootnoteReference"/>
        </w:rPr>
        <w:footnoteRef/>
      </w:r>
      <w:r>
        <w:t xml:space="preserve"> </w:t>
      </w:r>
      <w:r w:rsidRPr="0067504B">
        <w:t xml:space="preserve">Corbin, Teresa (2015) </w:t>
      </w:r>
      <w:r w:rsidRPr="0067504B">
        <w:rPr>
          <w:bCs/>
        </w:rPr>
        <w:t>The Future of the USO in a Multi Technology Environment</w:t>
      </w:r>
    </w:p>
  </w:footnote>
  <w:footnote w:id="6">
    <w:p w:rsidR="00B36628" w:rsidRDefault="00B36628" w:rsidP="00CD3BEA">
      <w:pPr>
        <w:pStyle w:val="FootnoteText"/>
      </w:pPr>
      <w:r>
        <w:rPr>
          <w:rStyle w:val="FootnoteReference"/>
        </w:rPr>
        <w:footnoteRef/>
      </w:r>
      <w:r>
        <w:t xml:space="preserve"> </w:t>
      </w:r>
      <w:r w:rsidRPr="00B904B2">
        <w:t>Australian Government Regional Telecommunications Review, Consultation</w:t>
      </w:r>
      <w:r>
        <w:t xml:space="preserve"> (2015)</w:t>
      </w:r>
    </w:p>
  </w:footnote>
  <w:footnote w:id="7">
    <w:p w:rsidR="00B36628" w:rsidRDefault="00B36628">
      <w:pPr>
        <w:pStyle w:val="FootnoteText"/>
      </w:pPr>
      <w:r>
        <w:rPr>
          <w:rStyle w:val="FootnoteReference"/>
        </w:rPr>
        <w:footnoteRef/>
      </w:r>
      <w:r>
        <w:t xml:space="preserve"> Ibid.</w:t>
      </w:r>
    </w:p>
  </w:footnote>
  <w:footnote w:id="8">
    <w:p w:rsidR="00B36628" w:rsidRDefault="00B36628" w:rsidP="00437B6D">
      <w:pPr>
        <w:pStyle w:val="FootnoteText"/>
      </w:pPr>
      <w:r>
        <w:rPr>
          <w:rStyle w:val="FootnoteReference"/>
        </w:rPr>
        <w:footnoteRef/>
      </w:r>
      <w:r>
        <w:t xml:space="preserve"> </w:t>
      </w:r>
      <w:proofErr w:type="spellStart"/>
      <w:proofErr w:type="gramStart"/>
      <w:r w:rsidRPr="00B9398A">
        <w:t>Feijóo</w:t>
      </w:r>
      <w:proofErr w:type="spellEnd"/>
      <w:r w:rsidRPr="00B9398A">
        <w:t>, C. &amp; Milne, C. (Eds.).</w:t>
      </w:r>
      <w:proofErr w:type="gramEnd"/>
      <w:r w:rsidRPr="00B9398A">
        <w:t xml:space="preserve"> (2008). Re-Thinking Universal Service Policy for the Digital Era</w:t>
      </w:r>
    </w:p>
  </w:footnote>
  <w:footnote w:id="9">
    <w:p w:rsidR="00B36628" w:rsidRDefault="00B36628" w:rsidP="00500D44">
      <w:pPr>
        <w:pStyle w:val="FootnoteText"/>
      </w:pPr>
      <w:r>
        <w:rPr>
          <w:rStyle w:val="FootnoteReference"/>
        </w:rPr>
        <w:footnoteRef/>
      </w:r>
      <w:r>
        <w:t xml:space="preserve"> </w:t>
      </w:r>
      <w:r w:rsidRPr="00AA0E54">
        <w:t>Annex V, Recital 25 in the Universal Service Directive</w:t>
      </w:r>
    </w:p>
  </w:footnote>
  <w:footnote w:id="10">
    <w:p w:rsidR="00B36628" w:rsidRDefault="00B36628" w:rsidP="00500D44">
      <w:pPr>
        <w:pStyle w:val="FootnoteText"/>
      </w:pPr>
      <w:r>
        <w:rPr>
          <w:rStyle w:val="FootnoteReference"/>
        </w:rPr>
        <w:footnoteRef/>
      </w:r>
      <w:r>
        <w:t xml:space="preserve"> </w:t>
      </w:r>
      <w:r w:rsidRPr="00D03302">
        <w:t>This is better than Australia with 28.7%  of users under 8Mbps at December 2014 (ABS Cat 8153.0</w:t>
      </w:r>
      <w:r>
        <w:t>)</w:t>
      </w:r>
    </w:p>
  </w:footnote>
  <w:footnote w:id="11">
    <w:p w:rsidR="00B36628" w:rsidRDefault="00B36628" w:rsidP="00500D44">
      <w:pPr>
        <w:pStyle w:val="FootnoteText"/>
      </w:pPr>
      <w:r>
        <w:rPr>
          <w:rStyle w:val="FootnoteReference"/>
        </w:rPr>
        <w:footnoteRef/>
      </w:r>
      <w:r>
        <w:t xml:space="preserve"> P4, Ofcom (2015)</w:t>
      </w:r>
    </w:p>
  </w:footnote>
  <w:footnote w:id="12">
    <w:p w:rsidR="00B36628" w:rsidRDefault="00B36628" w:rsidP="00ED70FA">
      <w:pPr>
        <w:pStyle w:val="FootnoteText"/>
      </w:pPr>
      <w:r>
        <w:rPr>
          <w:rStyle w:val="FootnoteReference"/>
        </w:rPr>
        <w:footnoteRef/>
      </w:r>
      <w:r>
        <w:t xml:space="preserve"> Ofcom (2014)</w:t>
      </w:r>
    </w:p>
  </w:footnote>
  <w:footnote w:id="13">
    <w:p w:rsidR="00B36628" w:rsidRDefault="00B36628" w:rsidP="005D29A4">
      <w:pPr>
        <w:pStyle w:val="FootnoteText"/>
      </w:pPr>
      <w:r>
        <w:rPr>
          <w:rStyle w:val="FootnoteReference"/>
        </w:rPr>
        <w:footnoteRef/>
      </w:r>
      <w:r>
        <w:t xml:space="preserve"> </w:t>
      </w:r>
      <w:proofErr w:type="gramStart"/>
      <w:r>
        <w:rPr>
          <w:lang w:val="en-US"/>
        </w:rPr>
        <w:t>T</w:t>
      </w:r>
      <w:r w:rsidRPr="005E7357">
        <w:rPr>
          <w:lang w:val="en-US"/>
        </w:rPr>
        <w:t>he Telecommunications Universal Service Management Agency (TUSMA)</w:t>
      </w:r>
      <w:r>
        <w:rPr>
          <w:lang w:val="en-US"/>
        </w:rPr>
        <w:t>.</w:t>
      </w:r>
      <w:proofErr w:type="gramEnd"/>
      <w:r>
        <w:rPr>
          <w:lang w:val="en-US"/>
        </w:rPr>
        <w:t xml:space="preserve"> </w:t>
      </w:r>
      <w:r w:rsidRPr="005E7357">
        <w:rPr>
          <w:lang w:val="en-US"/>
        </w:rPr>
        <w:t xml:space="preserve">In July 2015, TUSMA was </w:t>
      </w:r>
      <w:hyperlink r:id="rId1" w:history="1">
        <w:r w:rsidRPr="005E7357">
          <w:rPr>
            <w:rStyle w:val="Hyperlink"/>
            <w:lang w:val="en-US"/>
          </w:rPr>
          <w:t>folded</w:t>
        </w:r>
      </w:hyperlink>
      <w:r w:rsidRPr="005E7357">
        <w:rPr>
          <w:lang w:val="en-US"/>
        </w:rPr>
        <w:t xml:space="preserve"> into the Department of Communications.</w:t>
      </w:r>
    </w:p>
  </w:footnote>
  <w:footnote w:id="14">
    <w:p w:rsidR="00B36628" w:rsidRDefault="00B36628">
      <w:pPr>
        <w:pStyle w:val="FootnoteText"/>
      </w:pPr>
      <w:r>
        <w:rPr>
          <w:rStyle w:val="FootnoteReference"/>
        </w:rPr>
        <w:footnoteRef/>
      </w:r>
      <w:r>
        <w:t xml:space="preserve"> </w:t>
      </w:r>
      <w:r w:rsidRPr="00232E5D">
        <w:t>That is better than the UK with 84% of UK premises having 3G outdoor coverage from all operators in 2014, 71% having indoor coverage (Ofcom 2015 Strategic Review).</w:t>
      </w:r>
    </w:p>
  </w:footnote>
  <w:footnote w:id="15">
    <w:p w:rsidR="00B36628" w:rsidRDefault="00B36628">
      <w:pPr>
        <w:pStyle w:val="FootnoteText"/>
      </w:pPr>
      <w:r>
        <w:rPr>
          <w:rStyle w:val="FootnoteReference"/>
        </w:rPr>
        <w:footnoteRef/>
      </w:r>
      <w:r>
        <w:t xml:space="preserve"> </w:t>
      </w:r>
      <w:r w:rsidRPr="00457A09">
        <w:t xml:space="preserve">7,692,000  </w:t>
      </w:r>
      <w:proofErr w:type="spellStart"/>
      <w:r w:rsidRPr="00457A09">
        <w:t>sq</w:t>
      </w:r>
      <w:proofErr w:type="spellEnd"/>
      <w:r w:rsidRPr="00457A09">
        <w:t xml:space="preserve"> km</w:t>
      </w:r>
    </w:p>
  </w:footnote>
  <w:footnote w:id="16">
    <w:p w:rsidR="00B36628" w:rsidRDefault="00B36628" w:rsidP="00BB06DD">
      <w:pPr>
        <w:pStyle w:val="FootnoteText"/>
      </w:pPr>
      <w:r>
        <w:rPr>
          <w:rStyle w:val="FootnoteReference"/>
        </w:rPr>
        <w:footnoteRef/>
      </w:r>
      <w:r>
        <w:t xml:space="preserve"> </w:t>
      </w:r>
      <w:r w:rsidRPr="00E17FD8">
        <w:rPr>
          <w:lang w:val="en-US"/>
        </w:rPr>
        <w:t>The CSG can be waived; it does not apply to all telecommunication providers. TPG for example does not provide CSG products</w:t>
      </w:r>
      <w:r>
        <w:rPr>
          <w:lang w:val="en-US"/>
        </w:rPr>
        <w:t>.</w:t>
      </w:r>
    </w:p>
  </w:footnote>
  <w:footnote w:id="17">
    <w:p w:rsidR="00B36628" w:rsidRDefault="00B36628" w:rsidP="00BB06DD">
      <w:pPr>
        <w:pStyle w:val="FootnoteText"/>
      </w:pPr>
      <w:r>
        <w:rPr>
          <w:rStyle w:val="FootnoteReference"/>
        </w:rPr>
        <w:footnoteRef/>
      </w:r>
      <w:r>
        <w:t xml:space="preserve"> P7 Goggin (2010)</w:t>
      </w:r>
    </w:p>
  </w:footnote>
  <w:footnote w:id="18">
    <w:p w:rsidR="00B36628" w:rsidRDefault="00B36628">
      <w:pPr>
        <w:pStyle w:val="FootnoteText"/>
      </w:pPr>
      <w:r>
        <w:rPr>
          <w:rStyle w:val="FootnoteReference"/>
        </w:rPr>
        <w:footnoteRef/>
      </w:r>
      <w:r>
        <w:t xml:space="preserve"> </w:t>
      </w:r>
      <w:proofErr w:type="spellStart"/>
      <w:r>
        <w:t>Morsillo</w:t>
      </w:r>
      <w:proofErr w:type="spellEnd"/>
      <w:r>
        <w:t xml:space="preserve"> (2008)</w:t>
      </w:r>
    </w:p>
  </w:footnote>
  <w:footnote w:id="19">
    <w:p w:rsidR="00B36628" w:rsidRDefault="00B36628">
      <w:pPr>
        <w:pStyle w:val="FootnoteText"/>
      </w:pPr>
      <w:r>
        <w:rPr>
          <w:rStyle w:val="FootnoteReference"/>
        </w:rPr>
        <w:footnoteRef/>
      </w:r>
      <w:r>
        <w:t xml:space="preserve"> </w:t>
      </w:r>
      <w:r w:rsidRPr="001C4FA4">
        <w:rPr>
          <w:bCs/>
        </w:rPr>
        <w:t xml:space="preserve">See Telstra’s </w:t>
      </w:r>
      <w:hyperlink r:id="rId2" w:history="1">
        <w:r w:rsidRPr="001C4FA4">
          <w:rPr>
            <w:rStyle w:val="Hyperlink"/>
            <w:bCs/>
            <w:i/>
          </w:rPr>
          <w:t>Access for Everyone</w:t>
        </w:r>
      </w:hyperlink>
      <w:r w:rsidRPr="001C4FA4">
        <w:rPr>
          <w:bCs/>
        </w:rPr>
        <w:t xml:space="preserve"> site for details of all supplementary support programmes</w:t>
      </w:r>
      <w:r>
        <w:rPr>
          <w:bCs/>
        </w:rPr>
        <w:t>.</w:t>
      </w:r>
    </w:p>
  </w:footnote>
  <w:footnote w:id="20">
    <w:p w:rsidR="00B36628" w:rsidRDefault="00B36628">
      <w:pPr>
        <w:pStyle w:val="FootnoteText"/>
      </w:pPr>
      <w:r>
        <w:rPr>
          <w:rStyle w:val="FootnoteReference"/>
        </w:rPr>
        <w:footnoteRef/>
      </w:r>
      <w:r>
        <w:t xml:space="preserve"> </w:t>
      </w:r>
      <w:proofErr w:type="spellStart"/>
      <w:r w:rsidRPr="004D46CB">
        <w:rPr>
          <w:bCs/>
        </w:rPr>
        <w:t>Eardley</w:t>
      </w:r>
      <w:proofErr w:type="spellEnd"/>
      <w:r w:rsidRPr="004D46CB">
        <w:rPr>
          <w:bCs/>
        </w:rPr>
        <w:t xml:space="preserve"> (2009)</w:t>
      </w:r>
    </w:p>
  </w:footnote>
  <w:footnote w:id="21">
    <w:p w:rsidR="00B36628" w:rsidRDefault="00B36628" w:rsidP="00A16C1A">
      <w:r>
        <w:rPr>
          <w:rStyle w:val="FootnoteReference"/>
        </w:rPr>
        <w:footnoteRef/>
      </w:r>
      <w:r>
        <w:t xml:space="preserve"> </w:t>
      </w:r>
      <w:r w:rsidRPr="00607CBC">
        <w:rPr>
          <w:sz w:val="20"/>
        </w:rPr>
        <w:t xml:space="preserve">Under Division 3, Section 111 of the Radio Communications Act 1992 </w:t>
      </w:r>
      <w:hyperlink r:id="rId3" w:history="1">
        <w:r w:rsidRPr="00607CBC">
          <w:rPr>
            <w:rStyle w:val="Hyperlink"/>
            <w:sz w:val="20"/>
          </w:rPr>
          <w:t>https://www.comlaw.gov.au/Details/C2015C00143</w:t>
        </w:r>
      </w:hyperlink>
      <w:r w:rsidRPr="00607CBC">
        <w:rPr>
          <w:sz w:val="20"/>
        </w:rPr>
        <w:t xml:space="preserve">  the ACMA can make changes to the licence conditions of individual licensees or receive a direction from the Minister through a legislative instrument to make changes.</w:t>
      </w:r>
    </w:p>
  </w:footnote>
  <w:footnote w:id="22">
    <w:p w:rsidR="00B36628" w:rsidRDefault="00B36628" w:rsidP="00A16C1A">
      <w:r>
        <w:rPr>
          <w:rStyle w:val="FootnoteReference"/>
        </w:rPr>
        <w:footnoteRef/>
      </w:r>
      <w:r>
        <w:t xml:space="preserve"> </w:t>
      </w:r>
      <w:r w:rsidRPr="007015BA">
        <w:rPr>
          <w:sz w:val="20"/>
        </w:rPr>
        <w:t>Schedule 2 of the Act already includes obligations on service providers with respect to operator services, IPND (numbers), directory services and itemised billing. Under section 99 of the Telecommunications Act, the ACMA may make a written determination setting out additional rules that apply to service providers in relation to the supply of specified carriage or content services.</w:t>
      </w:r>
      <w:r>
        <w:t xml:space="preserve"> </w:t>
      </w:r>
    </w:p>
  </w:footnote>
  <w:footnote w:id="23">
    <w:p w:rsidR="00B36628" w:rsidRDefault="00B36628" w:rsidP="005431EF">
      <w:pPr>
        <w:pStyle w:val="FootnoteText"/>
      </w:pPr>
      <w:r>
        <w:rPr>
          <w:rStyle w:val="FootnoteReference"/>
        </w:rPr>
        <w:footnoteRef/>
      </w:r>
      <w:r>
        <w:t xml:space="preserve"> See Telstra’s </w:t>
      </w:r>
      <w:hyperlink r:id="rId4" w:history="1">
        <w:r w:rsidRPr="00531A3E">
          <w:rPr>
            <w:rStyle w:val="Hyperlink"/>
            <w:i/>
          </w:rPr>
          <w:t>Access for Everyone</w:t>
        </w:r>
      </w:hyperlink>
      <w:r>
        <w:t xml:space="preserve"> site for details of its support programmes. </w:t>
      </w:r>
      <w:r w:rsidRPr="004C0D17">
        <w:rPr>
          <w:bCs/>
        </w:rPr>
        <w:t xml:space="preserve">Representatives on the LIMAC Committee include the Australian Council of Social Services, the Smith Family, the Saint Vincent de Paul Society, the Salvation Army, Jobs Australia, Homelessness Australia, </w:t>
      </w:r>
      <w:proofErr w:type="spellStart"/>
      <w:r w:rsidRPr="004C0D17">
        <w:rPr>
          <w:bCs/>
        </w:rPr>
        <w:t>Anglicare</w:t>
      </w:r>
      <w:proofErr w:type="spellEnd"/>
      <w:r w:rsidRPr="004C0D17">
        <w:rPr>
          <w:bCs/>
        </w:rPr>
        <w:t xml:space="preserve"> Australia and the Council on the Ageing.</w:t>
      </w:r>
    </w:p>
  </w:footnote>
  <w:footnote w:id="24">
    <w:p w:rsidR="00B36628" w:rsidRDefault="00B36628" w:rsidP="00325D1B">
      <w:pPr>
        <w:pStyle w:val="FootnoteText"/>
      </w:pPr>
      <w:r>
        <w:rPr>
          <w:rStyle w:val="FootnoteReference"/>
        </w:rPr>
        <w:footnoteRef/>
      </w:r>
      <w:r>
        <w:t xml:space="preserve"> </w:t>
      </w:r>
      <w:proofErr w:type="spellStart"/>
      <w:r w:rsidRPr="004B1DC9">
        <w:t>Pavlidis</w:t>
      </w:r>
      <w:proofErr w:type="spellEnd"/>
      <w:r w:rsidRPr="004B1DC9">
        <w:t xml:space="preserve">, K. and </w:t>
      </w:r>
      <w:proofErr w:type="spellStart"/>
      <w:r w:rsidRPr="004B1DC9">
        <w:t>Gadir</w:t>
      </w:r>
      <w:proofErr w:type="spellEnd"/>
      <w:r w:rsidRPr="004B1DC9">
        <w:t xml:space="preserve">, J. (2013) </w:t>
      </w:r>
    </w:p>
  </w:footnote>
  <w:footnote w:id="25">
    <w:p w:rsidR="00B36628" w:rsidRDefault="00B36628">
      <w:pPr>
        <w:pStyle w:val="FootnoteText"/>
      </w:pPr>
      <w:r>
        <w:rPr>
          <w:rStyle w:val="FootnoteReference"/>
        </w:rPr>
        <w:footnoteRef/>
      </w:r>
      <w:r>
        <w:t xml:space="preserve"> Ibid.</w:t>
      </w:r>
    </w:p>
  </w:footnote>
  <w:footnote w:id="26">
    <w:p w:rsidR="00B36628" w:rsidRDefault="00B36628" w:rsidP="00057E8D">
      <w:pPr>
        <w:pStyle w:val="FootnoteText"/>
      </w:pPr>
      <w:r>
        <w:rPr>
          <w:rStyle w:val="FootnoteReference"/>
        </w:rPr>
        <w:footnoteRef/>
      </w:r>
      <w:r>
        <w:t xml:space="preserve"> </w:t>
      </w:r>
      <w:r>
        <w:rPr>
          <w:lang w:val="en-GB"/>
        </w:rPr>
        <w:t>ABS Cat. 6523</w:t>
      </w:r>
    </w:p>
  </w:footnote>
  <w:footnote w:id="27">
    <w:p w:rsidR="00B36628" w:rsidRDefault="00B36628" w:rsidP="003774AF">
      <w:pPr>
        <w:pStyle w:val="FootnoteText"/>
      </w:pPr>
      <w:r>
        <w:rPr>
          <w:rStyle w:val="FootnoteReference"/>
        </w:rPr>
        <w:footnoteRef/>
      </w:r>
      <w:r>
        <w:t xml:space="preserve"> SACOSS Cost of Living Update, March Qtr. 2015</w:t>
      </w:r>
    </w:p>
  </w:footnote>
  <w:footnote w:id="28">
    <w:p w:rsidR="00B36628" w:rsidRDefault="00B36628" w:rsidP="00015D24">
      <w:pPr>
        <w:pStyle w:val="FootnoteText"/>
      </w:pPr>
      <w:r>
        <w:rPr>
          <w:rStyle w:val="FootnoteReference"/>
        </w:rPr>
        <w:footnoteRef/>
      </w:r>
      <w:r>
        <w:t xml:space="preserve"> UK Regulators’ Network (2015)</w:t>
      </w:r>
    </w:p>
  </w:footnote>
  <w:footnote w:id="29">
    <w:p w:rsidR="00B36628" w:rsidRDefault="00B36628">
      <w:pPr>
        <w:pStyle w:val="FootnoteText"/>
      </w:pPr>
      <w:r>
        <w:rPr>
          <w:rStyle w:val="FootnoteReference"/>
        </w:rPr>
        <w:footnoteRef/>
      </w:r>
      <w:r>
        <w:t xml:space="preserve"> Although disposable income is less than expenditure, </w:t>
      </w:r>
      <w:r w:rsidRPr="00E044B2">
        <w:rPr>
          <w:i/>
        </w:rPr>
        <w:t>“The ABS has long advised that some low income households have characteristics that indicate they have a higher standard of living than that implied by their incomes alone”</w:t>
      </w:r>
      <w:r>
        <w:t xml:space="preserve"> (p12, Cat 6554, October 2011).</w:t>
      </w:r>
    </w:p>
  </w:footnote>
  <w:footnote w:id="30">
    <w:p w:rsidR="00B36628" w:rsidRDefault="00B36628">
      <w:pPr>
        <w:pStyle w:val="FootnoteText"/>
      </w:pPr>
      <w:r>
        <w:rPr>
          <w:rStyle w:val="FootnoteReference"/>
        </w:rPr>
        <w:footnoteRef/>
      </w:r>
      <w:r>
        <w:t xml:space="preserve"> </w:t>
      </w:r>
      <w:r w:rsidRPr="00765134">
        <w:t>ABS Cat 6523, Table 1.1 updated the mean $938 shown in Table 6 using CPI. The median is taken from the middle percentile shown in the same table.</w:t>
      </w:r>
    </w:p>
  </w:footnote>
  <w:footnote w:id="31">
    <w:p w:rsidR="00B36628" w:rsidRDefault="00B36628" w:rsidP="00CD2923">
      <w:pPr>
        <w:pStyle w:val="FootnoteText"/>
      </w:pPr>
      <w:r>
        <w:rPr>
          <w:rStyle w:val="FootnoteReference"/>
        </w:rPr>
        <w:footnoteRef/>
      </w:r>
      <w:r>
        <w:t xml:space="preserve"> </w:t>
      </w:r>
      <w:r w:rsidRPr="009B30F6">
        <w:t>ACCAN, 2010, p. 4</w:t>
      </w:r>
    </w:p>
  </w:footnote>
  <w:footnote w:id="32">
    <w:p w:rsidR="00B36628" w:rsidRDefault="00B36628">
      <w:pPr>
        <w:pStyle w:val="FootnoteText"/>
      </w:pPr>
      <w:r>
        <w:rPr>
          <w:rStyle w:val="FootnoteReference"/>
        </w:rPr>
        <w:footnoteRef/>
      </w:r>
      <w:r>
        <w:t xml:space="preserve"> ABS Cat 4102 </w:t>
      </w:r>
    </w:p>
  </w:footnote>
  <w:footnote w:id="33">
    <w:p w:rsidR="00B36628" w:rsidRPr="000E0653" w:rsidRDefault="00B36628" w:rsidP="007015BA">
      <w:pPr>
        <w:pStyle w:val="FootnoteText"/>
      </w:pPr>
      <w:r>
        <w:rPr>
          <w:rStyle w:val="FootnoteReference"/>
        </w:rPr>
        <w:footnoteRef/>
      </w:r>
      <w:r>
        <w:t xml:space="preserve"> </w:t>
      </w:r>
      <w:r w:rsidRPr="000E0653">
        <w:t xml:space="preserve">LITE home internet gives 8Mbps/256Kbps and 20GBpm </w:t>
      </w:r>
    </w:p>
    <w:p w:rsidR="00B36628" w:rsidRDefault="00C6590E" w:rsidP="007015BA">
      <w:pPr>
        <w:pStyle w:val="FootnoteText"/>
      </w:pPr>
      <w:hyperlink r:id="rId5" w:history="1">
        <w:r w:rsidR="00B36628" w:rsidRPr="000E6ABB">
          <w:rPr>
            <w:rStyle w:val="Hyperlink"/>
          </w:rPr>
          <w:t>http://www.rogers.com/web/link/hispeedBrowseFlowDefaultPlans</w:t>
        </w:r>
      </w:hyperlink>
      <w:r w:rsidR="00B36628">
        <w:t xml:space="preserve"> </w:t>
      </w:r>
    </w:p>
  </w:footnote>
  <w:footnote w:id="34">
    <w:p w:rsidR="00B36628" w:rsidRDefault="00B36628">
      <w:pPr>
        <w:pStyle w:val="FootnoteText"/>
      </w:pPr>
      <w:r>
        <w:rPr>
          <w:rStyle w:val="FootnoteReference"/>
        </w:rPr>
        <w:footnoteRef/>
      </w:r>
      <w:r>
        <w:t xml:space="preserve"> </w:t>
      </w:r>
      <w:r w:rsidRPr="000025FE">
        <w:t xml:space="preserve">De Ridder, J. and James R. (2014) </w:t>
      </w:r>
      <w:hyperlink r:id="rId6" w:history="1">
        <w:r w:rsidRPr="000025FE">
          <w:rPr>
            <w:rStyle w:val="Hyperlink"/>
            <w:i/>
            <w:iCs/>
          </w:rPr>
          <w:t>Affordable retail pricing on the NBN</w:t>
        </w:r>
      </w:hyperlink>
      <w:r w:rsidRPr="000025FE">
        <w:t xml:space="preserve">. Australian Journal of Telecommunications and the Digital Economy, </w:t>
      </w:r>
      <w:proofErr w:type="spellStart"/>
      <w:r w:rsidRPr="000025FE">
        <w:t>Vol</w:t>
      </w:r>
      <w:proofErr w:type="spellEnd"/>
      <w:r w:rsidRPr="000025FE">
        <w:t xml:space="preserve"> 1, No 1, Article 5. </w:t>
      </w:r>
      <w:hyperlink r:id="rId7" w:tgtFrame="_blank" w:history="1"/>
      <w:r w:rsidRPr="000025FE">
        <w:rPr>
          <w:u w:val="single"/>
        </w:rPr>
        <w:t xml:space="preserve"> </w:t>
      </w:r>
    </w:p>
  </w:footnote>
  <w:footnote w:id="35">
    <w:p w:rsidR="00B36628" w:rsidRDefault="00B36628" w:rsidP="00DC7174">
      <w:pPr>
        <w:pStyle w:val="FootnoteText"/>
      </w:pPr>
      <w:r>
        <w:rPr>
          <w:rStyle w:val="FootnoteReference"/>
        </w:rPr>
        <w:footnoteRef/>
      </w:r>
      <w:r>
        <w:t xml:space="preserve"> </w:t>
      </w:r>
      <w:proofErr w:type="spellStart"/>
      <w:r w:rsidRPr="00E773FB">
        <w:rPr>
          <w:lang w:val="en-GB"/>
        </w:rPr>
        <w:t>Morsillo</w:t>
      </w:r>
      <w:proofErr w:type="spellEnd"/>
      <w:r w:rsidRPr="00E773FB">
        <w:rPr>
          <w:lang w:val="en-GB"/>
        </w:rPr>
        <w:t>, R, (2012) “</w:t>
      </w:r>
      <w:r w:rsidRPr="00E773FB">
        <w:rPr>
          <w:i/>
          <w:lang w:val="en-GB"/>
        </w:rPr>
        <w:t>Broadband affordability in Australia: Looking beyond availability</w:t>
      </w:r>
      <w:r w:rsidRPr="00E773FB">
        <w:rPr>
          <w:lang w:val="en-GB"/>
        </w:rPr>
        <w:t xml:space="preserve">”, in </w:t>
      </w:r>
      <w:r w:rsidRPr="00E773FB">
        <w:rPr>
          <w:iCs/>
          <w:lang w:val="en-GB"/>
        </w:rPr>
        <w:t>Telecommunications Journal of Australia, Vol. 62, Number 5</w:t>
      </w:r>
      <w:r w:rsidRPr="00E773FB">
        <w:rPr>
          <w:i/>
          <w:iCs/>
          <w:lang w:val="en-GB"/>
        </w:rPr>
        <w:t xml:space="preserve"> </w:t>
      </w:r>
      <w:r w:rsidRPr="00E773FB">
        <w:rPr>
          <w:lang w:val="en-GB"/>
        </w:rPr>
        <w:t xml:space="preserve"> </w:t>
      </w:r>
    </w:p>
  </w:footnote>
  <w:footnote w:id="36">
    <w:p w:rsidR="00B36628" w:rsidRDefault="00B36628">
      <w:pPr>
        <w:pStyle w:val="FootnoteText"/>
      </w:pPr>
      <w:r>
        <w:rPr>
          <w:rStyle w:val="FootnoteReference"/>
        </w:rPr>
        <w:footnoteRef/>
      </w:r>
      <w:r>
        <w:t xml:space="preserve"> Ofcom (2014) and SACOSS (2015)</w:t>
      </w:r>
    </w:p>
  </w:footnote>
  <w:footnote w:id="37">
    <w:p w:rsidR="00B36628" w:rsidRDefault="00B36628">
      <w:pPr>
        <w:pStyle w:val="FootnoteText"/>
      </w:pPr>
      <w:r>
        <w:rPr>
          <w:rStyle w:val="FootnoteReference"/>
        </w:rPr>
        <w:footnoteRef/>
      </w:r>
      <w:r>
        <w:t xml:space="preserve"> P8, Goggin</w:t>
      </w:r>
      <w:r w:rsidRPr="00531A3E">
        <w:t xml:space="preserve"> (2010)</w:t>
      </w:r>
    </w:p>
  </w:footnote>
  <w:footnote w:id="38">
    <w:p w:rsidR="00B36628" w:rsidRDefault="00B36628">
      <w:pPr>
        <w:pStyle w:val="FootnoteText"/>
      </w:pPr>
      <w:r>
        <w:rPr>
          <w:rStyle w:val="FootnoteReference"/>
        </w:rPr>
        <w:footnoteRef/>
      </w:r>
      <w:r>
        <w:t xml:space="preserve"> </w:t>
      </w:r>
      <w:r w:rsidRPr="00A244C4">
        <w:t>Liberal Party of Australia (2013</w:t>
      </w:r>
      <w:r>
        <w:t>)</w:t>
      </w:r>
    </w:p>
  </w:footnote>
  <w:footnote w:id="39">
    <w:p w:rsidR="00B36628" w:rsidRDefault="00B36628">
      <w:pPr>
        <w:pStyle w:val="FootnoteText"/>
      </w:pPr>
      <w:r>
        <w:rPr>
          <w:rStyle w:val="FootnoteReference"/>
        </w:rPr>
        <w:footnoteRef/>
      </w:r>
      <w:r>
        <w:t xml:space="preserve"> </w:t>
      </w:r>
      <w:r w:rsidRPr="004B6060">
        <w:t xml:space="preserve">In August 2015, the ACCC decided that the terminating cost of SMS should be 0.03 cents/SMS from January 2016. This compares with retail prices up to 29 cents/SMS on some of Telstra’s pre-paid offers. </w:t>
      </w:r>
      <w:proofErr w:type="gramStart"/>
      <w:r w:rsidRPr="004B6060">
        <w:t>(Beyond talk and Long Life; at September 2015).</w:t>
      </w:r>
      <w:proofErr w:type="gramEnd"/>
    </w:p>
  </w:footnote>
  <w:footnote w:id="40">
    <w:p w:rsidR="00B36628" w:rsidRDefault="00B36628">
      <w:pPr>
        <w:pStyle w:val="FootnoteText"/>
      </w:pPr>
      <w:r>
        <w:rPr>
          <w:rStyle w:val="FootnoteReference"/>
        </w:rPr>
        <w:footnoteRef/>
      </w:r>
      <w:r>
        <w:t xml:space="preserve"> </w:t>
      </w:r>
      <w:proofErr w:type="gramStart"/>
      <w:r>
        <w:t>Op. cit.</w:t>
      </w:r>
      <w:proofErr w:type="gramEnd"/>
    </w:p>
  </w:footnote>
  <w:footnote w:id="41">
    <w:p w:rsidR="00B36628" w:rsidRDefault="00B36628">
      <w:pPr>
        <w:pStyle w:val="FootnoteText"/>
      </w:pPr>
      <w:r>
        <w:rPr>
          <w:rStyle w:val="FootnoteReference"/>
        </w:rPr>
        <w:footnoteRef/>
      </w:r>
      <w:r>
        <w:t xml:space="preserve"> Teresa Corbin (2015)</w:t>
      </w:r>
    </w:p>
  </w:footnote>
  <w:footnote w:id="42">
    <w:p w:rsidR="00B36628" w:rsidRDefault="00B36628">
      <w:pPr>
        <w:pStyle w:val="FootnoteText"/>
      </w:pPr>
      <w:r>
        <w:rPr>
          <w:rStyle w:val="FootnoteReference"/>
        </w:rPr>
        <w:footnoteRef/>
      </w:r>
      <w:r>
        <w:t xml:space="preserve"> </w:t>
      </w:r>
      <w:r w:rsidRPr="005E7357">
        <w:rPr>
          <w:lang w:val="en-US"/>
        </w:rPr>
        <w:t xml:space="preserve">In 2012, the Telecommunications Universal Service Management Agency (TUSMA) became the principal responsible for the USO and entered into </w:t>
      </w:r>
      <w:hyperlink r:id="rId8" w:history="1">
        <w:r w:rsidRPr="005E7357">
          <w:rPr>
            <w:rStyle w:val="Hyperlink"/>
            <w:lang w:val="en-US"/>
          </w:rPr>
          <w:t>contracts</w:t>
        </w:r>
      </w:hyperlink>
      <w:r w:rsidRPr="005E7357">
        <w:rPr>
          <w:lang w:val="en-US"/>
        </w:rPr>
        <w:t xml:space="preserve"> with Telstra to deliver the obligations ($253m p.a. until July 2032). In July 2015, TUSMA was </w:t>
      </w:r>
      <w:hyperlink r:id="rId9" w:history="1">
        <w:r w:rsidRPr="005E7357">
          <w:rPr>
            <w:rStyle w:val="Hyperlink"/>
            <w:lang w:val="en-US"/>
          </w:rPr>
          <w:t>folded</w:t>
        </w:r>
      </w:hyperlink>
      <w:r w:rsidRPr="005E7357">
        <w:rPr>
          <w:lang w:val="en-US"/>
        </w:rPr>
        <w:t xml:space="preserve"> into the Department of Communications. </w:t>
      </w:r>
    </w:p>
  </w:footnote>
  <w:footnote w:id="43">
    <w:p w:rsidR="00B36628" w:rsidRDefault="00B36628">
      <w:pPr>
        <w:pStyle w:val="FootnoteText"/>
      </w:pPr>
      <w:r>
        <w:rPr>
          <w:rStyle w:val="FootnoteReference"/>
        </w:rPr>
        <w:footnoteRef/>
      </w:r>
      <w:r>
        <w:t xml:space="preserve"> </w:t>
      </w:r>
      <w:r w:rsidRPr="00DA6764">
        <w:rPr>
          <w:lang w:val="en-US"/>
        </w:rPr>
        <w:t xml:space="preserve">See Telstra </w:t>
      </w:r>
      <w:hyperlink r:id="rId10" w:history="1">
        <w:r w:rsidRPr="00DA6764">
          <w:rPr>
            <w:rStyle w:val="Hyperlink"/>
            <w:lang w:val="en-US"/>
          </w:rPr>
          <w:t>website</w:t>
        </w:r>
      </w:hyperlink>
    </w:p>
  </w:footnote>
  <w:footnote w:id="44">
    <w:p w:rsidR="00B36628" w:rsidRDefault="00B36628">
      <w:pPr>
        <w:pStyle w:val="FootnoteText"/>
      </w:pPr>
      <w:r>
        <w:rPr>
          <w:rStyle w:val="FootnoteReference"/>
        </w:rPr>
        <w:footnoteRef/>
      </w:r>
      <w:r>
        <w:t xml:space="preserve"> </w:t>
      </w:r>
      <w:r>
        <w:rPr>
          <w:lang w:val="en-US"/>
        </w:rPr>
        <w:t>Ibid.</w:t>
      </w:r>
    </w:p>
  </w:footnote>
  <w:footnote w:id="45">
    <w:p w:rsidR="00B36628" w:rsidRDefault="00B36628" w:rsidP="00D83B84">
      <w:pPr>
        <w:pStyle w:val="FootnoteText"/>
      </w:pPr>
      <w:r>
        <w:rPr>
          <w:rStyle w:val="FootnoteReference"/>
        </w:rPr>
        <w:footnoteRef/>
      </w:r>
      <w:r>
        <w:t xml:space="preserve"> </w:t>
      </w:r>
      <w:r w:rsidRPr="00A3364D">
        <w:rPr>
          <w:lang w:val="en-GB"/>
        </w:rPr>
        <w:t>Ian Martin drew this double marginalisation effect to my attention with his RBS note Telco Services: funding the USO on the NBN</w:t>
      </w:r>
      <w:r>
        <w:rPr>
          <w:lang w:val="en-GB"/>
        </w:rPr>
        <w:t xml:space="preserve"> </w:t>
      </w:r>
      <w:r w:rsidRPr="00A3364D">
        <w:rPr>
          <w:lang w:val="en-GB"/>
        </w:rPr>
        <w:t>(17 June 2011).</w:t>
      </w:r>
    </w:p>
  </w:footnote>
  <w:footnote w:id="46">
    <w:p w:rsidR="00B36628" w:rsidRDefault="00B36628">
      <w:pPr>
        <w:pStyle w:val="FootnoteText"/>
      </w:pPr>
      <w:r>
        <w:rPr>
          <w:rStyle w:val="FootnoteReference"/>
        </w:rPr>
        <w:footnoteRef/>
      </w:r>
      <w:r>
        <w:t xml:space="preserve"> </w:t>
      </w:r>
      <w:r w:rsidRPr="001A6B21">
        <w:t>https://www.mybroadband.communications.gov.au/reports.aspx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628" w:rsidRDefault="00B366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051"/>
    <w:multiLevelType w:val="hybridMultilevel"/>
    <w:tmpl w:val="6A2A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994E14"/>
    <w:multiLevelType w:val="hybridMultilevel"/>
    <w:tmpl w:val="58620D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7E3523F"/>
    <w:multiLevelType w:val="hybridMultilevel"/>
    <w:tmpl w:val="291A360C"/>
    <w:lvl w:ilvl="0" w:tplc="0C09000D">
      <w:start w:val="1"/>
      <w:numFmt w:val="bullet"/>
      <w:lvlText w:val=""/>
      <w:lvlJc w:val="left"/>
      <w:pPr>
        <w:ind w:left="772" w:hanging="360"/>
      </w:pPr>
      <w:rPr>
        <w:rFonts w:ascii="Wingdings" w:hAnsi="Wingdings" w:hint="default"/>
      </w:rPr>
    </w:lvl>
    <w:lvl w:ilvl="1" w:tplc="0C090003" w:tentative="1">
      <w:start w:val="1"/>
      <w:numFmt w:val="bullet"/>
      <w:lvlText w:val="o"/>
      <w:lvlJc w:val="left"/>
      <w:pPr>
        <w:ind w:left="1492" w:hanging="360"/>
      </w:pPr>
      <w:rPr>
        <w:rFonts w:ascii="Courier New" w:hAnsi="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
    <w:nsid w:val="0CD166DE"/>
    <w:multiLevelType w:val="hybridMultilevel"/>
    <w:tmpl w:val="526E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A76C31"/>
    <w:multiLevelType w:val="hybridMultilevel"/>
    <w:tmpl w:val="BC1C132C"/>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8F72C2"/>
    <w:multiLevelType w:val="hybridMultilevel"/>
    <w:tmpl w:val="5E66E9BE"/>
    <w:lvl w:ilvl="0" w:tplc="00010409">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FB30FE"/>
    <w:multiLevelType w:val="hybridMultilevel"/>
    <w:tmpl w:val="890E7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842DD9"/>
    <w:multiLevelType w:val="multilevel"/>
    <w:tmpl w:val="26D04FAC"/>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nsid w:val="1F471C03"/>
    <w:multiLevelType w:val="hybridMultilevel"/>
    <w:tmpl w:val="8580DE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00B6D50"/>
    <w:multiLevelType w:val="hybridMultilevel"/>
    <w:tmpl w:val="E208EB8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C131BD"/>
    <w:multiLevelType w:val="hybridMultilevel"/>
    <w:tmpl w:val="A52613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nsid w:val="28BE4C06"/>
    <w:multiLevelType w:val="hybridMultilevel"/>
    <w:tmpl w:val="4C9A1C7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1E3F59"/>
    <w:multiLevelType w:val="multilevel"/>
    <w:tmpl w:val="08ECACB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303C23D9"/>
    <w:multiLevelType w:val="hybridMultilevel"/>
    <w:tmpl w:val="C50CE0E6"/>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3AC735D5"/>
    <w:multiLevelType w:val="hybridMultilevel"/>
    <w:tmpl w:val="AB3CA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6932EB"/>
    <w:multiLevelType w:val="hybridMultilevel"/>
    <w:tmpl w:val="5FA6DC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BB49C4"/>
    <w:multiLevelType w:val="hybridMultilevel"/>
    <w:tmpl w:val="6870EAA8"/>
    <w:lvl w:ilvl="0" w:tplc="00010409">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BC6E64"/>
    <w:multiLevelType w:val="hybridMultilevel"/>
    <w:tmpl w:val="61405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EE79CA"/>
    <w:multiLevelType w:val="multilevel"/>
    <w:tmpl w:val="205E07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3C34C2D"/>
    <w:multiLevelType w:val="multilevel"/>
    <w:tmpl w:val="59C686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4546486F"/>
    <w:multiLevelType w:val="hybridMultilevel"/>
    <w:tmpl w:val="1D0A6CBE"/>
    <w:lvl w:ilvl="0" w:tplc="0C090001">
      <w:start w:val="1"/>
      <w:numFmt w:val="bullet"/>
      <w:lvlText w:val=""/>
      <w:lvlJc w:val="left"/>
      <w:pPr>
        <w:ind w:left="720" w:hanging="360"/>
      </w:pPr>
      <w:rPr>
        <w:rFonts w:ascii="Symbol" w:hAnsi="Symbol" w:hint="default"/>
      </w:rPr>
    </w:lvl>
    <w:lvl w:ilvl="1" w:tplc="0C090011">
      <w:start w:val="1"/>
      <w:numFmt w:val="decimal"/>
      <w:lvlText w:val="%2)"/>
      <w:lvlJc w:val="left"/>
      <w:pPr>
        <w:ind w:left="1440" w:hanging="360"/>
      </w:pPr>
      <w:rPr>
        <w:rFont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EB564A"/>
    <w:multiLevelType w:val="hybridMultilevel"/>
    <w:tmpl w:val="14FE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4F47E6"/>
    <w:multiLevelType w:val="hybridMultilevel"/>
    <w:tmpl w:val="16A07F6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280E3D"/>
    <w:multiLevelType w:val="hybridMultilevel"/>
    <w:tmpl w:val="BF42C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E747C77"/>
    <w:multiLevelType w:val="hybridMultilevel"/>
    <w:tmpl w:val="7A187D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51D77B3D"/>
    <w:multiLevelType w:val="hybridMultilevel"/>
    <w:tmpl w:val="39721E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E50892"/>
    <w:multiLevelType w:val="multilevel"/>
    <w:tmpl w:val="ED8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E60926"/>
    <w:multiLevelType w:val="hybridMultilevel"/>
    <w:tmpl w:val="3F46D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EE5DB3"/>
    <w:multiLevelType w:val="hybridMultilevel"/>
    <w:tmpl w:val="BFE2EFD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0">
    <w:nsid w:val="5C8A65E3"/>
    <w:multiLevelType w:val="multilevel"/>
    <w:tmpl w:val="2424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BC5A6A"/>
    <w:multiLevelType w:val="multilevel"/>
    <w:tmpl w:val="2DFEEC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0F55E9B"/>
    <w:multiLevelType w:val="hybridMultilevel"/>
    <w:tmpl w:val="797E68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282C40"/>
    <w:multiLevelType w:val="multilevel"/>
    <w:tmpl w:val="54861DAC"/>
    <w:lvl w:ilvl="0">
      <w:start w:val="1"/>
      <w:numFmt w:val="bullet"/>
      <w:pStyle w:val="BullitTEX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659845A4"/>
    <w:multiLevelType w:val="hybridMultilevel"/>
    <w:tmpl w:val="EE92F87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31105F"/>
    <w:multiLevelType w:val="hybridMultilevel"/>
    <w:tmpl w:val="5E30BDD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66619D"/>
    <w:multiLevelType w:val="hybridMultilevel"/>
    <w:tmpl w:val="0ABE59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75091C63"/>
    <w:multiLevelType w:val="multilevel"/>
    <w:tmpl w:val="84983E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78006460"/>
    <w:multiLevelType w:val="hybridMultilevel"/>
    <w:tmpl w:val="011C0EC6"/>
    <w:lvl w:ilvl="0" w:tplc="00010409">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8371D58"/>
    <w:multiLevelType w:val="hybridMultilevel"/>
    <w:tmpl w:val="EF621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AF66F9C"/>
    <w:multiLevelType w:val="hybridMultilevel"/>
    <w:tmpl w:val="153E589E"/>
    <w:lvl w:ilvl="0" w:tplc="0C090013">
      <w:start w:val="1"/>
      <w:numFmt w:val="upperRoman"/>
      <w:lvlText w:val="%1."/>
      <w:lvlJc w:val="right"/>
      <w:pPr>
        <w:tabs>
          <w:tab w:val="num" w:pos="720"/>
        </w:tabs>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C4C55EE"/>
    <w:multiLevelType w:val="hybridMultilevel"/>
    <w:tmpl w:val="61E03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013018"/>
    <w:multiLevelType w:val="hybridMultilevel"/>
    <w:tmpl w:val="A662AE52"/>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7"/>
  </w:num>
  <w:num w:numId="3">
    <w:abstractNumId w:val="1"/>
  </w:num>
  <w:num w:numId="4">
    <w:abstractNumId w:val="39"/>
  </w:num>
  <w:num w:numId="5">
    <w:abstractNumId w:val="6"/>
  </w:num>
  <w:num w:numId="6">
    <w:abstractNumId w:val="17"/>
  </w:num>
  <w:num w:numId="7">
    <w:abstractNumId w:val="14"/>
  </w:num>
  <w:num w:numId="8">
    <w:abstractNumId w:val="0"/>
  </w:num>
  <w:num w:numId="9">
    <w:abstractNumId w:val="3"/>
  </w:num>
  <w:num w:numId="10">
    <w:abstractNumId w:val="23"/>
  </w:num>
  <w:num w:numId="11">
    <w:abstractNumId w:val="18"/>
  </w:num>
  <w:num w:numId="12">
    <w:abstractNumId w:val="42"/>
  </w:num>
  <w:num w:numId="13">
    <w:abstractNumId w:val="27"/>
  </w:num>
  <w:num w:numId="14">
    <w:abstractNumId w:val="30"/>
  </w:num>
  <w:num w:numId="15">
    <w:abstractNumId w:val="7"/>
  </w:num>
  <w:num w:numId="16">
    <w:abstractNumId w:val="11"/>
  </w:num>
  <w:num w:numId="17">
    <w:abstractNumId w:val="15"/>
  </w:num>
  <w:num w:numId="18">
    <w:abstractNumId w:val="22"/>
  </w:num>
  <w:num w:numId="19">
    <w:abstractNumId w:val="41"/>
  </w:num>
  <w:num w:numId="20">
    <w:abstractNumId w:val="43"/>
  </w:num>
  <w:num w:numId="21">
    <w:abstractNumId w:val="26"/>
  </w:num>
  <w:num w:numId="22">
    <w:abstractNumId w:val="10"/>
  </w:num>
  <w:num w:numId="23">
    <w:abstractNumId w:val="2"/>
  </w:num>
  <w:num w:numId="24">
    <w:abstractNumId w:val="29"/>
  </w:num>
  <w:num w:numId="25">
    <w:abstractNumId w:val="16"/>
  </w:num>
  <w:num w:numId="26">
    <w:abstractNumId w:val="21"/>
  </w:num>
  <w:num w:numId="27">
    <w:abstractNumId w:val="40"/>
  </w:num>
  <w:num w:numId="28">
    <w:abstractNumId w:val="4"/>
  </w:num>
  <w:num w:numId="29">
    <w:abstractNumId w:val="24"/>
  </w:num>
  <w:num w:numId="30">
    <w:abstractNumId w:val="9"/>
  </w:num>
  <w:num w:numId="31">
    <w:abstractNumId w:val="28"/>
  </w:num>
  <w:num w:numId="32">
    <w:abstractNumId w:val="8"/>
  </w:num>
  <w:num w:numId="33">
    <w:abstractNumId w:val="35"/>
  </w:num>
  <w:num w:numId="34">
    <w:abstractNumId w:val="25"/>
  </w:num>
  <w:num w:numId="35">
    <w:abstractNumId w:val="36"/>
  </w:num>
  <w:num w:numId="36">
    <w:abstractNumId w:val="19"/>
  </w:num>
  <w:num w:numId="37">
    <w:abstractNumId w:val="38"/>
  </w:num>
  <w:num w:numId="38">
    <w:abstractNumId w:val="34"/>
  </w:num>
  <w:num w:numId="39">
    <w:abstractNumId w:val="20"/>
  </w:num>
  <w:num w:numId="40">
    <w:abstractNumId w:val="13"/>
  </w:num>
  <w:num w:numId="41">
    <w:abstractNumId w:val="31"/>
  </w:num>
  <w:num w:numId="42">
    <w:abstractNumId w:val="32"/>
  </w:num>
  <w:num w:numId="43">
    <w:abstractNumId w:val="5"/>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proofState w:spelling="clean" w:grammar="clean"/>
  <w:attachedTemplate r:id="rId1"/>
  <w:linkStyle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6F"/>
    <w:rsid w:val="0000070A"/>
    <w:rsid w:val="000013D3"/>
    <w:rsid w:val="00001AE3"/>
    <w:rsid w:val="00001B46"/>
    <w:rsid w:val="000025FE"/>
    <w:rsid w:val="00002FA2"/>
    <w:rsid w:val="0000448C"/>
    <w:rsid w:val="00007997"/>
    <w:rsid w:val="00013655"/>
    <w:rsid w:val="000139C7"/>
    <w:rsid w:val="00015D24"/>
    <w:rsid w:val="00022EAB"/>
    <w:rsid w:val="00026835"/>
    <w:rsid w:val="00027E92"/>
    <w:rsid w:val="00034BAB"/>
    <w:rsid w:val="000364E7"/>
    <w:rsid w:val="0003761F"/>
    <w:rsid w:val="000422AB"/>
    <w:rsid w:val="00042577"/>
    <w:rsid w:val="00046E3E"/>
    <w:rsid w:val="00053D8E"/>
    <w:rsid w:val="0005423E"/>
    <w:rsid w:val="00054D6E"/>
    <w:rsid w:val="0005767C"/>
    <w:rsid w:val="00057B59"/>
    <w:rsid w:val="00057E8D"/>
    <w:rsid w:val="00060E9F"/>
    <w:rsid w:val="000647FF"/>
    <w:rsid w:val="00065442"/>
    <w:rsid w:val="00072B1F"/>
    <w:rsid w:val="000743DA"/>
    <w:rsid w:val="00074666"/>
    <w:rsid w:val="00074C86"/>
    <w:rsid w:val="00074C87"/>
    <w:rsid w:val="00076234"/>
    <w:rsid w:val="000762E9"/>
    <w:rsid w:val="00080C46"/>
    <w:rsid w:val="0008189A"/>
    <w:rsid w:val="0008226A"/>
    <w:rsid w:val="000824F4"/>
    <w:rsid w:val="00084D14"/>
    <w:rsid w:val="000864A1"/>
    <w:rsid w:val="000869BB"/>
    <w:rsid w:val="00087B99"/>
    <w:rsid w:val="0009163E"/>
    <w:rsid w:val="000936FA"/>
    <w:rsid w:val="00094311"/>
    <w:rsid w:val="00096223"/>
    <w:rsid w:val="000A0A89"/>
    <w:rsid w:val="000A1827"/>
    <w:rsid w:val="000A1FEC"/>
    <w:rsid w:val="000A41DF"/>
    <w:rsid w:val="000A5F72"/>
    <w:rsid w:val="000B00D5"/>
    <w:rsid w:val="000B1468"/>
    <w:rsid w:val="000B1F19"/>
    <w:rsid w:val="000C36A4"/>
    <w:rsid w:val="000C3AA9"/>
    <w:rsid w:val="000C5CE8"/>
    <w:rsid w:val="000D0F74"/>
    <w:rsid w:val="000D294B"/>
    <w:rsid w:val="000D4AA2"/>
    <w:rsid w:val="000D592A"/>
    <w:rsid w:val="000D5D23"/>
    <w:rsid w:val="000E0653"/>
    <w:rsid w:val="000E24DA"/>
    <w:rsid w:val="000E62CD"/>
    <w:rsid w:val="000E6ABB"/>
    <w:rsid w:val="000E7098"/>
    <w:rsid w:val="000F0816"/>
    <w:rsid w:val="000F1E52"/>
    <w:rsid w:val="000F2656"/>
    <w:rsid w:val="000F3695"/>
    <w:rsid w:val="000F56AB"/>
    <w:rsid w:val="000F7C46"/>
    <w:rsid w:val="0010166A"/>
    <w:rsid w:val="00102B67"/>
    <w:rsid w:val="00103F61"/>
    <w:rsid w:val="001045E7"/>
    <w:rsid w:val="001049CA"/>
    <w:rsid w:val="00104A81"/>
    <w:rsid w:val="001077F1"/>
    <w:rsid w:val="00107A64"/>
    <w:rsid w:val="00107C80"/>
    <w:rsid w:val="00112549"/>
    <w:rsid w:val="00113894"/>
    <w:rsid w:val="001150CC"/>
    <w:rsid w:val="001157E6"/>
    <w:rsid w:val="00116B49"/>
    <w:rsid w:val="0011791C"/>
    <w:rsid w:val="001218DF"/>
    <w:rsid w:val="001225E8"/>
    <w:rsid w:val="001358C5"/>
    <w:rsid w:val="00135B68"/>
    <w:rsid w:val="00135DB6"/>
    <w:rsid w:val="00136421"/>
    <w:rsid w:val="0013783B"/>
    <w:rsid w:val="00140844"/>
    <w:rsid w:val="0014467F"/>
    <w:rsid w:val="00144942"/>
    <w:rsid w:val="00144F88"/>
    <w:rsid w:val="00145AA2"/>
    <w:rsid w:val="00147D4A"/>
    <w:rsid w:val="00151654"/>
    <w:rsid w:val="0015191D"/>
    <w:rsid w:val="0015192D"/>
    <w:rsid w:val="00155731"/>
    <w:rsid w:val="001571EA"/>
    <w:rsid w:val="00157C49"/>
    <w:rsid w:val="00162AD1"/>
    <w:rsid w:val="00166D8D"/>
    <w:rsid w:val="00171307"/>
    <w:rsid w:val="0017236A"/>
    <w:rsid w:val="00172C3B"/>
    <w:rsid w:val="00173E64"/>
    <w:rsid w:val="00175FF4"/>
    <w:rsid w:val="001769FB"/>
    <w:rsid w:val="001778AE"/>
    <w:rsid w:val="00180165"/>
    <w:rsid w:val="001805BA"/>
    <w:rsid w:val="00182D57"/>
    <w:rsid w:val="001835C2"/>
    <w:rsid w:val="00191FC9"/>
    <w:rsid w:val="001921C4"/>
    <w:rsid w:val="00192265"/>
    <w:rsid w:val="00194212"/>
    <w:rsid w:val="00195674"/>
    <w:rsid w:val="0019602E"/>
    <w:rsid w:val="001A3744"/>
    <w:rsid w:val="001A639C"/>
    <w:rsid w:val="001A6B21"/>
    <w:rsid w:val="001A6C00"/>
    <w:rsid w:val="001B07C3"/>
    <w:rsid w:val="001B215A"/>
    <w:rsid w:val="001B40F1"/>
    <w:rsid w:val="001C44CF"/>
    <w:rsid w:val="001C4FA4"/>
    <w:rsid w:val="001C56AD"/>
    <w:rsid w:val="001C791F"/>
    <w:rsid w:val="001D0AAF"/>
    <w:rsid w:val="001D1B39"/>
    <w:rsid w:val="001E0F98"/>
    <w:rsid w:val="001E0FED"/>
    <w:rsid w:val="001E19EC"/>
    <w:rsid w:val="001E38C0"/>
    <w:rsid w:val="001E634B"/>
    <w:rsid w:val="001F290E"/>
    <w:rsid w:val="001F2ADA"/>
    <w:rsid w:val="001F6134"/>
    <w:rsid w:val="002022B9"/>
    <w:rsid w:val="00202F61"/>
    <w:rsid w:val="0020330F"/>
    <w:rsid w:val="002038B5"/>
    <w:rsid w:val="002051CE"/>
    <w:rsid w:val="00205930"/>
    <w:rsid w:val="00211238"/>
    <w:rsid w:val="00217B58"/>
    <w:rsid w:val="00217B8B"/>
    <w:rsid w:val="00222134"/>
    <w:rsid w:val="002231BF"/>
    <w:rsid w:val="00227B95"/>
    <w:rsid w:val="00232E5D"/>
    <w:rsid w:val="00234FD0"/>
    <w:rsid w:val="002358C5"/>
    <w:rsid w:val="00241E4A"/>
    <w:rsid w:val="00246CB5"/>
    <w:rsid w:val="00250B86"/>
    <w:rsid w:val="00254D11"/>
    <w:rsid w:val="00255350"/>
    <w:rsid w:val="00255BDA"/>
    <w:rsid w:val="002614B3"/>
    <w:rsid w:val="00261E2C"/>
    <w:rsid w:val="002626CD"/>
    <w:rsid w:val="00262CC9"/>
    <w:rsid w:val="00263CBA"/>
    <w:rsid w:val="00264986"/>
    <w:rsid w:val="00265DB5"/>
    <w:rsid w:val="0026691A"/>
    <w:rsid w:val="002770D9"/>
    <w:rsid w:val="00281084"/>
    <w:rsid w:val="0028508E"/>
    <w:rsid w:val="00285D84"/>
    <w:rsid w:val="002869F1"/>
    <w:rsid w:val="00286F26"/>
    <w:rsid w:val="00292069"/>
    <w:rsid w:val="002932AF"/>
    <w:rsid w:val="0029382A"/>
    <w:rsid w:val="00293AD9"/>
    <w:rsid w:val="00295067"/>
    <w:rsid w:val="002A03B0"/>
    <w:rsid w:val="002A09B4"/>
    <w:rsid w:val="002A1380"/>
    <w:rsid w:val="002A155E"/>
    <w:rsid w:val="002A2016"/>
    <w:rsid w:val="002A57BE"/>
    <w:rsid w:val="002A74A5"/>
    <w:rsid w:val="002B246F"/>
    <w:rsid w:val="002B3727"/>
    <w:rsid w:val="002C3251"/>
    <w:rsid w:val="002D36F2"/>
    <w:rsid w:val="002D505D"/>
    <w:rsid w:val="002E0B93"/>
    <w:rsid w:val="002E16E5"/>
    <w:rsid w:val="002E4A11"/>
    <w:rsid w:val="002E5942"/>
    <w:rsid w:val="002E7AAC"/>
    <w:rsid w:val="002F049D"/>
    <w:rsid w:val="002F345F"/>
    <w:rsid w:val="002F4B58"/>
    <w:rsid w:val="00300369"/>
    <w:rsid w:val="00301CA2"/>
    <w:rsid w:val="0030386D"/>
    <w:rsid w:val="003055A6"/>
    <w:rsid w:val="00307FEC"/>
    <w:rsid w:val="00311B33"/>
    <w:rsid w:val="003154B0"/>
    <w:rsid w:val="00316DF7"/>
    <w:rsid w:val="0032076A"/>
    <w:rsid w:val="00320F44"/>
    <w:rsid w:val="00323414"/>
    <w:rsid w:val="0032431C"/>
    <w:rsid w:val="00324DFB"/>
    <w:rsid w:val="00324F51"/>
    <w:rsid w:val="00325A12"/>
    <w:rsid w:val="00325D1B"/>
    <w:rsid w:val="0032737B"/>
    <w:rsid w:val="00330CFA"/>
    <w:rsid w:val="00331C0F"/>
    <w:rsid w:val="00332742"/>
    <w:rsid w:val="00332C3C"/>
    <w:rsid w:val="00332D45"/>
    <w:rsid w:val="00340371"/>
    <w:rsid w:val="00342C9E"/>
    <w:rsid w:val="003444C9"/>
    <w:rsid w:val="00344516"/>
    <w:rsid w:val="00344572"/>
    <w:rsid w:val="0034590F"/>
    <w:rsid w:val="0034607A"/>
    <w:rsid w:val="003461C7"/>
    <w:rsid w:val="0035095E"/>
    <w:rsid w:val="00350B63"/>
    <w:rsid w:val="00351251"/>
    <w:rsid w:val="00352851"/>
    <w:rsid w:val="00360DB3"/>
    <w:rsid w:val="003657FD"/>
    <w:rsid w:val="00365885"/>
    <w:rsid w:val="00366F0C"/>
    <w:rsid w:val="00367A47"/>
    <w:rsid w:val="0037012A"/>
    <w:rsid w:val="00370DCB"/>
    <w:rsid w:val="00372F22"/>
    <w:rsid w:val="003741D8"/>
    <w:rsid w:val="0037466D"/>
    <w:rsid w:val="003748D7"/>
    <w:rsid w:val="00375E31"/>
    <w:rsid w:val="00377420"/>
    <w:rsid w:val="003774AF"/>
    <w:rsid w:val="00381965"/>
    <w:rsid w:val="003832D2"/>
    <w:rsid w:val="00383DAE"/>
    <w:rsid w:val="003860B6"/>
    <w:rsid w:val="00386AFF"/>
    <w:rsid w:val="00391DB3"/>
    <w:rsid w:val="00394C2A"/>
    <w:rsid w:val="00395555"/>
    <w:rsid w:val="003A0675"/>
    <w:rsid w:val="003A0DC7"/>
    <w:rsid w:val="003A2654"/>
    <w:rsid w:val="003A3070"/>
    <w:rsid w:val="003A39D5"/>
    <w:rsid w:val="003B0B30"/>
    <w:rsid w:val="003B0DA1"/>
    <w:rsid w:val="003B19E9"/>
    <w:rsid w:val="003B203C"/>
    <w:rsid w:val="003B26BF"/>
    <w:rsid w:val="003B2751"/>
    <w:rsid w:val="003B5274"/>
    <w:rsid w:val="003C1180"/>
    <w:rsid w:val="003C28AE"/>
    <w:rsid w:val="003C6F66"/>
    <w:rsid w:val="003C7557"/>
    <w:rsid w:val="003C7985"/>
    <w:rsid w:val="003C79D9"/>
    <w:rsid w:val="003D0840"/>
    <w:rsid w:val="003D1004"/>
    <w:rsid w:val="003D2E49"/>
    <w:rsid w:val="003D3D0C"/>
    <w:rsid w:val="003D50B4"/>
    <w:rsid w:val="003D5F95"/>
    <w:rsid w:val="003E58A9"/>
    <w:rsid w:val="003F0362"/>
    <w:rsid w:val="003F03AF"/>
    <w:rsid w:val="003F0869"/>
    <w:rsid w:val="003F11BE"/>
    <w:rsid w:val="003F19BC"/>
    <w:rsid w:val="003F278F"/>
    <w:rsid w:val="003F326D"/>
    <w:rsid w:val="003F46F0"/>
    <w:rsid w:val="003F4A9E"/>
    <w:rsid w:val="003F5173"/>
    <w:rsid w:val="003F6AC6"/>
    <w:rsid w:val="004056F2"/>
    <w:rsid w:val="00405ACD"/>
    <w:rsid w:val="00406BFE"/>
    <w:rsid w:val="0041472C"/>
    <w:rsid w:val="0041492E"/>
    <w:rsid w:val="00416361"/>
    <w:rsid w:val="004165B0"/>
    <w:rsid w:val="0042010F"/>
    <w:rsid w:val="00423F12"/>
    <w:rsid w:val="00424797"/>
    <w:rsid w:val="0042530B"/>
    <w:rsid w:val="00430585"/>
    <w:rsid w:val="00431326"/>
    <w:rsid w:val="004317D2"/>
    <w:rsid w:val="00433CA7"/>
    <w:rsid w:val="00434EC8"/>
    <w:rsid w:val="004378D1"/>
    <w:rsid w:val="00437B6D"/>
    <w:rsid w:val="004409E2"/>
    <w:rsid w:val="00445C7E"/>
    <w:rsid w:val="00451896"/>
    <w:rsid w:val="00453885"/>
    <w:rsid w:val="004553C8"/>
    <w:rsid w:val="004556DD"/>
    <w:rsid w:val="00456753"/>
    <w:rsid w:val="00457495"/>
    <w:rsid w:val="00457A09"/>
    <w:rsid w:val="00457DC2"/>
    <w:rsid w:val="00461030"/>
    <w:rsid w:val="00464EEA"/>
    <w:rsid w:val="004660F4"/>
    <w:rsid w:val="00467BBA"/>
    <w:rsid w:val="004702D8"/>
    <w:rsid w:val="00470D95"/>
    <w:rsid w:val="0047123C"/>
    <w:rsid w:val="00473BBA"/>
    <w:rsid w:val="00476C8E"/>
    <w:rsid w:val="00485C6D"/>
    <w:rsid w:val="00486225"/>
    <w:rsid w:val="0048625A"/>
    <w:rsid w:val="00486D9D"/>
    <w:rsid w:val="00487263"/>
    <w:rsid w:val="00491BB6"/>
    <w:rsid w:val="00494A99"/>
    <w:rsid w:val="004953AA"/>
    <w:rsid w:val="004957FC"/>
    <w:rsid w:val="0049670A"/>
    <w:rsid w:val="004A0963"/>
    <w:rsid w:val="004A0FEF"/>
    <w:rsid w:val="004A32CC"/>
    <w:rsid w:val="004A56EB"/>
    <w:rsid w:val="004B0F23"/>
    <w:rsid w:val="004B147E"/>
    <w:rsid w:val="004B1DC9"/>
    <w:rsid w:val="004B3F16"/>
    <w:rsid w:val="004B426D"/>
    <w:rsid w:val="004B4576"/>
    <w:rsid w:val="004B6060"/>
    <w:rsid w:val="004B6E53"/>
    <w:rsid w:val="004C0479"/>
    <w:rsid w:val="004C0D17"/>
    <w:rsid w:val="004C2F09"/>
    <w:rsid w:val="004C4129"/>
    <w:rsid w:val="004C4781"/>
    <w:rsid w:val="004C5442"/>
    <w:rsid w:val="004D11C7"/>
    <w:rsid w:val="004D3755"/>
    <w:rsid w:val="004D46CB"/>
    <w:rsid w:val="004D70A0"/>
    <w:rsid w:val="004E187A"/>
    <w:rsid w:val="004E1A09"/>
    <w:rsid w:val="004E3603"/>
    <w:rsid w:val="004E441D"/>
    <w:rsid w:val="004E4E81"/>
    <w:rsid w:val="004F002B"/>
    <w:rsid w:val="004F667F"/>
    <w:rsid w:val="00500D44"/>
    <w:rsid w:val="00501D40"/>
    <w:rsid w:val="00505DF2"/>
    <w:rsid w:val="00507E5F"/>
    <w:rsid w:val="00512677"/>
    <w:rsid w:val="005126D7"/>
    <w:rsid w:val="00512A5F"/>
    <w:rsid w:val="005200DE"/>
    <w:rsid w:val="00521219"/>
    <w:rsid w:val="005251F0"/>
    <w:rsid w:val="00525545"/>
    <w:rsid w:val="00526A43"/>
    <w:rsid w:val="00527811"/>
    <w:rsid w:val="00531A3E"/>
    <w:rsid w:val="00533D6A"/>
    <w:rsid w:val="00534625"/>
    <w:rsid w:val="005351FF"/>
    <w:rsid w:val="00535486"/>
    <w:rsid w:val="005379CA"/>
    <w:rsid w:val="00542C08"/>
    <w:rsid w:val="005431EF"/>
    <w:rsid w:val="00544FCD"/>
    <w:rsid w:val="00546EC1"/>
    <w:rsid w:val="00550C94"/>
    <w:rsid w:val="00551FF0"/>
    <w:rsid w:val="00554573"/>
    <w:rsid w:val="00555965"/>
    <w:rsid w:val="00557214"/>
    <w:rsid w:val="00557B68"/>
    <w:rsid w:val="00564BF0"/>
    <w:rsid w:val="005653E3"/>
    <w:rsid w:val="005731A9"/>
    <w:rsid w:val="00580EC5"/>
    <w:rsid w:val="005815F6"/>
    <w:rsid w:val="00584090"/>
    <w:rsid w:val="00584C0E"/>
    <w:rsid w:val="005852E0"/>
    <w:rsid w:val="0058574B"/>
    <w:rsid w:val="0059704D"/>
    <w:rsid w:val="00597636"/>
    <w:rsid w:val="005977BD"/>
    <w:rsid w:val="005A0D2B"/>
    <w:rsid w:val="005A34A9"/>
    <w:rsid w:val="005A4CC2"/>
    <w:rsid w:val="005A4E21"/>
    <w:rsid w:val="005A5FD5"/>
    <w:rsid w:val="005A6E2A"/>
    <w:rsid w:val="005B0577"/>
    <w:rsid w:val="005B23D4"/>
    <w:rsid w:val="005B52E8"/>
    <w:rsid w:val="005B6154"/>
    <w:rsid w:val="005B796E"/>
    <w:rsid w:val="005C0585"/>
    <w:rsid w:val="005C060F"/>
    <w:rsid w:val="005C0F51"/>
    <w:rsid w:val="005C288F"/>
    <w:rsid w:val="005C4002"/>
    <w:rsid w:val="005C47B7"/>
    <w:rsid w:val="005D264E"/>
    <w:rsid w:val="005D29A4"/>
    <w:rsid w:val="005D2D7F"/>
    <w:rsid w:val="005D2FA6"/>
    <w:rsid w:val="005D49D1"/>
    <w:rsid w:val="005D69E2"/>
    <w:rsid w:val="005D7E7A"/>
    <w:rsid w:val="005E1466"/>
    <w:rsid w:val="005E7357"/>
    <w:rsid w:val="005E7724"/>
    <w:rsid w:val="005F15B5"/>
    <w:rsid w:val="005F25EF"/>
    <w:rsid w:val="005F34BD"/>
    <w:rsid w:val="005F4FBF"/>
    <w:rsid w:val="0060187C"/>
    <w:rsid w:val="00604124"/>
    <w:rsid w:val="00604139"/>
    <w:rsid w:val="00606950"/>
    <w:rsid w:val="00607CBC"/>
    <w:rsid w:val="006145B5"/>
    <w:rsid w:val="006151CB"/>
    <w:rsid w:val="0061551F"/>
    <w:rsid w:val="006161B4"/>
    <w:rsid w:val="00622BDE"/>
    <w:rsid w:val="006240F6"/>
    <w:rsid w:val="00624900"/>
    <w:rsid w:val="0062501D"/>
    <w:rsid w:val="00625209"/>
    <w:rsid w:val="00632A3C"/>
    <w:rsid w:val="00634674"/>
    <w:rsid w:val="00635470"/>
    <w:rsid w:val="00636A07"/>
    <w:rsid w:val="00636CB4"/>
    <w:rsid w:val="006407FA"/>
    <w:rsid w:val="00640895"/>
    <w:rsid w:val="00641A3D"/>
    <w:rsid w:val="00642C04"/>
    <w:rsid w:val="00647669"/>
    <w:rsid w:val="006512BA"/>
    <w:rsid w:val="0065156A"/>
    <w:rsid w:val="0065199A"/>
    <w:rsid w:val="00654334"/>
    <w:rsid w:val="00655F90"/>
    <w:rsid w:val="006573E4"/>
    <w:rsid w:val="00660494"/>
    <w:rsid w:val="00662D8C"/>
    <w:rsid w:val="006630DE"/>
    <w:rsid w:val="00664AB0"/>
    <w:rsid w:val="00667939"/>
    <w:rsid w:val="00671476"/>
    <w:rsid w:val="00671DB6"/>
    <w:rsid w:val="00673538"/>
    <w:rsid w:val="0067504B"/>
    <w:rsid w:val="0067582C"/>
    <w:rsid w:val="006765BC"/>
    <w:rsid w:val="006771C3"/>
    <w:rsid w:val="00681FFD"/>
    <w:rsid w:val="00682A66"/>
    <w:rsid w:val="00682F9A"/>
    <w:rsid w:val="006830DB"/>
    <w:rsid w:val="00684AD6"/>
    <w:rsid w:val="00691515"/>
    <w:rsid w:val="00692477"/>
    <w:rsid w:val="00692756"/>
    <w:rsid w:val="00692975"/>
    <w:rsid w:val="006959DA"/>
    <w:rsid w:val="0069687B"/>
    <w:rsid w:val="00697A38"/>
    <w:rsid w:val="00697E91"/>
    <w:rsid w:val="006A3568"/>
    <w:rsid w:val="006A505B"/>
    <w:rsid w:val="006A6730"/>
    <w:rsid w:val="006A67ED"/>
    <w:rsid w:val="006A68AF"/>
    <w:rsid w:val="006A7C13"/>
    <w:rsid w:val="006A7DC5"/>
    <w:rsid w:val="006B212B"/>
    <w:rsid w:val="006B775C"/>
    <w:rsid w:val="006C0912"/>
    <w:rsid w:val="006C25EF"/>
    <w:rsid w:val="006C313C"/>
    <w:rsid w:val="006C6B4A"/>
    <w:rsid w:val="006C7BF9"/>
    <w:rsid w:val="006D1290"/>
    <w:rsid w:val="006D2B62"/>
    <w:rsid w:val="006D333C"/>
    <w:rsid w:val="006D376D"/>
    <w:rsid w:val="006D44C1"/>
    <w:rsid w:val="006D5188"/>
    <w:rsid w:val="006E0637"/>
    <w:rsid w:val="006E74F2"/>
    <w:rsid w:val="006F1120"/>
    <w:rsid w:val="006F2AB8"/>
    <w:rsid w:val="006F4066"/>
    <w:rsid w:val="006F4F5C"/>
    <w:rsid w:val="006F5BC7"/>
    <w:rsid w:val="006F63DE"/>
    <w:rsid w:val="006F6FAE"/>
    <w:rsid w:val="006F7165"/>
    <w:rsid w:val="0070152A"/>
    <w:rsid w:val="007015BA"/>
    <w:rsid w:val="0070281B"/>
    <w:rsid w:val="00704264"/>
    <w:rsid w:val="007043E5"/>
    <w:rsid w:val="00704A4F"/>
    <w:rsid w:val="00705827"/>
    <w:rsid w:val="007078F3"/>
    <w:rsid w:val="00707ACE"/>
    <w:rsid w:val="00707E77"/>
    <w:rsid w:val="00711B95"/>
    <w:rsid w:val="0072059A"/>
    <w:rsid w:val="00722302"/>
    <w:rsid w:val="007232D2"/>
    <w:rsid w:val="00725246"/>
    <w:rsid w:val="00726C0E"/>
    <w:rsid w:val="007306CE"/>
    <w:rsid w:val="0073304E"/>
    <w:rsid w:val="00735B47"/>
    <w:rsid w:val="00735CA1"/>
    <w:rsid w:val="00736782"/>
    <w:rsid w:val="00737B32"/>
    <w:rsid w:val="00740698"/>
    <w:rsid w:val="0074194D"/>
    <w:rsid w:val="0074286B"/>
    <w:rsid w:val="00742B4F"/>
    <w:rsid w:val="007443C7"/>
    <w:rsid w:val="00744F58"/>
    <w:rsid w:val="0075003C"/>
    <w:rsid w:val="007501D6"/>
    <w:rsid w:val="00751146"/>
    <w:rsid w:val="007512BA"/>
    <w:rsid w:val="00751DBD"/>
    <w:rsid w:val="0075286C"/>
    <w:rsid w:val="0075335D"/>
    <w:rsid w:val="00753921"/>
    <w:rsid w:val="007601E9"/>
    <w:rsid w:val="00763E83"/>
    <w:rsid w:val="00765134"/>
    <w:rsid w:val="0076715D"/>
    <w:rsid w:val="007671A6"/>
    <w:rsid w:val="00767D04"/>
    <w:rsid w:val="0077073C"/>
    <w:rsid w:val="007727F6"/>
    <w:rsid w:val="00774972"/>
    <w:rsid w:val="00776CA0"/>
    <w:rsid w:val="00776D86"/>
    <w:rsid w:val="00777C21"/>
    <w:rsid w:val="00780449"/>
    <w:rsid w:val="007809A0"/>
    <w:rsid w:val="00780A97"/>
    <w:rsid w:val="00781EA6"/>
    <w:rsid w:val="007826DF"/>
    <w:rsid w:val="00783BF4"/>
    <w:rsid w:val="007850BB"/>
    <w:rsid w:val="007908D4"/>
    <w:rsid w:val="007915EF"/>
    <w:rsid w:val="00795573"/>
    <w:rsid w:val="007A0528"/>
    <w:rsid w:val="007A1D12"/>
    <w:rsid w:val="007A7578"/>
    <w:rsid w:val="007B0F98"/>
    <w:rsid w:val="007B2675"/>
    <w:rsid w:val="007B3685"/>
    <w:rsid w:val="007B5706"/>
    <w:rsid w:val="007B5D13"/>
    <w:rsid w:val="007C7352"/>
    <w:rsid w:val="007C7868"/>
    <w:rsid w:val="007D012D"/>
    <w:rsid w:val="007D139F"/>
    <w:rsid w:val="007E24B0"/>
    <w:rsid w:val="007E3DD6"/>
    <w:rsid w:val="007E6A50"/>
    <w:rsid w:val="007E7589"/>
    <w:rsid w:val="007F4FC1"/>
    <w:rsid w:val="007F56F2"/>
    <w:rsid w:val="007F7364"/>
    <w:rsid w:val="008013B5"/>
    <w:rsid w:val="00801664"/>
    <w:rsid w:val="008022E6"/>
    <w:rsid w:val="00803B8A"/>
    <w:rsid w:val="0081147C"/>
    <w:rsid w:val="008126A1"/>
    <w:rsid w:val="00813BF3"/>
    <w:rsid w:val="00816D5B"/>
    <w:rsid w:val="00816F5B"/>
    <w:rsid w:val="008232DE"/>
    <w:rsid w:val="008248DB"/>
    <w:rsid w:val="00824F5A"/>
    <w:rsid w:val="008251AA"/>
    <w:rsid w:val="00825780"/>
    <w:rsid w:val="008303AB"/>
    <w:rsid w:val="00831CBD"/>
    <w:rsid w:val="008322A0"/>
    <w:rsid w:val="00832766"/>
    <w:rsid w:val="0083289C"/>
    <w:rsid w:val="0083462A"/>
    <w:rsid w:val="00835060"/>
    <w:rsid w:val="0083738B"/>
    <w:rsid w:val="00837C84"/>
    <w:rsid w:val="00841D32"/>
    <w:rsid w:val="00842BAF"/>
    <w:rsid w:val="00843AE3"/>
    <w:rsid w:val="00847219"/>
    <w:rsid w:val="00851767"/>
    <w:rsid w:val="0085180F"/>
    <w:rsid w:val="0085516C"/>
    <w:rsid w:val="00855B37"/>
    <w:rsid w:val="00862CA4"/>
    <w:rsid w:val="00865F75"/>
    <w:rsid w:val="008664B3"/>
    <w:rsid w:val="00867F65"/>
    <w:rsid w:val="008713FA"/>
    <w:rsid w:val="00872184"/>
    <w:rsid w:val="00872952"/>
    <w:rsid w:val="00872A44"/>
    <w:rsid w:val="008760A2"/>
    <w:rsid w:val="008771CF"/>
    <w:rsid w:val="008775EA"/>
    <w:rsid w:val="00877C23"/>
    <w:rsid w:val="00877FB2"/>
    <w:rsid w:val="00882382"/>
    <w:rsid w:val="0088461A"/>
    <w:rsid w:val="00885D74"/>
    <w:rsid w:val="00886563"/>
    <w:rsid w:val="00886A0C"/>
    <w:rsid w:val="008914C2"/>
    <w:rsid w:val="00893889"/>
    <w:rsid w:val="0089447F"/>
    <w:rsid w:val="0089553B"/>
    <w:rsid w:val="008A063C"/>
    <w:rsid w:val="008A5B58"/>
    <w:rsid w:val="008B3063"/>
    <w:rsid w:val="008B3C19"/>
    <w:rsid w:val="008B64DA"/>
    <w:rsid w:val="008B7693"/>
    <w:rsid w:val="008C1AA7"/>
    <w:rsid w:val="008C2EF8"/>
    <w:rsid w:val="008D0798"/>
    <w:rsid w:val="008D5698"/>
    <w:rsid w:val="008E6340"/>
    <w:rsid w:val="008E6A8D"/>
    <w:rsid w:val="008F19B9"/>
    <w:rsid w:val="008F2718"/>
    <w:rsid w:val="009001F1"/>
    <w:rsid w:val="0090032F"/>
    <w:rsid w:val="0090114A"/>
    <w:rsid w:val="00901EE4"/>
    <w:rsid w:val="00905377"/>
    <w:rsid w:val="00906D28"/>
    <w:rsid w:val="00914660"/>
    <w:rsid w:val="00916E2D"/>
    <w:rsid w:val="009171C7"/>
    <w:rsid w:val="009171F3"/>
    <w:rsid w:val="009202A7"/>
    <w:rsid w:val="0092053C"/>
    <w:rsid w:val="00920A63"/>
    <w:rsid w:val="00921873"/>
    <w:rsid w:val="00923CB3"/>
    <w:rsid w:val="009271FA"/>
    <w:rsid w:val="009274F1"/>
    <w:rsid w:val="009307E9"/>
    <w:rsid w:val="00931C01"/>
    <w:rsid w:val="0093274A"/>
    <w:rsid w:val="00936FAE"/>
    <w:rsid w:val="00936FAF"/>
    <w:rsid w:val="00943DE4"/>
    <w:rsid w:val="00944CB3"/>
    <w:rsid w:val="00946DE5"/>
    <w:rsid w:val="00950147"/>
    <w:rsid w:val="00956F2D"/>
    <w:rsid w:val="00957EAE"/>
    <w:rsid w:val="009624E8"/>
    <w:rsid w:val="00965DB2"/>
    <w:rsid w:val="00966852"/>
    <w:rsid w:val="0096686C"/>
    <w:rsid w:val="009738A8"/>
    <w:rsid w:val="00973958"/>
    <w:rsid w:val="00973E0C"/>
    <w:rsid w:val="00974F08"/>
    <w:rsid w:val="0097521B"/>
    <w:rsid w:val="009804EE"/>
    <w:rsid w:val="00983997"/>
    <w:rsid w:val="00984A46"/>
    <w:rsid w:val="00984A4D"/>
    <w:rsid w:val="00986C3B"/>
    <w:rsid w:val="0098700C"/>
    <w:rsid w:val="00987B1D"/>
    <w:rsid w:val="0099015F"/>
    <w:rsid w:val="009902C4"/>
    <w:rsid w:val="00990CA1"/>
    <w:rsid w:val="00990D83"/>
    <w:rsid w:val="009A4AA3"/>
    <w:rsid w:val="009A52BC"/>
    <w:rsid w:val="009B1FE7"/>
    <w:rsid w:val="009B209C"/>
    <w:rsid w:val="009B270C"/>
    <w:rsid w:val="009B30F6"/>
    <w:rsid w:val="009B6974"/>
    <w:rsid w:val="009B7F1A"/>
    <w:rsid w:val="009C0E8B"/>
    <w:rsid w:val="009C1766"/>
    <w:rsid w:val="009C245F"/>
    <w:rsid w:val="009C30B5"/>
    <w:rsid w:val="009C532E"/>
    <w:rsid w:val="009C79D7"/>
    <w:rsid w:val="009C7DA0"/>
    <w:rsid w:val="009D09F1"/>
    <w:rsid w:val="009D635A"/>
    <w:rsid w:val="009D6403"/>
    <w:rsid w:val="009E2F3B"/>
    <w:rsid w:val="009F019A"/>
    <w:rsid w:val="009F083A"/>
    <w:rsid w:val="009F2624"/>
    <w:rsid w:val="009F3E13"/>
    <w:rsid w:val="009F5254"/>
    <w:rsid w:val="009F5B65"/>
    <w:rsid w:val="009F5CFA"/>
    <w:rsid w:val="009F724A"/>
    <w:rsid w:val="00A00CB4"/>
    <w:rsid w:val="00A0230B"/>
    <w:rsid w:val="00A045F3"/>
    <w:rsid w:val="00A049C6"/>
    <w:rsid w:val="00A11571"/>
    <w:rsid w:val="00A14E2E"/>
    <w:rsid w:val="00A15D50"/>
    <w:rsid w:val="00A169A9"/>
    <w:rsid w:val="00A16C1A"/>
    <w:rsid w:val="00A16E6D"/>
    <w:rsid w:val="00A1722C"/>
    <w:rsid w:val="00A17997"/>
    <w:rsid w:val="00A20C68"/>
    <w:rsid w:val="00A20F91"/>
    <w:rsid w:val="00A244C4"/>
    <w:rsid w:val="00A25857"/>
    <w:rsid w:val="00A31C3E"/>
    <w:rsid w:val="00A32A83"/>
    <w:rsid w:val="00A3364D"/>
    <w:rsid w:val="00A34CF9"/>
    <w:rsid w:val="00A34D4A"/>
    <w:rsid w:val="00A35B50"/>
    <w:rsid w:val="00A36885"/>
    <w:rsid w:val="00A368B8"/>
    <w:rsid w:val="00A41C9C"/>
    <w:rsid w:val="00A42611"/>
    <w:rsid w:val="00A51866"/>
    <w:rsid w:val="00A51FDC"/>
    <w:rsid w:val="00A5517F"/>
    <w:rsid w:val="00A551B6"/>
    <w:rsid w:val="00A66DFB"/>
    <w:rsid w:val="00A67CD7"/>
    <w:rsid w:val="00A715FD"/>
    <w:rsid w:val="00A76323"/>
    <w:rsid w:val="00A76F08"/>
    <w:rsid w:val="00A76FDA"/>
    <w:rsid w:val="00A77348"/>
    <w:rsid w:val="00A8103B"/>
    <w:rsid w:val="00A81AFC"/>
    <w:rsid w:val="00A81C47"/>
    <w:rsid w:val="00A82ADD"/>
    <w:rsid w:val="00A8301A"/>
    <w:rsid w:val="00A85DD4"/>
    <w:rsid w:val="00A9483F"/>
    <w:rsid w:val="00A94EE2"/>
    <w:rsid w:val="00A951E3"/>
    <w:rsid w:val="00A9686E"/>
    <w:rsid w:val="00A97E1D"/>
    <w:rsid w:val="00AA0E54"/>
    <w:rsid w:val="00AA1701"/>
    <w:rsid w:val="00AA3F86"/>
    <w:rsid w:val="00AA663F"/>
    <w:rsid w:val="00AA6B82"/>
    <w:rsid w:val="00AA6F7B"/>
    <w:rsid w:val="00AA735D"/>
    <w:rsid w:val="00AA7EAA"/>
    <w:rsid w:val="00AB0B94"/>
    <w:rsid w:val="00AB4AE7"/>
    <w:rsid w:val="00AB6617"/>
    <w:rsid w:val="00AC1D35"/>
    <w:rsid w:val="00AC41C4"/>
    <w:rsid w:val="00AC6FFD"/>
    <w:rsid w:val="00AD064F"/>
    <w:rsid w:val="00AD074C"/>
    <w:rsid w:val="00AD6645"/>
    <w:rsid w:val="00AD7A1C"/>
    <w:rsid w:val="00AE529A"/>
    <w:rsid w:val="00AE7477"/>
    <w:rsid w:val="00AE78E5"/>
    <w:rsid w:val="00AF0CD8"/>
    <w:rsid w:val="00AF391B"/>
    <w:rsid w:val="00AF3C95"/>
    <w:rsid w:val="00B02022"/>
    <w:rsid w:val="00B02CF1"/>
    <w:rsid w:val="00B04E95"/>
    <w:rsid w:val="00B0578D"/>
    <w:rsid w:val="00B06DFD"/>
    <w:rsid w:val="00B1024F"/>
    <w:rsid w:val="00B12B54"/>
    <w:rsid w:val="00B14558"/>
    <w:rsid w:val="00B24B55"/>
    <w:rsid w:val="00B33D23"/>
    <w:rsid w:val="00B34354"/>
    <w:rsid w:val="00B3435B"/>
    <w:rsid w:val="00B3503F"/>
    <w:rsid w:val="00B36377"/>
    <w:rsid w:val="00B36628"/>
    <w:rsid w:val="00B406DC"/>
    <w:rsid w:val="00B4153D"/>
    <w:rsid w:val="00B41B0C"/>
    <w:rsid w:val="00B45CA3"/>
    <w:rsid w:val="00B51D3D"/>
    <w:rsid w:val="00B5321A"/>
    <w:rsid w:val="00B559B3"/>
    <w:rsid w:val="00B63AFE"/>
    <w:rsid w:val="00B64821"/>
    <w:rsid w:val="00B709D1"/>
    <w:rsid w:val="00B70A60"/>
    <w:rsid w:val="00B714E3"/>
    <w:rsid w:val="00B72EAE"/>
    <w:rsid w:val="00B75A74"/>
    <w:rsid w:val="00B75E0C"/>
    <w:rsid w:val="00B76070"/>
    <w:rsid w:val="00B768B5"/>
    <w:rsid w:val="00B76AE8"/>
    <w:rsid w:val="00B76CB0"/>
    <w:rsid w:val="00B7758B"/>
    <w:rsid w:val="00B810E6"/>
    <w:rsid w:val="00B84D8C"/>
    <w:rsid w:val="00B8568C"/>
    <w:rsid w:val="00B85EBF"/>
    <w:rsid w:val="00B904B2"/>
    <w:rsid w:val="00B91E9E"/>
    <w:rsid w:val="00B9256C"/>
    <w:rsid w:val="00B92708"/>
    <w:rsid w:val="00B92ABD"/>
    <w:rsid w:val="00B9398A"/>
    <w:rsid w:val="00B94381"/>
    <w:rsid w:val="00B95C77"/>
    <w:rsid w:val="00B962E8"/>
    <w:rsid w:val="00BA2F72"/>
    <w:rsid w:val="00BA3DB3"/>
    <w:rsid w:val="00BA4695"/>
    <w:rsid w:val="00BA4C03"/>
    <w:rsid w:val="00BA6C30"/>
    <w:rsid w:val="00BB06DD"/>
    <w:rsid w:val="00BB09EB"/>
    <w:rsid w:val="00BB0B91"/>
    <w:rsid w:val="00BB0FAB"/>
    <w:rsid w:val="00BB25BF"/>
    <w:rsid w:val="00BC08B6"/>
    <w:rsid w:val="00BC13D6"/>
    <w:rsid w:val="00BC3A99"/>
    <w:rsid w:val="00BD04E3"/>
    <w:rsid w:val="00BD2E7F"/>
    <w:rsid w:val="00BE26D0"/>
    <w:rsid w:val="00BE39AD"/>
    <w:rsid w:val="00BE3F55"/>
    <w:rsid w:val="00BE4F65"/>
    <w:rsid w:val="00BE74FA"/>
    <w:rsid w:val="00BE7CB6"/>
    <w:rsid w:val="00BF3A60"/>
    <w:rsid w:val="00BF4E93"/>
    <w:rsid w:val="00BF68F1"/>
    <w:rsid w:val="00C003DD"/>
    <w:rsid w:val="00C00EA0"/>
    <w:rsid w:val="00C032FA"/>
    <w:rsid w:val="00C04F59"/>
    <w:rsid w:val="00C06824"/>
    <w:rsid w:val="00C06B04"/>
    <w:rsid w:val="00C06C3B"/>
    <w:rsid w:val="00C078CB"/>
    <w:rsid w:val="00C11642"/>
    <w:rsid w:val="00C15F39"/>
    <w:rsid w:val="00C16568"/>
    <w:rsid w:val="00C2055C"/>
    <w:rsid w:val="00C2162B"/>
    <w:rsid w:val="00C2177E"/>
    <w:rsid w:val="00C21F4C"/>
    <w:rsid w:val="00C24337"/>
    <w:rsid w:val="00C261D2"/>
    <w:rsid w:val="00C26D8B"/>
    <w:rsid w:val="00C3307C"/>
    <w:rsid w:val="00C350B6"/>
    <w:rsid w:val="00C35389"/>
    <w:rsid w:val="00C35758"/>
    <w:rsid w:val="00C40E5E"/>
    <w:rsid w:val="00C41966"/>
    <w:rsid w:val="00C52167"/>
    <w:rsid w:val="00C53254"/>
    <w:rsid w:val="00C53B60"/>
    <w:rsid w:val="00C61591"/>
    <w:rsid w:val="00C61912"/>
    <w:rsid w:val="00C6590E"/>
    <w:rsid w:val="00C66135"/>
    <w:rsid w:val="00C7094A"/>
    <w:rsid w:val="00C7105A"/>
    <w:rsid w:val="00C7113F"/>
    <w:rsid w:val="00C72C80"/>
    <w:rsid w:val="00C73249"/>
    <w:rsid w:val="00C738E9"/>
    <w:rsid w:val="00C8034A"/>
    <w:rsid w:val="00C80B4C"/>
    <w:rsid w:val="00C81AAB"/>
    <w:rsid w:val="00C83323"/>
    <w:rsid w:val="00C85905"/>
    <w:rsid w:val="00C90C1F"/>
    <w:rsid w:val="00C90DD5"/>
    <w:rsid w:val="00C91F94"/>
    <w:rsid w:val="00C93156"/>
    <w:rsid w:val="00C933F1"/>
    <w:rsid w:val="00C95B33"/>
    <w:rsid w:val="00C960B8"/>
    <w:rsid w:val="00C962B2"/>
    <w:rsid w:val="00C9694B"/>
    <w:rsid w:val="00CA1FC5"/>
    <w:rsid w:val="00CA24D7"/>
    <w:rsid w:val="00CA3253"/>
    <w:rsid w:val="00CA485E"/>
    <w:rsid w:val="00CA673A"/>
    <w:rsid w:val="00CA7AF7"/>
    <w:rsid w:val="00CB0F6D"/>
    <w:rsid w:val="00CB2545"/>
    <w:rsid w:val="00CC00B8"/>
    <w:rsid w:val="00CC38D3"/>
    <w:rsid w:val="00CC5010"/>
    <w:rsid w:val="00CD0A96"/>
    <w:rsid w:val="00CD0D85"/>
    <w:rsid w:val="00CD2734"/>
    <w:rsid w:val="00CD2923"/>
    <w:rsid w:val="00CD303B"/>
    <w:rsid w:val="00CD3126"/>
    <w:rsid w:val="00CD3BEA"/>
    <w:rsid w:val="00CD5945"/>
    <w:rsid w:val="00CE1914"/>
    <w:rsid w:val="00CE2674"/>
    <w:rsid w:val="00CE355D"/>
    <w:rsid w:val="00CE569A"/>
    <w:rsid w:val="00CF09AF"/>
    <w:rsid w:val="00CF1C53"/>
    <w:rsid w:val="00CF1DB4"/>
    <w:rsid w:val="00CF4B62"/>
    <w:rsid w:val="00D0281E"/>
    <w:rsid w:val="00D03302"/>
    <w:rsid w:val="00D04C23"/>
    <w:rsid w:val="00D100F6"/>
    <w:rsid w:val="00D105ED"/>
    <w:rsid w:val="00D10801"/>
    <w:rsid w:val="00D12E12"/>
    <w:rsid w:val="00D21DBD"/>
    <w:rsid w:val="00D23B15"/>
    <w:rsid w:val="00D26641"/>
    <w:rsid w:val="00D307D6"/>
    <w:rsid w:val="00D40AD8"/>
    <w:rsid w:val="00D42767"/>
    <w:rsid w:val="00D4340D"/>
    <w:rsid w:val="00D4526E"/>
    <w:rsid w:val="00D45693"/>
    <w:rsid w:val="00D458FC"/>
    <w:rsid w:val="00D46911"/>
    <w:rsid w:val="00D529CE"/>
    <w:rsid w:val="00D545B8"/>
    <w:rsid w:val="00D55268"/>
    <w:rsid w:val="00D61C4D"/>
    <w:rsid w:val="00D622A1"/>
    <w:rsid w:val="00D6377E"/>
    <w:rsid w:val="00D64D3B"/>
    <w:rsid w:val="00D65C3E"/>
    <w:rsid w:val="00D70EEB"/>
    <w:rsid w:val="00D71795"/>
    <w:rsid w:val="00D722E4"/>
    <w:rsid w:val="00D72C1D"/>
    <w:rsid w:val="00D75BD3"/>
    <w:rsid w:val="00D76345"/>
    <w:rsid w:val="00D8174E"/>
    <w:rsid w:val="00D819A2"/>
    <w:rsid w:val="00D8216F"/>
    <w:rsid w:val="00D83B84"/>
    <w:rsid w:val="00D84B1F"/>
    <w:rsid w:val="00D878DA"/>
    <w:rsid w:val="00D90282"/>
    <w:rsid w:val="00D90E91"/>
    <w:rsid w:val="00D9346B"/>
    <w:rsid w:val="00D95864"/>
    <w:rsid w:val="00D95F1B"/>
    <w:rsid w:val="00DA1230"/>
    <w:rsid w:val="00DA34B6"/>
    <w:rsid w:val="00DA4A69"/>
    <w:rsid w:val="00DA563B"/>
    <w:rsid w:val="00DA5E4F"/>
    <w:rsid w:val="00DA6764"/>
    <w:rsid w:val="00DA6C48"/>
    <w:rsid w:val="00DA6EC1"/>
    <w:rsid w:val="00DB017C"/>
    <w:rsid w:val="00DB0F6B"/>
    <w:rsid w:val="00DB2B97"/>
    <w:rsid w:val="00DB3BDE"/>
    <w:rsid w:val="00DB5F7C"/>
    <w:rsid w:val="00DB7994"/>
    <w:rsid w:val="00DC0BF7"/>
    <w:rsid w:val="00DC17AC"/>
    <w:rsid w:val="00DC1A08"/>
    <w:rsid w:val="00DC4865"/>
    <w:rsid w:val="00DC7174"/>
    <w:rsid w:val="00DD257E"/>
    <w:rsid w:val="00DD5959"/>
    <w:rsid w:val="00DD7CAA"/>
    <w:rsid w:val="00DE616C"/>
    <w:rsid w:val="00DE6C43"/>
    <w:rsid w:val="00DE7F20"/>
    <w:rsid w:val="00DF645D"/>
    <w:rsid w:val="00DF7D39"/>
    <w:rsid w:val="00E0134D"/>
    <w:rsid w:val="00E044B2"/>
    <w:rsid w:val="00E07BD7"/>
    <w:rsid w:val="00E11C2A"/>
    <w:rsid w:val="00E14067"/>
    <w:rsid w:val="00E1478E"/>
    <w:rsid w:val="00E15A5F"/>
    <w:rsid w:val="00E17FD8"/>
    <w:rsid w:val="00E213C4"/>
    <w:rsid w:val="00E25865"/>
    <w:rsid w:val="00E259B5"/>
    <w:rsid w:val="00E25BE1"/>
    <w:rsid w:val="00E30A12"/>
    <w:rsid w:val="00E3106B"/>
    <w:rsid w:val="00E33DB7"/>
    <w:rsid w:val="00E37719"/>
    <w:rsid w:val="00E40F2A"/>
    <w:rsid w:val="00E42976"/>
    <w:rsid w:val="00E42B23"/>
    <w:rsid w:val="00E42B3F"/>
    <w:rsid w:val="00E466D9"/>
    <w:rsid w:val="00E5090C"/>
    <w:rsid w:val="00E5247A"/>
    <w:rsid w:val="00E52890"/>
    <w:rsid w:val="00E57345"/>
    <w:rsid w:val="00E67FA1"/>
    <w:rsid w:val="00E7118B"/>
    <w:rsid w:val="00E72367"/>
    <w:rsid w:val="00E74BBC"/>
    <w:rsid w:val="00E758A7"/>
    <w:rsid w:val="00E758D2"/>
    <w:rsid w:val="00E76B41"/>
    <w:rsid w:val="00E773FB"/>
    <w:rsid w:val="00E7792D"/>
    <w:rsid w:val="00E821AE"/>
    <w:rsid w:val="00E85657"/>
    <w:rsid w:val="00E87224"/>
    <w:rsid w:val="00E9157E"/>
    <w:rsid w:val="00E95271"/>
    <w:rsid w:val="00E97471"/>
    <w:rsid w:val="00EA521D"/>
    <w:rsid w:val="00EB0C45"/>
    <w:rsid w:val="00EB2E94"/>
    <w:rsid w:val="00EB59DA"/>
    <w:rsid w:val="00EB7A96"/>
    <w:rsid w:val="00EC45EC"/>
    <w:rsid w:val="00EC579F"/>
    <w:rsid w:val="00EC5C1C"/>
    <w:rsid w:val="00EC6751"/>
    <w:rsid w:val="00ED18A2"/>
    <w:rsid w:val="00ED21EE"/>
    <w:rsid w:val="00ED2D95"/>
    <w:rsid w:val="00ED389A"/>
    <w:rsid w:val="00ED4CD0"/>
    <w:rsid w:val="00ED681F"/>
    <w:rsid w:val="00ED70FA"/>
    <w:rsid w:val="00EE2E40"/>
    <w:rsid w:val="00EE4D85"/>
    <w:rsid w:val="00EE5DF3"/>
    <w:rsid w:val="00EE7037"/>
    <w:rsid w:val="00EE76E1"/>
    <w:rsid w:val="00EE7A55"/>
    <w:rsid w:val="00EF2DD1"/>
    <w:rsid w:val="00EF2F98"/>
    <w:rsid w:val="00EF4C54"/>
    <w:rsid w:val="00EF4E97"/>
    <w:rsid w:val="00EF64E7"/>
    <w:rsid w:val="00F0605F"/>
    <w:rsid w:val="00F0677A"/>
    <w:rsid w:val="00F06CA1"/>
    <w:rsid w:val="00F110FC"/>
    <w:rsid w:val="00F11810"/>
    <w:rsid w:val="00F133DE"/>
    <w:rsid w:val="00F13A72"/>
    <w:rsid w:val="00F13E76"/>
    <w:rsid w:val="00F14842"/>
    <w:rsid w:val="00F14B6D"/>
    <w:rsid w:val="00F1549A"/>
    <w:rsid w:val="00F1560B"/>
    <w:rsid w:val="00F15DF7"/>
    <w:rsid w:val="00F16302"/>
    <w:rsid w:val="00F164DB"/>
    <w:rsid w:val="00F1781D"/>
    <w:rsid w:val="00F22257"/>
    <w:rsid w:val="00F22F01"/>
    <w:rsid w:val="00F275C5"/>
    <w:rsid w:val="00F27E97"/>
    <w:rsid w:val="00F309D5"/>
    <w:rsid w:val="00F317AC"/>
    <w:rsid w:val="00F37E89"/>
    <w:rsid w:val="00F43494"/>
    <w:rsid w:val="00F43EFE"/>
    <w:rsid w:val="00F44183"/>
    <w:rsid w:val="00F47B51"/>
    <w:rsid w:val="00F50E3A"/>
    <w:rsid w:val="00F53088"/>
    <w:rsid w:val="00F56AB3"/>
    <w:rsid w:val="00F602E8"/>
    <w:rsid w:val="00F60531"/>
    <w:rsid w:val="00F62444"/>
    <w:rsid w:val="00F62D6B"/>
    <w:rsid w:val="00F64039"/>
    <w:rsid w:val="00F66219"/>
    <w:rsid w:val="00F67FAD"/>
    <w:rsid w:val="00F73AF8"/>
    <w:rsid w:val="00F740E9"/>
    <w:rsid w:val="00F75B17"/>
    <w:rsid w:val="00F77698"/>
    <w:rsid w:val="00F815CC"/>
    <w:rsid w:val="00F83575"/>
    <w:rsid w:val="00F8541B"/>
    <w:rsid w:val="00F87D04"/>
    <w:rsid w:val="00F91C1F"/>
    <w:rsid w:val="00FA4E30"/>
    <w:rsid w:val="00FA686E"/>
    <w:rsid w:val="00FA7F72"/>
    <w:rsid w:val="00FB14EE"/>
    <w:rsid w:val="00FB341F"/>
    <w:rsid w:val="00FB3FE0"/>
    <w:rsid w:val="00FB508C"/>
    <w:rsid w:val="00FB6293"/>
    <w:rsid w:val="00FC1158"/>
    <w:rsid w:val="00FC3EFA"/>
    <w:rsid w:val="00FC46A4"/>
    <w:rsid w:val="00FD6BB8"/>
    <w:rsid w:val="00FE216D"/>
    <w:rsid w:val="00FE4428"/>
    <w:rsid w:val="00FE6404"/>
    <w:rsid w:val="00FE6F57"/>
    <w:rsid w:val="00FE7408"/>
    <w:rsid w:val="00FE76F4"/>
    <w:rsid w:val="00FF0282"/>
    <w:rsid w:val="00FF3349"/>
    <w:rsid w:val="00FF4DC4"/>
    <w:rsid w:val="00FF54D2"/>
    <w:rsid w:val="00FF66A2"/>
    <w:rsid w:val="00FF6D35"/>
    <w:rsid w:val="00FF7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qFormat="1"/>
    <w:lsdException w:name="caption" w:locked="1" w:uiPriority="35"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63"/>
    <w:pPr>
      <w:spacing w:after="120" w:line="288" w:lineRule="auto"/>
    </w:pPr>
    <w:rPr>
      <w:rFonts w:ascii="Arial" w:eastAsia="Cambria" w:hAnsi="Arial" w:cs="Cambria"/>
      <w:szCs w:val="20"/>
      <w:lang w:val="en-AU" w:eastAsia="en-AU"/>
    </w:rPr>
  </w:style>
  <w:style w:type="paragraph" w:styleId="Heading1">
    <w:name w:val="heading 1"/>
    <w:basedOn w:val="Normal"/>
    <w:next w:val="Normal"/>
    <w:link w:val="Heading1Char"/>
    <w:uiPriority w:val="9"/>
    <w:qFormat/>
    <w:rsid w:val="008B3063"/>
    <w:pPr>
      <w:keepNext/>
      <w:pageBreakBefore/>
      <w:spacing w:after="600" w:line="240" w:lineRule="auto"/>
      <w:outlineLvl w:val="0"/>
    </w:pPr>
    <w:rPr>
      <w:rFonts w:eastAsia="Times New Roman" w:cs="Times New Roman"/>
      <w:color w:val="6C6C6C"/>
      <w:spacing w:val="16"/>
      <w:kern w:val="32"/>
      <w:sz w:val="52"/>
      <w:szCs w:val="52"/>
      <w:lang w:val="en-US" w:eastAsia="ja-JP"/>
    </w:rPr>
  </w:style>
  <w:style w:type="paragraph" w:styleId="Heading2">
    <w:name w:val="heading 2"/>
    <w:basedOn w:val="Normal"/>
    <w:next w:val="Normal"/>
    <w:link w:val="Heading2Char"/>
    <w:autoRedefine/>
    <w:qFormat/>
    <w:rsid w:val="008B3063"/>
    <w:pPr>
      <w:keepNext/>
      <w:keepLines/>
      <w:spacing w:before="240" w:line="300" w:lineRule="exact"/>
      <w:outlineLvl w:val="1"/>
    </w:pPr>
    <w:rPr>
      <w:b/>
      <w:bCs/>
      <w:spacing w:val="10"/>
      <w:sz w:val="28"/>
      <w:szCs w:val="26"/>
    </w:rPr>
  </w:style>
  <w:style w:type="paragraph" w:styleId="Heading3">
    <w:name w:val="heading 3"/>
    <w:basedOn w:val="Normal"/>
    <w:next w:val="Normal"/>
    <w:link w:val="Heading3Char"/>
    <w:qFormat/>
    <w:rsid w:val="008B3063"/>
    <w:pPr>
      <w:keepNext/>
      <w:keepLines/>
      <w:spacing w:before="240" w:after="60"/>
      <w:outlineLvl w:val="2"/>
    </w:pPr>
    <w:rPr>
      <w:bCs/>
      <w:spacing w:val="8"/>
      <w:sz w:val="28"/>
      <w:szCs w:val="28"/>
    </w:rPr>
  </w:style>
  <w:style w:type="paragraph" w:styleId="Heading4">
    <w:name w:val="heading 4"/>
    <w:basedOn w:val="Normal"/>
    <w:next w:val="Normal"/>
    <w:link w:val="Heading4Char"/>
    <w:qFormat/>
    <w:rsid w:val="008B3063"/>
    <w:pPr>
      <w:keepNext/>
      <w:keepLines/>
      <w:spacing w:before="240" w:after="60"/>
      <w:outlineLvl w:val="3"/>
    </w:pPr>
    <w:rPr>
      <w:b/>
      <w:bCs/>
      <w:spacing w:val="8"/>
      <w:sz w:val="24"/>
      <w:szCs w:val="24"/>
    </w:rPr>
  </w:style>
  <w:style w:type="paragraph" w:styleId="Heading5">
    <w:name w:val="heading 5"/>
    <w:basedOn w:val="Normal"/>
    <w:next w:val="Normal"/>
    <w:link w:val="Heading5Char"/>
    <w:qFormat/>
    <w:locked/>
    <w:rsid w:val="008B3063"/>
    <w:pPr>
      <w:keepNext/>
      <w:keepLines/>
      <w:spacing w:before="220" w:after="40"/>
      <w:contextualSpacing/>
      <w:outlineLvl w:val="4"/>
    </w:pPr>
    <w:rPr>
      <w:b/>
    </w:rPr>
  </w:style>
  <w:style w:type="paragraph" w:styleId="Heading6">
    <w:name w:val="heading 6"/>
    <w:basedOn w:val="Normal"/>
    <w:next w:val="Normal"/>
    <w:link w:val="Heading6Char"/>
    <w:qFormat/>
    <w:locked/>
    <w:rsid w:val="008B3063"/>
    <w:pPr>
      <w:keepNext/>
      <w:keepLines/>
      <w:spacing w:before="200" w:after="40"/>
      <w:contextualSpacing/>
      <w:outlineLvl w:val="5"/>
    </w:pPr>
    <w:rPr>
      <w:b/>
      <w:sz w:val="20"/>
    </w:rPr>
  </w:style>
  <w:style w:type="paragraph" w:styleId="Heading7">
    <w:name w:val="heading 7"/>
    <w:basedOn w:val="Normal"/>
    <w:next w:val="Normal"/>
    <w:link w:val="Heading7Char"/>
    <w:uiPriority w:val="9"/>
    <w:qFormat/>
    <w:locked/>
    <w:rsid w:val="008B3063"/>
    <w:pPr>
      <w:spacing w:before="240" w:after="60"/>
      <w:outlineLvl w:val="6"/>
    </w:pPr>
    <w:rPr>
      <w:rFonts w:eastAsia="MS Mincho" w:cs="Times New Roman"/>
      <w:sz w:val="24"/>
      <w:szCs w:val="24"/>
    </w:rPr>
  </w:style>
  <w:style w:type="character" w:default="1" w:styleId="DefaultParagraphFont">
    <w:name w:val="Default Paragraph Font"/>
    <w:uiPriority w:val="1"/>
    <w:unhideWhenUsed/>
    <w:rsid w:val="008B30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3063"/>
  </w:style>
  <w:style w:type="character" w:customStyle="1" w:styleId="Heading1Char">
    <w:name w:val="Heading 1 Char"/>
    <w:link w:val="Heading1"/>
    <w:uiPriority w:val="9"/>
    <w:locked/>
    <w:rsid w:val="008B3063"/>
    <w:rPr>
      <w:rFonts w:ascii="Arial" w:eastAsia="Times New Roman" w:hAnsi="Arial"/>
      <w:color w:val="6C6C6C"/>
      <w:spacing w:val="16"/>
      <w:kern w:val="32"/>
      <w:sz w:val="52"/>
      <w:szCs w:val="52"/>
      <w:lang w:eastAsia="ja-JP"/>
    </w:rPr>
  </w:style>
  <w:style w:type="character" w:customStyle="1" w:styleId="Heading2Char">
    <w:name w:val="Heading 2 Char"/>
    <w:basedOn w:val="DefaultParagraphFont"/>
    <w:link w:val="Heading2"/>
    <w:locked/>
    <w:rsid w:val="00E14067"/>
    <w:rPr>
      <w:rFonts w:ascii="Arial" w:eastAsia="Cambria" w:hAnsi="Arial" w:cs="Cambria"/>
      <w:b/>
      <w:bCs/>
      <w:spacing w:val="10"/>
      <w:sz w:val="28"/>
      <w:szCs w:val="26"/>
      <w:lang w:val="en-AU" w:eastAsia="en-AU"/>
    </w:rPr>
  </w:style>
  <w:style w:type="character" w:customStyle="1" w:styleId="Heading3Char">
    <w:name w:val="Heading 3 Char"/>
    <w:basedOn w:val="DefaultParagraphFont"/>
    <w:link w:val="Heading3"/>
    <w:locked/>
    <w:rsid w:val="00002FA2"/>
    <w:rPr>
      <w:rFonts w:ascii="Arial" w:eastAsia="Cambria" w:hAnsi="Arial" w:cs="Cambria"/>
      <w:bCs/>
      <w:spacing w:val="8"/>
      <w:sz w:val="28"/>
      <w:szCs w:val="28"/>
      <w:lang w:val="en-AU" w:eastAsia="en-AU"/>
    </w:rPr>
  </w:style>
  <w:style w:type="character" w:customStyle="1" w:styleId="Heading4Char">
    <w:name w:val="Heading 4 Char"/>
    <w:basedOn w:val="DefaultParagraphFont"/>
    <w:link w:val="Heading4"/>
    <w:locked/>
    <w:rsid w:val="006145B5"/>
    <w:rPr>
      <w:rFonts w:ascii="Arial" w:eastAsia="Cambria" w:hAnsi="Arial" w:cs="Cambria"/>
      <w:b/>
      <w:bCs/>
      <w:spacing w:val="8"/>
      <w:sz w:val="24"/>
      <w:szCs w:val="24"/>
      <w:lang w:val="en-AU" w:eastAsia="en-AU"/>
    </w:rPr>
  </w:style>
  <w:style w:type="paragraph" w:styleId="ListParagraph">
    <w:name w:val="List Paragraph"/>
    <w:basedOn w:val="Normal"/>
    <w:uiPriority w:val="99"/>
    <w:qFormat/>
    <w:rsid w:val="00D8216F"/>
    <w:pPr>
      <w:ind w:left="720"/>
      <w:contextualSpacing/>
    </w:pPr>
  </w:style>
  <w:style w:type="character" w:styleId="Hyperlink">
    <w:name w:val="Hyperlink"/>
    <w:uiPriority w:val="99"/>
    <w:unhideWhenUsed/>
    <w:qFormat/>
    <w:rsid w:val="008B3063"/>
    <w:rPr>
      <w:color w:val="auto"/>
      <w:u w:val="single"/>
    </w:rPr>
  </w:style>
  <w:style w:type="paragraph" w:styleId="Header">
    <w:name w:val="header"/>
    <w:basedOn w:val="Normal"/>
    <w:link w:val="HeaderChar"/>
    <w:uiPriority w:val="99"/>
    <w:unhideWhenUsed/>
    <w:rsid w:val="008B306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B3063"/>
    <w:rPr>
      <w:rFonts w:ascii="Arial" w:eastAsia="Cambria" w:hAnsi="Arial" w:cs="Cambria"/>
      <w:szCs w:val="20"/>
      <w:lang w:val="en-AU" w:eastAsia="en-AU"/>
    </w:rPr>
  </w:style>
  <w:style w:type="paragraph" w:styleId="Footer">
    <w:name w:val="footer"/>
    <w:basedOn w:val="Normal"/>
    <w:link w:val="FooterChar"/>
    <w:autoRedefine/>
    <w:uiPriority w:val="99"/>
    <w:unhideWhenUsed/>
    <w:qFormat/>
    <w:rsid w:val="008B3063"/>
    <w:pPr>
      <w:tabs>
        <w:tab w:val="center" w:pos="4513"/>
        <w:tab w:val="right" w:pos="9026"/>
      </w:tabs>
      <w:spacing w:after="0" w:line="240" w:lineRule="auto"/>
      <w:jc w:val="center"/>
    </w:pPr>
    <w:rPr>
      <w:noProof/>
      <w:sz w:val="20"/>
      <w:szCs w:val="24"/>
    </w:rPr>
  </w:style>
  <w:style w:type="character" w:customStyle="1" w:styleId="FooterChar">
    <w:name w:val="Footer Char"/>
    <w:link w:val="Footer"/>
    <w:uiPriority w:val="99"/>
    <w:locked/>
    <w:rsid w:val="008B3063"/>
    <w:rPr>
      <w:rFonts w:ascii="Arial" w:eastAsia="Cambria" w:hAnsi="Arial" w:cs="Cambria"/>
      <w:noProof/>
      <w:sz w:val="20"/>
      <w:szCs w:val="24"/>
      <w:lang w:val="en-AU" w:eastAsia="en-AU"/>
    </w:rPr>
  </w:style>
  <w:style w:type="paragraph" w:styleId="BalloonText">
    <w:name w:val="Balloon Text"/>
    <w:basedOn w:val="Normal"/>
    <w:link w:val="BalloonTextChar"/>
    <w:uiPriority w:val="99"/>
    <w:semiHidden/>
    <w:unhideWhenUsed/>
    <w:rsid w:val="008B30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B3063"/>
    <w:rPr>
      <w:rFonts w:ascii="Tahoma" w:eastAsia="Cambria" w:hAnsi="Tahoma" w:cs="Tahoma"/>
      <w:sz w:val="16"/>
      <w:szCs w:val="16"/>
      <w:lang w:val="en-AU" w:eastAsia="en-AU"/>
    </w:rPr>
  </w:style>
  <w:style w:type="paragraph" w:styleId="NormalWeb">
    <w:name w:val="Normal (Web)"/>
    <w:basedOn w:val="Normal"/>
    <w:uiPriority w:val="99"/>
    <w:semiHidden/>
    <w:rsid w:val="003A0675"/>
    <w:pPr>
      <w:spacing w:before="100" w:beforeAutospacing="1" w:after="100" w:afterAutospacing="1"/>
    </w:pPr>
  </w:style>
  <w:style w:type="table" w:styleId="TableGrid">
    <w:name w:val="Table Grid"/>
    <w:basedOn w:val="TableNormal"/>
    <w:uiPriority w:val="59"/>
    <w:rsid w:val="008B3063"/>
    <w:rPr>
      <w:rFonts w:cs="Calibri"/>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B3063"/>
    <w:rPr>
      <w:color w:val="59A8D1"/>
      <w:u w:val="single"/>
    </w:rPr>
  </w:style>
  <w:style w:type="paragraph" w:styleId="FootnoteText">
    <w:name w:val="footnote text"/>
    <w:basedOn w:val="Normal"/>
    <w:link w:val="FootnoteTextChar"/>
    <w:uiPriority w:val="99"/>
    <w:unhideWhenUsed/>
    <w:rsid w:val="008B3063"/>
    <w:pPr>
      <w:spacing w:after="0" w:line="240" w:lineRule="auto"/>
    </w:pPr>
    <w:rPr>
      <w:sz w:val="20"/>
    </w:rPr>
  </w:style>
  <w:style w:type="character" w:customStyle="1" w:styleId="FootnoteTextChar">
    <w:name w:val="Footnote Text Char"/>
    <w:link w:val="FootnoteText"/>
    <w:uiPriority w:val="99"/>
    <w:locked/>
    <w:rsid w:val="008B3063"/>
    <w:rPr>
      <w:rFonts w:ascii="Arial" w:eastAsia="Cambria" w:hAnsi="Arial" w:cs="Cambria"/>
      <w:sz w:val="20"/>
      <w:szCs w:val="20"/>
      <w:lang w:val="en-AU" w:eastAsia="en-AU"/>
    </w:rPr>
  </w:style>
  <w:style w:type="character" w:styleId="FootnoteReference">
    <w:name w:val="footnote reference"/>
    <w:uiPriority w:val="99"/>
    <w:semiHidden/>
    <w:unhideWhenUsed/>
    <w:rsid w:val="008B3063"/>
    <w:rPr>
      <w:vertAlign w:val="superscript"/>
    </w:rPr>
  </w:style>
  <w:style w:type="paragraph" w:styleId="NoSpacing">
    <w:name w:val="No Spacing"/>
    <w:uiPriority w:val="99"/>
    <w:qFormat/>
    <w:rsid w:val="00002FA2"/>
    <w:rPr>
      <w:rFonts w:ascii="Times New Roman" w:eastAsia="Times New Roman" w:hAnsi="Times New Roman"/>
      <w:sz w:val="24"/>
      <w:szCs w:val="24"/>
      <w:lang w:val="en-AU"/>
    </w:rPr>
  </w:style>
  <w:style w:type="paragraph" w:customStyle="1" w:styleId="Default">
    <w:name w:val="Default"/>
    <w:uiPriority w:val="99"/>
    <w:rsid w:val="00211238"/>
    <w:pPr>
      <w:autoSpaceDE w:val="0"/>
      <w:autoSpaceDN w:val="0"/>
      <w:adjustRightInd w:val="0"/>
    </w:pPr>
    <w:rPr>
      <w:rFonts w:ascii="Arial" w:hAnsi="Arial" w:cs="Arial"/>
      <w:color w:val="000000"/>
      <w:sz w:val="24"/>
      <w:szCs w:val="24"/>
      <w:lang w:val="en-GB"/>
    </w:rPr>
  </w:style>
  <w:style w:type="character" w:styleId="CommentReference">
    <w:name w:val="annotation reference"/>
    <w:uiPriority w:val="99"/>
    <w:semiHidden/>
    <w:unhideWhenUsed/>
    <w:rsid w:val="008B3063"/>
    <w:rPr>
      <w:sz w:val="16"/>
      <w:szCs w:val="16"/>
    </w:rPr>
  </w:style>
  <w:style w:type="paragraph" w:styleId="CommentText">
    <w:name w:val="annotation text"/>
    <w:basedOn w:val="Normal"/>
    <w:link w:val="CommentTextChar"/>
    <w:uiPriority w:val="99"/>
    <w:semiHidden/>
    <w:unhideWhenUsed/>
    <w:rsid w:val="008B3063"/>
    <w:pPr>
      <w:spacing w:line="240" w:lineRule="auto"/>
    </w:pPr>
    <w:rPr>
      <w:sz w:val="20"/>
    </w:rPr>
  </w:style>
  <w:style w:type="character" w:customStyle="1" w:styleId="CommentTextChar">
    <w:name w:val="Comment Text Char"/>
    <w:link w:val="CommentText"/>
    <w:uiPriority w:val="99"/>
    <w:semiHidden/>
    <w:rsid w:val="008B3063"/>
    <w:rPr>
      <w:rFonts w:ascii="Arial" w:eastAsia="Cambria" w:hAnsi="Arial" w:cs="Cambria"/>
      <w:sz w:val="20"/>
      <w:szCs w:val="20"/>
      <w:lang w:val="en-AU" w:eastAsia="en-AU"/>
    </w:rPr>
  </w:style>
  <w:style w:type="paragraph" w:styleId="CommentSubject">
    <w:name w:val="annotation subject"/>
    <w:basedOn w:val="CommentText"/>
    <w:next w:val="CommentText"/>
    <w:link w:val="CommentSubjectChar"/>
    <w:uiPriority w:val="99"/>
    <w:semiHidden/>
    <w:unhideWhenUsed/>
    <w:rsid w:val="00744F58"/>
    <w:rPr>
      <w:b/>
      <w:bCs/>
    </w:rPr>
  </w:style>
  <w:style w:type="character" w:customStyle="1" w:styleId="CommentSubjectChar">
    <w:name w:val="Comment Subject Char"/>
    <w:basedOn w:val="CommentTextChar"/>
    <w:link w:val="CommentSubject"/>
    <w:uiPriority w:val="99"/>
    <w:semiHidden/>
    <w:rsid w:val="00744F58"/>
    <w:rPr>
      <w:rFonts w:ascii="Times New Roman" w:eastAsia="Times New Roman" w:hAnsi="Times New Roman" w:cs="Cambria"/>
      <w:b/>
      <w:bCs/>
      <w:sz w:val="20"/>
      <w:szCs w:val="20"/>
      <w:lang w:val="en-AU" w:eastAsia="en-AU"/>
    </w:rPr>
  </w:style>
  <w:style w:type="paragraph" w:styleId="Revision">
    <w:name w:val="Revision"/>
    <w:hidden/>
    <w:uiPriority w:val="99"/>
    <w:semiHidden/>
    <w:rsid w:val="00C80B4C"/>
    <w:rPr>
      <w:rFonts w:ascii="Times New Roman" w:eastAsia="Times New Roman" w:hAnsi="Times New Roman"/>
      <w:sz w:val="24"/>
      <w:szCs w:val="24"/>
      <w:lang w:val="en-AU"/>
    </w:rPr>
  </w:style>
  <w:style w:type="character" w:customStyle="1" w:styleId="Heading5Char">
    <w:name w:val="Heading 5 Char"/>
    <w:basedOn w:val="DefaultParagraphFont"/>
    <w:link w:val="Heading5"/>
    <w:rsid w:val="006C0912"/>
    <w:rPr>
      <w:rFonts w:ascii="Arial" w:eastAsia="Cambria" w:hAnsi="Arial" w:cs="Cambria"/>
      <w:b/>
      <w:szCs w:val="20"/>
      <w:lang w:val="en-AU" w:eastAsia="en-AU"/>
    </w:rPr>
  </w:style>
  <w:style w:type="character" w:customStyle="1" w:styleId="Heading6Char">
    <w:name w:val="Heading 6 Char"/>
    <w:basedOn w:val="DefaultParagraphFont"/>
    <w:link w:val="Heading6"/>
    <w:rsid w:val="006C0912"/>
    <w:rPr>
      <w:rFonts w:ascii="Arial" w:eastAsia="Cambria" w:hAnsi="Arial" w:cs="Cambria"/>
      <w:b/>
      <w:sz w:val="20"/>
      <w:szCs w:val="20"/>
      <w:lang w:val="en-AU" w:eastAsia="en-AU"/>
    </w:rPr>
  </w:style>
  <w:style w:type="character" w:customStyle="1" w:styleId="Heading7Char">
    <w:name w:val="Heading 7 Char"/>
    <w:link w:val="Heading7"/>
    <w:uiPriority w:val="9"/>
    <w:rsid w:val="008B3063"/>
    <w:rPr>
      <w:rFonts w:ascii="Arial" w:eastAsia="MS Mincho" w:hAnsi="Arial"/>
      <w:sz w:val="24"/>
      <w:szCs w:val="24"/>
      <w:lang w:val="en-AU" w:eastAsia="en-AU"/>
    </w:rPr>
  </w:style>
  <w:style w:type="paragraph" w:styleId="Subtitle">
    <w:name w:val="Subtitle"/>
    <w:basedOn w:val="Normal"/>
    <w:next w:val="Normal"/>
    <w:link w:val="SubtitleChar"/>
    <w:qFormat/>
    <w:locked/>
    <w:rsid w:val="008B3063"/>
    <w:pPr>
      <w:keepNext/>
      <w:keepLines/>
    </w:pPr>
    <w:rPr>
      <w:i/>
      <w:sz w:val="24"/>
    </w:rPr>
  </w:style>
  <w:style w:type="character" w:customStyle="1" w:styleId="SubtitleChar">
    <w:name w:val="Subtitle Char"/>
    <w:basedOn w:val="DefaultParagraphFont"/>
    <w:link w:val="Subtitle"/>
    <w:rsid w:val="006C0912"/>
    <w:rPr>
      <w:rFonts w:ascii="Arial" w:eastAsia="Cambria" w:hAnsi="Arial" w:cs="Cambria"/>
      <w:i/>
      <w:sz w:val="24"/>
      <w:szCs w:val="20"/>
      <w:lang w:val="en-AU" w:eastAsia="en-AU"/>
    </w:rPr>
  </w:style>
  <w:style w:type="paragraph" w:customStyle="1" w:styleId="TITLE1">
    <w:name w:val="TITLE 1"/>
    <w:next w:val="TITLE2"/>
    <w:rsid w:val="008B3063"/>
    <w:pPr>
      <w:spacing w:after="120" w:line="840" w:lineRule="exact"/>
    </w:pPr>
    <w:rPr>
      <w:rFonts w:ascii="Arial" w:hAnsi="Arial" w:cs="Calibri"/>
      <w:noProof/>
      <w:color w:val="000000"/>
      <w:spacing w:val="10"/>
      <w:sz w:val="84"/>
      <w:szCs w:val="84"/>
    </w:rPr>
  </w:style>
  <w:style w:type="paragraph" w:styleId="TOC1">
    <w:name w:val="toc 1"/>
    <w:basedOn w:val="Normal"/>
    <w:next w:val="Normal"/>
    <w:autoRedefine/>
    <w:uiPriority w:val="39"/>
    <w:unhideWhenUsed/>
    <w:locked/>
    <w:rsid w:val="008B3063"/>
    <w:pPr>
      <w:spacing w:after="100"/>
    </w:pPr>
  </w:style>
  <w:style w:type="paragraph" w:styleId="TOC2">
    <w:name w:val="toc 2"/>
    <w:basedOn w:val="Normal"/>
    <w:next w:val="Normal"/>
    <w:autoRedefine/>
    <w:uiPriority w:val="39"/>
    <w:unhideWhenUsed/>
    <w:locked/>
    <w:rsid w:val="008B3063"/>
    <w:pPr>
      <w:spacing w:after="100"/>
      <w:ind w:left="220"/>
    </w:pPr>
  </w:style>
  <w:style w:type="paragraph" w:styleId="TOC3">
    <w:name w:val="toc 3"/>
    <w:basedOn w:val="Normal"/>
    <w:next w:val="Normal"/>
    <w:autoRedefine/>
    <w:uiPriority w:val="39"/>
    <w:unhideWhenUsed/>
    <w:locked/>
    <w:rsid w:val="008B3063"/>
    <w:pPr>
      <w:spacing w:after="100"/>
      <w:ind w:left="440"/>
    </w:pPr>
  </w:style>
  <w:style w:type="paragraph" w:styleId="PlainText">
    <w:name w:val="Plain Text"/>
    <w:basedOn w:val="Normal"/>
    <w:link w:val="PlainTextChar"/>
    <w:uiPriority w:val="99"/>
    <w:unhideWhenUsed/>
    <w:rsid w:val="008B3063"/>
    <w:pPr>
      <w:spacing w:after="0" w:line="240" w:lineRule="auto"/>
    </w:pPr>
    <w:rPr>
      <w:rFonts w:ascii="Courier" w:eastAsia="MS Gothic" w:hAnsi="Courier" w:cs="Times New Roman"/>
      <w:sz w:val="21"/>
      <w:szCs w:val="21"/>
      <w:lang w:eastAsia="ja-JP"/>
    </w:rPr>
  </w:style>
  <w:style w:type="character" w:customStyle="1" w:styleId="PlainTextChar">
    <w:name w:val="Plain Text Char"/>
    <w:link w:val="PlainText"/>
    <w:uiPriority w:val="99"/>
    <w:rsid w:val="008B3063"/>
    <w:rPr>
      <w:rFonts w:ascii="Courier" w:eastAsia="MS Gothic" w:hAnsi="Courier"/>
      <w:sz w:val="21"/>
      <w:szCs w:val="21"/>
      <w:lang w:val="en-AU" w:eastAsia="ja-JP"/>
    </w:rPr>
  </w:style>
  <w:style w:type="character" w:styleId="PageNumber">
    <w:name w:val="page number"/>
    <w:uiPriority w:val="99"/>
    <w:semiHidden/>
    <w:unhideWhenUsed/>
    <w:rsid w:val="008B3063"/>
  </w:style>
  <w:style w:type="paragraph" w:customStyle="1" w:styleId="BullitTEXT">
    <w:name w:val="Bullit TEXT"/>
    <w:basedOn w:val="Normal"/>
    <w:autoRedefine/>
    <w:qFormat/>
    <w:rsid w:val="008B3063"/>
    <w:pPr>
      <w:numPr>
        <w:numId w:val="38"/>
      </w:numPr>
      <w:ind w:left="714" w:hanging="357"/>
      <w:contextualSpacing/>
    </w:pPr>
  </w:style>
  <w:style w:type="paragraph" w:customStyle="1" w:styleId="TITLE2">
    <w:name w:val="TITLE 2"/>
    <w:basedOn w:val="Normal"/>
    <w:rsid w:val="008B3063"/>
    <w:pPr>
      <w:spacing w:after="200" w:line="520" w:lineRule="exact"/>
      <w:ind w:left="-7"/>
      <w:jc w:val="center"/>
    </w:pPr>
    <w:rPr>
      <w:spacing w:val="7"/>
      <w:sz w:val="42"/>
      <w:szCs w:val="42"/>
    </w:rPr>
  </w:style>
  <w:style w:type="paragraph" w:styleId="Caption">
    <w:name w:val="caption"/>
    <w:basedOn w:val="Normal"/>
    <w:next w:val="Normal"/>
    <w:uiPriority w:val="35"/>
    <w:unhideWhenUsed/>
    <w:qFormat/>
    <w:locked/>
    <w:rsid w:val="008B3063"/>
    <w:rPr>
      <w:b/>
      <w:bCs/>
      <w:sz w:val="20"/>
    </w:rPr>
  </w:style>
  <w:style w:type="table" w:styleId="MediumGrid3-Accent3">
    <w:name w:val="Medium Grid 3 Accent 3"/>
    <w:basedOn w:val="TableNormal"/>
    <w:uiPriority w:val="60"/>
    <w:rsid w:val="008B3063"/>
    <w:rPr>
      <w:rFonts w:cs="Calibri"/>
      <w:sz w:val="20"/>
      <w:szCs w:val="20"/>
      <w:lang w:val="en-AU"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qFormat="1"/>
    <w:lsdException w:name="caption" w:locked="1" w:uiPriority="35"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63"/>
    <w:pPr>
      <w:spacing w:after="120" w:line="288" w:lineRule="auto"/>
    </w:pPr>
    <w:rPr>
      <w:rFonts w:ascii="Arial" w:eastAsia="Cambria" w:hAnsi="Arial" w:cs="Cambria"/>
      <w:szCs w:val="20"/>
      <w:lang w:val="en-AU" w:eastAsia="en-AU"/>
    </w:rPr>
  </w:style>
  <w:style w:type="paragraph" w:styleId="Heading1">
    <w:name w:val="heading 1"/>
    <w:basedOn w:val="Normal"/>
    <w:next w:val="Normal"/>
    <w:link w:val="Heading1Char"/>
    <w:uiPriority w:val="9"/>
    <w:qFormat/>
    <w:rsid w:val="008B3063"/>
    <w:pPr>
      <w:keepNext/>
      <w:pageBreakBefore/>
      <w:spacing w:after="600" w:line="240" w:lineRule="auto"/>
      <w:outlineLvl w:val="0"/>
    </w:pPr>
    <w:rPr>
      <w:rFonts w:eastAsia="Times New Roman" w:cs="Times New Roman"/>
      <w:color w:val="6C6C6C"/>
      <w:spacing w:val="16"/>
      <w:kern w:val="32"/>
      <w:sz w:val="52"/>
      <w:szCs w:val="52"/>
      <w:lang w:val="en-US" w:eastAsia="ja-JP"/>
    </w:rPr>
  </w:style>
  <w:style w:type="paragraph" w:styleId="Heading2">
    <w:name w:val="heading 2"/>
    <w:basedOn w:val="Normal"/>
    <w:next w:val="Normal"/>
    <w:link w:val="Heading2Char"/>
    <w:autoRedefine/>
    <w:qFormat/>
    <w:rsid w:val="008B3063"/>
    <w:pPr>
      <w:keepNext/>
      <w:keepLines/>
      <w:spacing w:before="240" w:line="300" w:lineRule="exact"/>
      <w:outlineLvl w:val="1"/>
    </w:pPr>
    <w:rPr>
      <w:b/>
      <w:bCs/>
      <w:spacing w:val="10"/>
      <w:sz w:val="28"/>
      <w:szCs w:val="26"/>
    </w:rPr>
  </w:style>
  <w:style w:type="paragraph" w:styleId="Heading3">
    <w:name w:val="heading 3"/>
    <w:basedOn w:val="Normal"/>
    <w:next w:val="Normal"/>
    <w:link w:val="Heading3Char"/>
    <w:qFormat/>
    <w:rsid w:val="008B3063"/>
    <w:pPr>
      <w:keepNext/>
      <w:keepLines/>
      <w:spacing w:before="240" w:after="60"/>
      <w:outlineLvl w:val="2"/>
    </w:pPr>
    <w:rPr>
      <w:bCs/>
      <w:spacing w:val="8"/>
      <w:sz w:val="28"/>
      <w:szCs w:val="28"/>
    </w:rPr>
  </w:style>
  <w:style w:type="paragraph" w:styleId="Heading4">
    <w:name w:val="heading 4"/>
    <w:basedOn w:val="Normal"/>
    <w:next w:val="Normal"/>
    <w:link w:val="Heading4Char"/>
    <w:qFormat/>
    <w:rsid w:val="008B3063"/>
    <w:pPr>
      <w:keepNext/>
      <w:keepLines/>
      <w:spacing w:before="240" w:after="60"/>
      <w:outlineLvl w:val="3"/>
    </w:pPr>
    <w:rPr>
      <w:b/>
      <w:bCs/>
      <w:spacing w:val="8"/>
      <w:sz w:val="24"/>
      <w:szCs w:val="24"/>
    </w:rPr>
  </w:style>
  <w:style w:type="paragraph" w:styleId="Heading5">
    <w:name w:val="heading 5"/>
    <w:basedOn w:val="Normal"/>
    <w:next w:val="Normal"/>
    <w:link w:val="Heading5Char"/>
    <w:qFormat/>
    <w:locked/>
    <w:rsid w:val="008B3063"/>
    <w:pPr>
      <w:keepNext/>
      <w:keepLines/>
      <w:spacing w:before="220" w:after="40"/>
      <w:contextualSpacing/>
      <w:outlineLvl w:val="4"/>
    </w:pPr>
    <w:rPr>
      <w:b/>
    </w:rPr>
  </w:style>
  <w:style w:type="paragraph" w:styleId="Heading6">
    <w:name w:val="heading 6"/>
    <w:basedOn w:val="Normal"/>
    <w:next w:val="Normal"/>
    <w:link w:val="Heading6Char"/>
    <w:qFormat/>
    <w:locked/>
    <w:rsid w:val="008B3063"/>
    <w:pPr>
      <w:keepNext/>
      <w:keepLines/>
      <w:spacing w:before="200" w:after="40"/>
      <w:contextualSpacing/>
      <w:outlineLvl w:val="5"/>
    </w:pPr>
    <w:rPr>
      <w:b/>
      <w:sz w:val="20"/>
    </w:rPr>
  </w:style>
  <w:style w:type="paragraph" w:styleId="Heading7">
    <w:name w:val="heading 7"/>
    <w:basedOn w:val="Normal"/>
    <w:next w:val="Normal"/>
    <w:link w:val="Heading7Char"/>
    <w:uiPriority w:val="9"/>
    <w:qFormat/>
    <w:locked/>
    <w:rsid w:val="008B3063"/>
    <w:pPr>
      <w:spacing w:before="240" w:after="60"/>
      <w:outlineLvl w:val="6"/>
    </w:pPr>
    <w:rPr>
      <w:rFonts w:eastAsia="MS Mincho" w:cs="Times New Roman"/>
      <w:sz w:val="24"/>
      <w:szCs w:val="24"/>
    </w:rPr>
  </w:style>
  <w:style w:type="character" w:default="1" w:styleId="DefaultParagraphFont">
    <w:name w:val="Default Paragraph Font"/>
    <w:uiPriority w:val="1"/>
    <w:unhideWhenUsed/>
    <w:rsid w:val="008B30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3063"/>
  </w:style>
  <w:style w:type="character" w:customStyle="1" w:styleId="Heading1Char">
    <w:name w:val="Heading 1 Char"/>
    <w:link w:val="Heading1"/>
    <w:uiPriority w:val="9"/>
    <w:locked/>
    <w:rsid w:val="008B3063"/>
    <w:rPr>
      <w:rFonts w:ascii="Arial" w:eastAsia="Times New Roman" w:hAnsi="Arial"/>
      <w:color w:val="6C6C6C"/>
      <w:spacing w:val="16"/>
      <w:kern w:val="32"/>
      <w:sz w:val="52"/>
      <w:szCs w:val="52"/>
      <w:lang w:eastAsia="ja-JP"/>
    </w:rPr>
  </w:style>
  <w:style w:type="character" w:customStyle="1" w:styleId="Heading2Char">
    <w:name w:val="Heading 2 Char"/>
    <w:basedOn w:val="DefaultParagraphFont"/>
    <w:link w:val="Heading2"/>
    <w:locked/>
    <w:rsid w:val="00E14067"/>
    <w:rPr>
      <w:rFonts w:ascii="Arial" w:eastAsia="Cambria" w:hAnsi="Arial" w:cs="Cambria"/>
      <w:b/>
      <w:bCs/>
      <w:spacing w:val="10"/>
      <w:sz w:val="28"/>
      <w:szCs w:val="26"/>
      <w:lang w:val="en-AU" w:eastAsia="en-AU"/>
    </w:rPr>
  </w:style>
  <w:style w:type="character" w:customStyle="1" w:styleId="Heading3Char">
    <w:name w:val="Heading 3 Char"/>
    <w:basedOn w:val="DefaultParagraphFont"/>
    <w:link w:val="Heading3"/>
    <w:locked/>
    <w:rsid w:val="00002FA2"/>
    <w:rPr>
      <w:rFonts w:ascii="Arial" w:eastAsia="Cambria" w:hAnsi="Arial" w:cs="Cambria"/>
      <w:bCs/>
      <w:spacing w:val="8"/>
      <w:sz w:val="28"/>
      <w:szCs w:val="28"/>
      <w:lang w:val="en-AU" w:eastAsia="en-AU"/>
    </w:rPr>
  </w:style>
  <w:style w:type="character" w:customStyle="1" w:styleId="Heading4Char">
    <w:name w:val="Heading 4 Char"/>
    <w:basedOn w:val="DefaultParagraphFont"/>
    <w:link w:val="Heading4"/>
    <w:locked/>
    <w:rsid w:val="006145B5"/>
    <w:rPr>
      <w:rFonts w:ascii="Arial" w:eastAsia="Cambria" w:hAnsi="Arial" w:cs="Cambria"/>
      <w:b/>
      <w:bCs/>
      <w:spacing w:val="8"/>
      <w:sz w:val="24"/>
      <w:szCs w:val="24"/>
      <w:lang w:val="en-AU" w:eastAsia="en-AU"/>
    </w:rPr>
  </w:style>
  <w:style w:type="paragraph" w:styleId="ListParagraph">
    <w:name w:val="List Paragraph"/>
    <w:basedOn w:val="Normal"/>
    <w:uiPriority w:val="99"/>
    <w:qFormat/>
    <w:rsid w:val="00D8216F"/>
    <w:pPr>
      <w:ind w:left="720"/>
      <w:contextualSpacing/>
    </w:pPr>
  </w:style>
  <w:style w:type="character" w:styleId="Hyperlink">
    <w:name w:val="Hyperlink"/>
    <w:uiPriority w:val="99"/>
    <w:unhideWhenUsed/>
    <w:qFormat/>
    <w:rsid w:val="008B3063"/>
    <w:rPr>
      <w:color w:val="auto"/>
      <w:u w:val="single"/>
    </w:rPr>
  </w:style>
  <w:style w:type="paragraph" w:styleId="Header">
    <w:name w:val="header"/>
    <w:basedOn w:val="Normal"/>
    <w:link w:val="HeaderChar"/>
    <w:uiPriority w:val="99"/>
    <w:unhideWhenUsed/>
    <w:rsid w:val="008B306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B3063"/>
    <w:rPr>
      <w:rFonts w:ascii="Arial" w:eastAsia="Cambria" w:hAnsi="Arial" w:cs="Cambria"/>
      <w:szCs w:val="20"/>
      <w:lang w:val="en-AU" w:eastAsia="en-AU"/>
    </w:rPr>
  </w:style>
  <w:style w:type="paragraph" w:styleId="Footer">
    <w:name w:val="footer"/>
    <w:basedOn w:val="Normal"/>
    <w:link w:val="FooterChar"/>
    <w:autoRedefine/>
    <w:uiPriority w:val="99"/>
    <w:unhideWhenUsed/>
    <w:qFormat/>
    <w:rsid w:val="008B3063"/>
    <w:pPr>
      <w:tabs>
        <w:tab w:val="center" w:pos="4513"/>
        <w:tab w:val="right" w:pos="9026"/>
      </w:tabs>
      <w:spacing w:after="0" w:line="240" w:lineRule="auto"/>
      <w:jc w:val="center"/>
    </w:pPr>
    <w:rPr>
      <w:noProof/>
      <w:sz w:val="20"/>
      <w:szCs w:val="24"/>
    </w:rPr>
  </w:style>
  <w:style w:type="character" w:customStyle="1" w:styleId="FooterChar">
    <w:name w:val="Footer Char"/>
    <w:link w:val="Footer"/>
    <w:uiPriority w:val="99"/>
    <w:locked/>
    <w:rsid w:val="008B3063"/>
    <w:rPr>
      <w:rFonts w:ascii="Arial" w:eastAsia="Cambria" w:hAnsi="Arial" w:cs="Cambria"/>
      <w:noProof/>
      <w:sz w:val="20"/>
      <w:szCs w:val="24"/>
      <w:lang w:val="en-AU" w:eastAsia="en-AU"/>
    </w:rPr>
  </w:style>
  <w:style w:type="paragraph" w:styleId="BalloonText">
    <w:name w:val="Balloon Text"/>
    <w:basedOn w:val="Normal"/>
    <w:link w:val="BalloonTextChar"/>
    <w:uiPriority w:val="99"/>
    <w:semiHidden/>
    <w:unhideWhenUsed/>
    <w:rsid w:val="008B30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B3063"/>
    <w:rPr>
      <w:rFonts w:ascii="Tahoma" w:eastAsia="Cambria" w:hAnsi="Tahoma" w:cs="Tahoma"/>
      <w:sz w:val="16"/>
      <w:szCs w:val="16"/>
      <w:lang w:val="en-AU" w:eastAsia="en-AU"/>
    </w:rPr>
  </w:style>
  <w:style w:type="paragraph" w:styleId="NormalWeb">
    <w:name w:val="Normal (Web)"/>
    <w:basedOn w:val="Normal"/>
    <w:uiPriority w:val="99"/>
    <w:semiHidden/>
    <w:rsid w:val="003A0675"/>
    <w:pPr>
      <w:spacing w:before="100" w:beforeAutospacing="1" w:after="100" w:afterAutospacing="1"/>
    </w:pPr>
  </w:style>
  <w:style w:type="table" w:styleId="TableGrid">
    <w:name w:val="Table Grid"/>
    <w:basedOn w:val="TableNormal"/>
    <w:uiPriority w:val="59"/>
    <w:rsid w:val="008B3063"/>
    <w:rPr>
      <w:rFonts w:cs="Calibri"/>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B3063"/>
    <w:rPr>
      <w:color w:val="59A8D1"/>
      <w:u w:val="single"/>
    </w:rPr>
  </w:style>
  <w:style w:type="paragraph" w:styleId="FootnoteText">
    <w:name w:val="footnote text"/>
    <w:basedOn w:val="Normal"/>
    <w:link w:val="FootnoteTextChar"/>
    <w:uiPriority w:val="99"/>
    <w:unhideWhenUsed/>
    <w:rsid w:val="008B3063"/>
    <w:pPr>
      <w:spacing w:after="0" w:line="240" w:lineRule="auto"/>
    </w:pPr>
    <w:rPr>
      <w:sz w:val="20"/>
    </w:rPr>
  </w:style>
  <w:style w:type="character" w:customStyle="1" w:styleId="FootnoteTextChar">
    <w:name w:val="Footnote Text Char"/>
    <w:link w:val="FootnoteText"/>
    <w:uiPriority w:val="99"/>
    <w:locked/>
    <w:rsid w:val="008B3063"/>
    <w:rPr>
      <w:rFonts w:ascii="Arial" w:eastAsia="Cambria" w:hAnsi="Arial" w:cs="Cambria"/>
      <w:sz w:val="20"/>
      <w:szCs w:val="20"/>
      <w:lang w:val="en-AU" w:eastAsia="en-AU"/>
    </w:rPr>
  </w:style>
  <w:style w:type="character" w:styleId="FootnoteReference">
    <w:name w:val="footnote reference"/>
    <w:uiPriority w:val="99"/>
    <w:semiHidden/>
    <w:unhideWhenUsed/>
    <w:rsid w:val="008B3063"/>
    <w:rPr>
      <w:vertAlign w:val="superscript"/>
    </w:rPr>
  </w:style>
  <w:style w:type="paragraph" w:styleId="NoSpacing">
    <w:name w:val="No Spacing"/>
    <w:uiPriority w:val="99"/>
    <w:qFormat/>
    <w:rsid w:val="00002FA2"/>
    <w:rPr>
      <w:rFonts w:ascii="Times New Roman" w:eastAsia="Times New Roman" w:hAnsi="Times New Roman"/>
      <w:sz w:val="24"/>
      <w:szCs w:val="24"/>
      <w:lang w:val="en-AU"/>
    </w:rPr>
  </w:style>
  <w:style w:type="paragraph" w:customStyle="1" w:styleId="Default">
    <w:name w:val="Default"/>
    <w:uiPriority w:val="99"/>
    <w:rsid w:val="00211238"/>
    <w:pPr>
      <w:autoSpaceDE w:val="0"/>
      <w:autoSpaceDN w:val="0"/>
      <w:adjustRightInd w:val="0"/>
    </w:pPr>
    <w:rPr>
      <w:rFonts w:ascii="Arial" w:hAnsi="Arial" w:cs="Arial"/>
      <w:color w:val="000000"/>
      <w:sz w:val="24"/>
      <w:szCs w:val="24"/>
      <w:lang w:val="en-GB"/>
    </w:rPr>
  </w:style>
  <w:style w:type="character" w:styleId="CommentReference">
    <w:name w:val="annotation reference"/>
    <w:uiPriority w:val="99"/>
    <w:semiHidden/>
    <w:unhideWhenUsed/>
    <w:rsid w:val="008B3063"/>
    <w:rPr>
      <w:sz w:val="16"/>
      <w:szCs w:val="16"/>
    </w:rPr>
  </w:style>
  <w:style w:type="paragraph" w:styleId="CommentText">
    <w:name w:val="annotation text"/>
    <w:basedOn w:val="Normal"/>
    <w:link w:val="CommentTextChar"/>
    <w:uiPriority w:val="99"/>
    <w:semiHidden/>
    <w:unhideWhenUsed/>
    <w:rsid w:val="008B3063"/>
    <w:pPr>
      <w:spacing w:line="240" w:lineRule="auto"/>
    </w:pPr>
    <w:rPr>
      <w:sz w:val="20"/>
    </w:rPr>
  </w:style>
  <w:style w:type="character" w:customStyle="1" w:styleId="CommentTextChar">
    <w:name w:val="Comment Text Char"/>
    <w:link w:val="CommentText"/>
    <w:uiPriority w:val="99"/>
    <w:semiHidden/>
    <w:rsid w:val="008B3063"/>
    <w:rPr>
      <w:rFonts w:ascii="Arial" w:eastAsia="Cambria" w:hAnsi="Arial" w:cs="Cambria"/>
      <w:sz w:val="20"/>
      <w:szCs w:val="20"/>
      <w:lang w:val="en-AU" w:eastAsia="en-AU"/>
    </w:rPr>
  </w:style>
  <w:style w:type="paragraph" w:styleId="CommentSubject">
    <w:name w:val="annotation subject"/>
    <w:basedOn w:val="CommentText"/>
    <w:next w:val="CommentText"/>
    <w:link w:val="CommentSubjectChar"/>
    <w:uiPriority w:val="99"/>
    <w:semiHidden/>
    <w:unhideWhenUsed/>
    <w:rsid w:val="00744F58"/>
    <w:rPr>
      <w:b/>
      <w:bCs/>
    </w:rPr>
  </w:style>
  <w:style w:type="character" w:customStyle="1" w:styleId="CommentSubjectChar">
    <w:name w:val="Comment Subject Char"/>
    <w:basedOn w:val="CommentTextChar"/>
    <w:link w:val="CommentSubject"/>
    <w:uiPriority w:val="99"/>
    <w:semiHidden/>
    <w:rsid w:val="00744F58"/>
    <w:rPr>
      <w:rFonts w:ascii="Times New Roman" w:eastAsia="Times New Roman" w:hAnsi="Times New Roman" w:cs="Cambria"/>
      <w:b/>
      <w:bCs/>
      <w:sz w:val="20"/>
      <w:szCs w:val="20"/>
      <w:lang w:val="en-AU" w:eastAsia="en-AU"/>
    </w:rPr>
  </w:style>
  <w:style w:type="paragraph" w:styleId="Revision">
    <w:name w:val="Revision"/>
    <w:hidden/>
    <w:uiPriority w:val="99"/>
    <w:semiHidden/>
    <w:rsid w:val="00C80B4C"/>
    <w:rPr>
      <w:rFonts w:ascii="Times New Roman" w:eastAsia="Times New Roman" w:hAnsi="Times New Roman"/>
      <w:sz w:val="24"/>
      <w:szCs w:val="24"/>
      <w:lang w:val="en-AU"/>
    </w:rPr>
  </w:style>
  <w:style w:type="character" w:customStyle="1" w:styleId="Heading5Char">
    <w:name w:val="Heading 5 Char"/>
    <w:basedOn w:val="DefaultParagraphFont"/>
    <w:link w:val="Heading5"/>
    <w:rsid w:val="006C0912"/>
    <w:rPr>
      <w:rFonts w:ascii="Arial" w:eastAsia="Cambria" w:hAnsi="Arial" w:cs="Cambria"/>
      <w:b/>
      <w:szCs w:val="20"/>
      <w:lang w:val="en-AU" w:eastAsia="en-AU"/>
    </w:rPr>
  </w:style>
  <w:style w:type="character" w:customStyle="1" w:styleId="Heading6Char">
    <w:name w:val="Heading 6 Char"/>
    <w:basedOn w:val="DefaultParagraphFont"/>
    <w:link w:val="Heading6"/>
    <w:rsid w:val="006C0912"/>
    <w:rPr>
      <w:rFonts w:ascii="Arial" w:eastAsia="Cambria" w:hAnsi="Arial" w:cs="Cambria"/>
      <w:b/>
      <w:sz w:val="20"/>
      <w:szCs w:val="20"/>
      <w:lang w:val="en-AU" w:eastAsia="en-AU"/>
    </w:rPr>
  </w:style>
  <w:style w:type="character" w:customStyle="1" w:styleId="Heading7Char">
    <w:name w:val="Heading 7 Char"/>
    <w:link w:val="Heading7"/>
    <w:uiPriority w:val="9"/>
    <w:rsid w:val="008B3063"/>
    <w:rPr>
      <w:rFonts w:ascii="Arial" w:eastAsia="MS Mincho" w:hAnsi="Arial"/>
      <w:sz w:val="24"/>
      <w:szCs w:val="24"/>
      <w:lang w:val="en-AU" w:eastAsia="en-AU"/>
    </w:rPr>
  </w:style>
  <w:style w:type="paragraph" w:styleId="Subtitle">
    <w:name w:val="Subtitle"/>
    <w:basedOn w:val="Normal"/>
    <w:next w:val="Normal"/>
    <w:link w:val="SubtitleChar"/>
    <w:qFormat/>
    <w:locked/>
    <w:rsid w:val="008B3063"/>
    <w:pPr>
      <w:keepNext/>
      <w:keepLines/>
    </w:pPr>
    <w:rPr>
      <w:i/>
      <w:sz w:val="24"/>
    </w:rPr>
  </w:style>
  <w:style w:type="character" w:customStyle="1" w:styleId="SubtitleChar">
    <w:name w:val="Subtitle Char"/>
    <w:basedOn w:val="DefaultParagraphFont"/>
    <w:link w:val="Subtitle"/>
    <w:rsid w:val="006C0912"/>
    <w:rPr>
      <w:rFonts w:ascii="Arial" w:eastAsia="Cambria" w:hAnsi="Arial" w:cs="Cambria"/>
      <w:i/>
      <w:sz w:val="24"/>
      <w:szCs w:val="20"/>
      <w:lang w:val="en-AU" w:eastAsia="en-AU"/>
    </w:rPr>
  </w:style>
  <w:style w:type="paragraph" w:customStyle="1" w:styleId="TITLE1">
    <w:name w:val="TITLE 1"/>
    <w:next w:val="TITLE2"/>
    <w:rsid w:val="008B3063"/>
    <w:pPr>
      <w:spacing w:after="120" w:line="840" w:lineRule="exact"/>
    </w:pPr>
    <w:rPr>
      <w:rFonts w:ascii="Arial" w:hAnsi="Arial" w:cs="Calibri"/>
      <w:noProof/>
      <w:color w:val="000000"/>
      <w:spacing w:val="10"/>
      <w:sz w:val="84"/>
      <w:szCs w:val="84"/>
    </w:rPr>
  </w:style>
  <w:style w:type="paragraph" w:styleId="TOC1">
    <w:name w:val="toc 1"/>
    <w:basedOn w:val="Normal"/>
    <w:next w:val="Normal"/>
    <w:autoRedefine/>
    <w:uiPriority w:val="39"/>
    <w:unhideWhenUsed/>
    <w:locked/>
    <w:rsid w:val="008B3063"/>
    <w:pPr>
      <w:spacing w:after="100"/>
    </w:pPr>
  </w:style>
  <w:style w:type="paragraph" w:styleId="TOC2">
    <w:name w:val="toc 2"/>
    <w:basedOn w:val="Normal"/>
    <w:next w:val="Normal"/>
    <w:autoRedefine/>
    <w:uiPriority w:val="39"/>
    <w:unhideWhenUsed/>
    <w:locked/>
    <w:rsid w:val="008B3063"/>
    <w:pPr>
      <w:spacing w:after="100"/>
      <w:ind w:left="220"/>
    </w:pPr>
  </w:style>
  <w:style w:type="paragraph" w:styleId="TOC3">
    <w:name w:val="toc 3"/>
    <w:basedOn w:val="Normal"/>
    <w:next w:val="Normal"/>
    <w:autoRedefine/>
    <w:uiPriority w:val="39"/>
    <w:unhideWhenUsed/>
    <w:locked/>
    <w:rsid w:val="008B3063"/>
    <w:pPr>
      <w:spacing w:after="100"/>
      <w:ind w:left="440"/>
    </w:pPr>
  </w:style>
  <w:style w:type="paragraph" w:styleId="PlainText">
    <w:name w:val="Plain Text"/>
    <w:basedOn w:val="Normal"/>
    <w:link w:val="PlainTextChar"/>
    <w:uiPriority w:val="99"/>
    <w:unhideWhenUsed/>
    <w:rsid w:val="008B3063"/>
    <w:pPr>
      <w:spacing w:after="0" w:line="240" w:lineRule="auto"/>
    </w:pPr>
    <w:rPr>
      <w:rFonts w:ascii="Courier" w:eastAsia="MS Gothic" w:hAnsi="Courier" w:cs="Times New Roman"/>
      <w:sz w:val="21"/>
      <w:szCs w:val="21"/>
      <w:lang w:eastAsia="ja-JP"/>
    </w:rPr>
  </w:style>
  <w:style w:type="character" w:customStyle="1" w:styleId="PlainTextChar">
    <w:name w:val="Plain Text Char"/>
    <w:link w:val="PlainText"/>
    <w:uiPriority w:val="99"/>
    <w:rsid w:val="008B3063"/>
    <w:rPr>
      <w:rFonts w:ascii="Courier" w:eastAsia="MS Gothic" w:hAnsi="Courier"/>
      <w:sz w:val="21"/>
      <w:szCs w:val="21"/>
      <w:lang w:val="en-AU" w:eastAsia="ja-JP"/>
    </w:rPr>
  </w:style>
  <w:style w:type="character" w:styleId="PageNumber">
    <w:name w:val="page number"/>
    <w:uiPriority w:val="99"/>
    <w:semiHidden/>
    <w:unhideWhenUsed/>
    <w:rsid w:val="008B3063"/>
  </w:style>
  <w:style w:type="paragraph" w:customStyle="1" w:styleId="BullitTEXT">
    <w:name w:val="Bullit TEXT"/>
    <w:basedOn w:val="Normal"/>
    <w:autoRedefine/>
    <w:qFormat/>
    <w:rsid w:val="008B3063"/>
    <w:pPr>
      <w:numPr>
        <w:numId w:val="38"/>
      </w:numPr>
      <w:ind w:left="714" w:hanging="357"/>
      <w:contextualSpacing/>
    </w:pPr>
  </w:style>
  <w:style w:type="paragraph" w:customStyle="1" w:styleId="TITLE2">
    <w:name w:val="TITLE 2"/>
    <w:basedOn w:val="Normal"/>
    <w:rsid w:val="008B3063"/>
    <w:pPr>
      <w:spacing w:after="200" w:line="520" w:lineRule="exact"/>
      <w:ind w:left="-7"/>
      <w:jc w:val="center"/>
    </w:pPr>
    <w:rPr>
      <w:spacing w:val="7"/>
      <w:sz w:val="42"/>
      <w:szCs w:val="42"/>
    </w:rPr>
  </w:style>
  <w:style w:type="paragraph" w:styleId="Caption">
    <w:name w:val="caption"/>
    <w:basedOn w:val="Normal"/>
    <w:next w:val="Normal"/>
    <w:uiPriority w:val="35"/>
    <w:unhideWhenUsed/>
    <w:qFormat/>
    <w:locked/>
    <w:rsid w:val="008B3063"/>
    <w:rPr>
      <w:b/>
      <w:bCs/>
      <w:sz w:val="20"/>
    </w:rPr>
  </w:style>
  <w:style w:type="table" w:styleId="MediumGrid3-Accent3">
    <w:name w:val="Medium Grid 3 Accent 3"/>
    <w:basedOn w:val="TableNormal"/>
    <w:uiPriority w:val="60"/>
    <w:rsid w:val="008B3063"/>
    <w:rPr>
      <w:rFonts w:cs="Calibri"/>
      <w:sz w:val="20"/>
      <w:szCs w:val="20"/>
      <w:lang w:val="en-AU"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5097">
      <w:marLeft w:val="0"/>
      <w:marRight w:val="0"/>
      <w:marTop w:val="0"/>
      <w:marBottom w:val="0"/>
      <w:divBdr>
        <w:top w:val="none" w:sz="0" w:space="0" w:color="auto"/>
        <w:left w:val="none" w:sz="0" w:space="0" w:color="auto"/>
        <w:bottom w:val="none" w:sz="0" w:space="0" w:color="auto"/>
        <w:right w:val="none" w:sz="0" w:space="0" w:color="auto"/>
      </w:divBdr>
      <w:divsChild>
        <w:div w:id="53895155">
          <w:marLeft w:val="0"/>
          <w:marRight w:val="0"/>
          <w:marTop w:val="0"/>
          <w:marBottom w:val="0"/>
          <w:divBdr>
            <w:top w:val="none" w:sz="0" w:space="0" w:color="auto"/>
            <w:left w:val="none" w:sz="0" w:space="0" w:color="auto"/>
            <w:bottom w:val="none" w:sz="0" w:space="0" w:color="auto"/>
            <w:right w:val="none" w:sz="0" w:space="0" w:color="auto"/>
          </w:divBdr>
        </w:div>
        <w:div w:id="53895194">
          <w:marLeft w:val="0"/>
          <w:marRight w:val="0"/>
          <w:marTop w:val="0"/>
          <w:marBottom w:val="0"/>
          <w:divBdr>
            <w:top w:val="none" w:sz="0" w:space="0" w:color="auto"/>
            <w:left w:val="none" w:sz="0" w:space="0" w:color="auto"/>
            <w:bottom w:val="none" w:sz="0" w:space="0" w:color="auto"/>
            <w:right w:val="none" w:sz="0" w:space="0" w:color="auto"/>
          </w:divBdr>
        </w:div>
        <w:div w:id="53895214">
          <w:marLeft w:val="0"/>
          <w:marRight w:val="0"/>
          <w:marTop w:val="0"/>
          <w:marBottom w:val="0"/>
          <w:divBdr>
            <w:top w:val="none" w:sz="0" w:space="0" w:color="auto"/>
            <w:left w:val="none" w:sz="0" w:space="0" w:color="auto"/>
            <w:bottom w:val="none" w:sz="0" w:space="0" w:color="auto"/>
            <w:right w:val="none" w:sz="0" w:space="0" w:color="auto"/>
          </w:divBdr>
        </w:div>
        <w:div w:id="53895301">
          <w:marLeft w:val="0"/>
          <w:marRight w:val="0"/>
          <w:marTop w:val="0"/>
          <w:marBottom w:val="0"/>
          <w:divBdr>
            <w:top w:val="none" w:sz="0" w:space="0" w:color="auto"/>
            <w:left w:val="none" w:sz="0" w:space="0" w:color="auto"/>
            <w:bottom w:val="none" w:sz="0" w:space="0" w:color="auto"/>
            <w:right w:val="none" w:sz="0" w:space="0" w:color="auto"/>
          </w:divBdr>
        </w:div>
        <w:div w:id="53895330">
          <w:marLeft w:val="0"/>
          <w:marRight w:val="0"/>
          <w:marTop w:val="0"/>
          <w:marBottom w:val="0"/>
          <w:divBdr>
            <w:top w:val="none" w:sz="0" w:space="0" w:color="auto"/>
            <w:left w:val="none" w:sz="0" w:space="0" w:color="auto"/>
            <w:bottom w:val="none" w:sz="0" w:space="0" w:color="auto"/>
            <w:right w:val="none" w:sz="0" w:space="0" w:color="auto"/>
          </w:divBdr>
        </w:div>
        <w:div w:id="53895334">
          <w:marLeft w:val="0"/>
          <w:marRight w:val="0"/>
          <w:marTop w:val="0"/>
          <w:marBottom w:val="0"/>
          <w:divBdr>
            <w:top w:val="none" w:sz="0" w:space="0" w:color="auto"/>
            <w:left w:val="none" w:sz="0" w:space="0" w:color="auto"/>
            <w:bottom w:val="none" w:sz="0" w:space="0" w:color="auto"/>
            <w:right w:val="none" w:sz="0" w:space="0" w:color="auto"/>
          </w:divBdr>
        </w:div>
      </w:divsChild>
    </w:div>
    <w:div w:id="53895107">
      <w:marLeft w:val="0"/>
      <w:marRight w:val="0"/>
      <w:marTop w:val="0"/>
      <w:marBottom w:val="0"/>
      <w:divBdr>
        <w:top w:val="none" w:sz="0" w:space="0" w:color="auto"/>
        <w:left w:val="none" w:sz="0" w:space="0" w:color="auto"/>
        <w:bottom w:val="none" w:sz="0" w:space="0" w:color="auto"/>
        <w:right w:val="none" w:sz="0" w:space="0" w:color="auto"/>
      </w:divBdr>
    </w:div>
    <w:div w:id="53895110">
      <w:marLeft w:val="0"/>
      <w:marRight w:val="0"/>
      <w:marTop w:val="0"/>
      <w:marBottom w:val="0"/>
      <w:divBdr>
        <w:top w:val="none" w:sz="0" w:space="0" w:color="auto"/>
        <w:left w:val="none" w:sz="0" w:space="0" w:color="auto"/>
        <w:bottom w:val="none" w:sz="0" w:space="0" w:color="auto"/>
        <w:right w:val="none" w:sz="0" w:space="0" w:color="auto"/>
      </w:divBdr>
      <w:divsChild>
        <w:div w:id="53895098">
          <w:marLeft w:val="0"/>
          <w:marRight w:val="0"/>
          <w:marTop w:val="0"/>
          <w:marBottom w:val="0"/>
          <w:divBdr>
            <w:top w:val="none" w:sz="0" w:space="0" w:color="auto"/>
            <w:left w:val="none" w:sz="0" w:space="0" w:color="auto"/>
            <w:bottom w:val="none" w:sz="0" w:space="0" w:color="auto"/>
            <w:right w:val="none" w:sz="0" w:space="0" w:color="auto"/>
          </w:divBdr>
        </w:div>
        <w:div w:id="53895128">
          <w:marLeft w:val="0"/>
          <w:marRight w:val="0"/>
          <w:marTop w:val="0"/>
          <w:marBottom w:val="0"/>
          <w:divBdr>
            <w:top w:val="none" w:sz="0" w:space="0" w:color="auto"/>
            <w:left w:val="none" w:sz="0" w:space="0" w:color="auto"/>
            <w:bottom w:val="none" w:sz="0" w:space="0" w:color="auto"/>
            <w:right w:val="none" w:sz="0" w:space="0" w:color="auto"/>
          </w:divBdr>
        </w:div>
        <w:div w:id="53895159">
          <w:marLeft w:val="0"/>
          <w:marRight w:val="0"/>
          <w:marTop w:val="0"/>
          <w:marBottom w:val="0"/>
          <w:divBdr>
            <w:top w:val="none" w:sz="0" w:space="0" w:color="auto"/>
            <w:left w:val="none" w:sz="0" w:space="0" w:color="auto"/>
            <w:bottom w:val="none" w:sz="0" w:space="0" w:color="auto"/>
            <w:right w:val="none" w:sz="0" w:space="0" w:color="auto"/>
          </w:divBdr>
        </w:div>
        <w:div w:id="53895173">
          <w:marLeft w:val="0"/>
          <w:marRight w:val="0"/>
          <w:marTop w:val="0"/>
          <w:marBottom w:val="0"/>
          <w:divBdr>
            <w:top w:val="none" w:sz="0" w:space="0" w:color="auto"/>
            <w:left w:val="none" w:sz="0" w:space="0" w:color="auto"/>
            <w:bottom w:val="none" w:sz="0" w:space="0" w:color="auto"/>
            <w:right w:val="none" w:sz="0" w:space="0" w:color="auto"/>
          </w:divBdr>
        </w:div>
        <w:div w:id="53895176">
          <w:marLeft w:val="0"/>
          <w:marRight w:val="0"/>
          <w:marTop w:val="0"/>
          <w:marBottom w:val="0"/>
          <w:divBdr>
            <w:top w:val="none" w:sz="0" w:space="0" w:color="auto"/>
            <w:left w:val="none" w:sz="0" w:space="0" w:color="auto"/>
            <w:bottom w:val="none" w:sz="0" w:space="0" w:color="auto"/>
            <w:right w:val="none" w:sz="0" w:space="0" w:color="auto"/>
          </w:divBdr>
        </w:div>
        <w:div w:id="53895189">
          <w:marLeft w:val="0"/>
          <w:marRight w:val="0"/>
          <w:marTop w:val="0"/>
          <w:marBottom w:val="0"/>
          <w:divBdr>
            <w:top w:val="none" w:sz="0" w:space="0" w:color="auto"/>
            <w:left w:val="none" w:sz="0" w:space="0" w:color="auto"/>
            <w:bottom w:val="none" w:sz="0" w:space="0" w:color="auto"/>
            <w:right w:val="none" w:sz="0" w:space="0" w:color="auto"/>
          </w:divBdr>
        </w:div>
        <w:div w:id="53895218">
          <w:marLeft w:val="0"/>
          <w:marRight w:val="0"/>
          <w:marTop w:val="0"/>
          <w:marBottom w:val="0"/>
          <w:divBdr>
            <w:top w:val="none" w:sz="0" w:space="0" w:color="auto"/>
            <w:left w:val="none" w:sz="0" w:space="0" w:color="auto"/>
            <w:bottom w:val="none" w:sz="0" w:space="0" w:color="auto"/>
            <w:right w:val="none" w:sz="0" w:space="0" w:color="auto"/>
          </w:divBdr>
        </w:div>
        <w:div w:id="53895219">
          <w:marLeft w:val="0"/>
          <w:marRight w:val="0"/>
          <w:marTop w:val="0"/>
          <w:marBottom w:val="0"/>
          <w:divBdr>
            <w:top w:val="none" w:sz="0" w:space="0" w:color="auto"/>
            <w:left w:val="none" w:sz="0" w:space="0" w:color="auto"/>
            <w:bottom w:val="none" w:sz="0" w:space="0" w:color="auto"/>
            <w:right w:val="none" w:sz="0" w:space="0" w:color="auto"/>
          </w:divBdr>
        </w:div>
        <w:div w:id="53895230">
          <w:marLeft w:val="0"/>
          <w:marRight w:val="0"/>
          <w:marTop w:val="0"/>
          <w:marBottom w:val="0"/>
          <w:divBdr>
            <w:top w:val="none" w:sz="0" w:space="0" w:color="auto"/>
            <w:left w:val="none" w:sz="0" w:space="0" w:color="auto"/>
            <w:bottom w:val="none" w:sz="0" w:space="0" w:color="auto"/>
            <w:right w:val="none" w:sz="0" w:space="0" w:color="auto"/>
          </w:divBdr>
        </w:div>
        <w:div w:id="53895234">
          <w:marLeft w:val="0"/>
          <w:marRight w:val="0"/>
          <w:marTop w:val="0"/>
          <w:marBottom w:val="0"/>
          <w:divBdr>
            <w:top w:val="none" w:sz="0" w:space="0" w:color="auto"/>
            <w:left w:val="none" w:sz="0" w:space="0" w:color="auto"/>
            <w:bottom w:val="none" w:sz="0" w:space="0" w:color="auto"/>
            <w:right w:val="none" w:sz="0" w:space="0" w:color="auto"/>
          </w:divBdr>
        </w:div>
        <w:div w:id="53895248">
          <w:marLeft w:val="0"/>
          <w:marRight w:val="0"/>
          <w:marTop w:val="0"/>
          <w:marBottom w:val="0"/>
          <w:divBdr>
            <w:top w:val="none" w:sz="0" w:space="0" w:color="auto"/>
            <w:left w:val="none" w:sz="0" w:space="0" w:color="auto"/>
            <w:bottom w:val="none" w:sz="0" w:space="0" w:color="auto"/>
            <w:right w:val="none" w:sz="0" w:space="0" w:color="auto"/>
          </w:divBdr>
        </w:div>
        <w:div w:id="53895250">
          <w:marLeft w:val="0"/>
          <w:marRight w:val="0"/>
          <w:marTop w:val="0"/>
          <w:marBottom w:val="0"/>
          <w:divBdr>
            <w:top w:val="none" w:sz="0" w:space="0" w:color="auto"/>
            <w:left w:val="none" w:sz="0" w:space="0" w:color="auto"/>
            <w:bottom w:val="none" w:sz="0" w:space="0" w:color="auto"/>
            <w:right w:val="none" w:sz="0" w:space="0" w:color="auto"/>
          </w:divBdr>
        </w:div>
        <w:div w:id="53895282">
          <w:marLeft w:val="0"/>
          <w:marRight w:val="0"/>
          <w:marTop w:val="0"/>
          <w:marBottom w:val="0"/>
          <w:divBdr>
            <w:top w:val="none" w:sz="0" w:space="0" w:color="auto"/>
            <w:left w:val="none" w:sz="0" w:space="0" w:color="auto"/>
            <w:bottom w:val="none" w:sz="0" w:space="0" w:color="auto"/>
            <w:right w:val="none" w:sz="0" w:space="0" w:color="auto"/>
          </w:divBdr>
        </w:div>
      </w:divsChild>
    </w:div>
    <w:div w:id="53895111">
      <w:marLeft w:val="0"/>
      <w:marRight w:val="0"/>
      <w:marTop w:val="0"/>
      <w:marBottom w:val="0"/>
      <w:divBdr>
        <w:top w:val="none" w:sz="0" w:space="0" w:color="auto"/>
        <w:left w:val="none" w:sz="0" w:space="0" w:color="auto"/>
        <w:bottom w:val="none" w:sz="0" w:space="0" w:color="auto"/>
        <w:right w:val="none" w:sz="0" w:space="0" w:color="auto"/>
      </w:divBdr>
    </w:div>
    <w:div w:id="53895116">
      <w:marLeft w:val="0"/>
      <w:marRight w:val="0"/>
      <w:marTop w:val="0"/>
      <w:marBottom w:val="0"/>
      <w:divBdr>
        <w:top w:val="none" w:sz="0" w:space="0" w:color="auto"/>
        <w:left w:val="none" w:sz="0" w:space="0" w:color="auto"/>
        <w:bottom w:val="none" w:sz="0" w:space="0" w:color="auto"/>
        <w:right w:val="none" w:sz="0" w:space="0" w:color="auto"/>
      </w:divBdr>
    </w:div>
    <w:div w:id="53895126">
      <w:marLeft w:val="0"/>
      <w:marRight w:val="0"/>
      <w:marTop w:val="0"/>
      <w:marBottom w:val="0"/>
      <w:divBdr>
        <w:top w:val="none" w:sz="0" w:space="0" w:color="auto"/>
        <w:left w:val="none" w:sz="0" w:space="0" w:color="auto"/>
        <w:bottom w:val="none" w:sz="0" w:space="0" w:color="auto"/>
        <w:right w:val="none" w:sz="0" w:space="0" w:color="auto"/>
      </w:divBdr>
    </w:div>
    <w:div w:id="53895131">
      <w:marLeft w:val="0"/>
      <w:marRight w:val="0"/>
      <w:marTop w:val="0"/>
      <w:marBottom w:val="0"/>
      <w:divBdr>
        <w:top w:val="none" w:sz="0" w:space="0" w:color="auto"/>
        <w:left w:val="none" w:sz="0" w:space="0" w:color="auto"/>
        <w:bottom w:val="none" w:sz="0" w:space="0" w:color="auto"/>
        <w:right w:val="none" w:sz="0" w:space="0" w:color="auto"/>
      </w:divBdr>
      <w:divsChild>
        <w:div w:id="53895093">
          <w:marLeft w:val="0"/>
          <w:marRight w:val="0"/>
          <w:marTop w:val="0"/>
          <w:marBottom w:val="0"/>
          <w:divBdr>
            <w:top w:val="none" w:sz="0" w:space="0" w:color="auto"/>
            <w:left w:val="none" w:sz="0" w:space="0" w:color="auto"/>
            <w:bottom w:val="none" w:sz="0" w:space="0" w:color="auto"/>
            <w:right w:val="none" w:sz="0" w:space="0" w:color="auto"/>
          </w:divBdr>
        </w:div>
        <w:div w:id="53895101">
          <w:marLeft w:val="0"/>
          <w:marRight w:val="0"/>
          <w:marTop w:val="0"/>
          <w:marBottom w:val="0"/>
          <w:divBdr>
            <w:top w:val="none" w:sz="0" w:space="0" w:color="auto"/>
            <w:left w:val="none" w:sz="0" w:space="0" w:color="auto"/>
            <w:bottom w:val="none" w:sz="0" w:space="0" w:color="auto"/>
            <w:right w:val="none" w:sz="0" w:space="0" w:color="auto"/>
          </w:divBdr>
        </w:div>
        <w:div w:id="53895102">
          <w:marLeft w:val="0"/>
          <w:marRight w:val="0"/>
          <w:marTop w:val="0"/>
          <w:marBottom w:val="0"/>
          <w:divBdr>
            <w:top w:val="none" w:sz="0" w:space="0" w:color="auto"/>
            <w:left w:val="none" w:sz="0" w:space="0" w:color="auto"/>
            <w:bottom w:val="none" w:sz="0" w:space="0" w:color="auto"/>
            <w:right w:val="none" w:sz="0" w:space="0" w:color="auto"/>
          </w:divBdr>
        </w:div>
        <w:div w:id="53895114">
          <w:marLeft w:val="0"/>
          <w:marRight w:val="0"/>
          <w:marTop w:val="0"/>
          <w:marBottom w:val="0"/>
          <w:divBdr>
            <w:top w:val="none" w:sz="0" w:space="0" w:color="auto"/>
            <w:left w:val="none" w:sz="0" w:space="0" w:color="auto"/>
            <w:bottom w:val="none" w:sz="0" w:space="0" w:color="auto"/>
            <w:right w:val="none" w:sz="0" w:space="0" w:color="auto"/>
          </w:divBdr>
        </w:div>
        <w:div w:id="53895139">
          <w:marLeft w:val="0"/>
          <w:marRight w:val="0"/>
          <w:marTop w:val="0"/>
          <w:marBottom w:val="0"/>
          <w:divBdr>
            <w:top w:val="none" w:sz="0" w:space="0" w:color="auto"/>
            <w:left w:val="none" w:sz="0" w:space="0" w:color="auto"/>
            <w:bottom w:val="none" w:sz="0" w:space="0" w:color="auto"/>
            <w:right w:val="none" w:sz="0" w:space="0" w:color="auto"/>
          </w:divBdr>
        </w:div>
        <w:div w:id="53895148">
          <w:marLeft w:val="0"/>
          <w:marRight w:val="0"/>
          <w:marTop w:val="0"/>
          <w:marBottom w:val="0"/>
          <w:divBdr>
            <w:top w:val="none" w:sz="0" w:space="0" w:color="auto"/>
            <w:left w:val="none" w:sz="0" w:space="0" w:color="auto"/>
            <w:bottom w:val="none" w:sz="0" w:space="0" w:color="auto"/>
            <w:right w:val="none" w:sz="0" w:space="0" w:color="auto"/>
          </w:divBdr>
        </w:div>
        <w:div w:id="53895154">
          <w:marLeft w:val="0"/>
          <w:marRight w:val="0"/>
          <w:marTop w:val="0"/>
          <w:marBottom w:val="0"/>
          <w:divBdr>
            <w:top w:val="none" w:sz="0" w:space="0" w:color="auto"/>
            <w:left w:val="none" w:sz="0" w:space="0" w:color="auto"/>
            <w:bottom w:val="none" w:sz="0" w:space="0" w:color="auto"/>
            <w:right w:val="none" w:sz="0" w:space="0" w:color="auto"/>
          </w:divBdr>
        </w:div>
        <w:div w:id="53895166">
          <w:marLeft w:val="0"/>
          <w:marRight w:val="0"/>
          <w:marTop w:val="0"/>
          <w:marBottom w:val="0"/>
          <w:divBdr>
            <w:top w:val="none" w:sz="0" w:space="0" w:color="auto"/>
            <w:left w:val="none" w:sz="0" w:space="0" w:color="auto"/>
            <w:bottom w:val="none" w:sz="0" w:space="0" w:color="auto"/>
            <w:right w:val="none" w:sz="0" w:space="0" w:color="auto"/>
          </w:divBdr>
        </w:div>
        <w:div w:id="53895174">
          <w:marLeft w:val="0"/>
          <w:marRight w:val="0"/>
          <w:marTop w:val="0"/>
          <w:marBottom w:val="0"/>
          <w:divBdr>
            <w:top w:val="none" w:sz="0" w:space="0" w:color="auto"/>
            <w:left w:val="none" w:sz="0" w:space="0" w:color="auto"/>
            <w:bottom w:val="none" w:sz="0" w:space="0" w:color="auto"/>
            <w:right w:val="none" w:sz="0" w:space="0" w:color="auto"/>
          </w:divBdr>
        </w:div>
        <w:div w:id="53895177">
          <w:marLeft w:val="0"/>
          <w:marRight w:val="0"/>
          <w:marTop w:val="0"/>
          <w:marBottom w:val="0"/>
          <w:divBdr>
            <w:top w:val="none" w:sz="0" w:space="0" w:color="auto"/>
            <w:left w:val="none" w:sz="0" w:space="0" w:color="auto"/>
            <w:bottom w:val="none" w:sz="0" w:space="0" w:color="auto"/>
            <w:right w:val="none" w:sz="0" w:space="0" w:color="auto"/>
          </w:divBdr>
        </w:div>
        <w:div w:id="53895186">
          <w:marLeft w:val="0"/>
          <w:marRight w:val="0"/>
          <w:marTop w:val="0"/>
          <w:marBottom w:val="0"/>
          <w:divBdr>
            <w:top w:val="none" w:sz="0" w:space="0" w:color="auto"/>
            <w:left w:val="none" w:sz="0" w:space="0" w:color="auto"/>
            <w:bottom w:val="none" w:sz="0" w:space="0" w:color="auto"/>
            <w:right w:val="none" w:sz="0" w:space="0" w:color="auto"/>
          </w:divBdr>
        </w:div>
        <w:div w:id="53895191">
          <w:marLeft w:val="0"/>
          <w:marRight w:val="0"/>
          <w:marTop w:val="0"/>
          <w:marBottom w:val="0"/>
          <w:divBdr>
            <w:top w:val="none" w:sz="0" w:space="0" w:color="auto"/>
            <w:left w:val="none" w:sz="0" w:space="0" w:color="auto"/>
            <w:bottom w:val="none" w:sz="0" w:space="0" w:color="auto"/>
            <w:right w:val="none" w:sz="0" w:space="0" w:color="auto"/>
          </w:divBdr>
        </w:div>
        <w:div w:id="53895195">
          <w:marLeft w:val="0"/>
          <w:marRight w:val="0"/>
          <w:marTop w:val="0"/>
          <w:marBottom w:val="0"/>
          <w:divBdr>
            <w:top w:val="none" w:sz="0" w:space="0" w:color="auto"/>
            <w:left w:val="none" w:sz="0" w:space="0" w:color="auto"/>
            <w:bottom w:val="none" w:sz="0" w:space="0" w:color="auto"/>
            <w:right w:val="none" w:sz="0" w:space="0" w:color="auto"/>
          </w:divBdr>
        </w:div>
        <w:div w:id="53895197">
          <w:marLeft w:val="0"/>
          <w:marRight w:val="0"/>
          <w:marTop w:val="0"/>
          <w:marBottom w:val="0"/>
          <w:divBdr>
            <w:top w:val="none" w:sz="0" w:space="0" w:color="auto"/>
            <w:left w:val="none" w:sz="0" w:space="0" w:color="auto"/>
            <w:bottom w:val="none" w:sz="0" w:space="0" w:color="auto"/>
            <w:right w:val="none" w:sz="0" w:space="0" w:color="auto"/>
          </w:divBdr>
        </w:div>
        <w:div w:id="53895199">
          <w:marLeft w:val="0"/>
          <w:marRight w:val="0"/>
          <w:marTop w:val="0"/>
          <w:marBottom w:val="0"/>
          <w:divBdr>
            <w:top w:val="none" w:sz="0" w:space="0" w:color="auto"/>
            <w:left w:val="none" w:sz="0" w:space="0" w:color="auto"/>
            <w:bottom w:val="none" w:sz="0" w:space="0" w:color="auto"/>
            <w:right w:val="none" w:sz="0" w:space="0" w:color="auto"/>
          </w:divBdr>
        </w:div>
        <w:div w:id="53895223">
          <w:marLeft w:val="0"/>
          <w:marRight w:val="0"/>
          <w:marTop w:val="0"/>
          <w:marBottom w:val="0"/>
          <w:divBdr>
            <w:top w:val="none" w:sz="0" w:space="0" w:color="auto"/>
            <w:left w:val="none" w:sz="0" w:space="0" w:color="auto"/>
            <w:bottom w:val="none" w:sz="0" w:space="0" w:color="auto"/>
            <w:right w:val="none" w:sz="0" w:space="0" w:color="auto"/>
          </w:divBdr>
        </w:div>
        <w:div w:id="53895226">
          <w:marLeft w:val="0"/>
          <w:marRight w:val="0"/>
          <w:marTop w:val="0"/>
          <w:marBottom w:val="0"/>
          <w:divBdr>
            <w:top w:val="none" w:sz="0" w:space="0" w:color="auto"/>
            <w:left w:val="none" w:sz="0" w:space="0" w:color="auto"/>
            <w:bottom w:val="none" w:sz="0" w:space="0" w:color="auto"/>
            <w:right w:val="none" w:sz="0" w:space="0" w:color="auto"/>
          </w:divBdr>
        </w:div>
        <w:div w:id="53895236">
          <w:marLeft w:val="0"/>
          <w:marRight w:val="0"/>
          <w:marTop w:val="0"/>
          <w:marBottom w:val="0"/>
          <w:divBdr>
            <w:top w:val="none" w:sz="0" w:space="0" w:color="auto"/>
            <w:left w:val="none" w:sz="0" w:space="0" w:color="auto"/>
            <w:bottom w:val="none" w:sz="0" w:space="0" w:color="auto"/>
            <w:right w:val="none" w:sz="0" w:space="0" w:color="auto"/>
          </w:divBdr>
        </w:div>
        <w:div w:id="53895259">
          <w:marLeft w:val="0"/>
          <w:marRight w:val="0"/>
          <w:marTop w:val="0"/>
          <w:marBottom w:val="0"/>
          <w:divBdr>
            <w:top w:val="none" w:sz="0" w:space="0" w:color="auto"/>
            <w:left w:val="none" w:sz="0" w:space="0" w:color="auto"/>
            <w:bottom w:val="none" w:sz="0" w:space="0" w:color="auto"/>
            <w:right w:val="none" w:sz="0" w:space="0" w:color="auto"/>
          </w:divBdr>
        </w:div>
        <w:div w:id="53895277">
          <w:marLeft w:val="0"/>
          <w:marRight w:val="0"/>
          <w:marTop w:val="0"/>
          <w:marBottom w:val="0"/>
          <w:divBdr>
            <w:top w:val="none" w:sz="0" w:space="0" w:color="auto"/>
            <w:left w:val="none" w:sz="0" w:space="0" w:color="auto"/>
            <w:bottom w:val="none" w:sz="0" w:space="0" w:color="auto"/>
            <w:right w:val="none" w:sz="0" w:space="0" w:color="auto"/>
          </w:divBdr>
        </w:div>
        <w:div w:id="53895285">
          <w:marLeft w:val="0"/>
          <w:marRight w:val="0"/>
          <w:marTop w:val="0"/>
          <w:marBottom w:val="0"/>
          <w:divBdr>
            <w:top w:val="none" w:sz="0" w:space="0" w:color="auto"/>
            <w:left w:val="none" w:sz="0" w:space="0" w:color="auto"/>
            <w:bottom w:val="none" w:sz="0" w:space="0" w:color="auto"/>
            <w:right w:val="none" w:sz="0" w:space="0" w:color="auto"/>
          </w:divBdr>
        </w:div>
        <w:div w:id="53895289">
          <w:marLeft w:val="0"/>
          <w:marRight w:val="0"/>
          <w:marTop w:val="0"/>
          <w:marBottom w:val="0"/>
          <w:divBdr>
            <w:top w:val="none" w:sz="0" w:space="0" w:color="auto"/>
            <w:left w:val="none" w:sz="0" w:space="0" w:color="auto"/>
            <w:bottom w:val="none" w:sz="0" w:space="0" w:color="auto"/>
            <w:right w:val="none" w:sz="0" w:space="0" w:color="auto"/>
          </w:divBdr>
        </w:div>
      </w:divsChild>
    </w:div>
    <w:div w:id="53895133">
      <w:marLeft w:val="0"/>
      <w:marRight w:val="0"/>
      <w:marTop w:val="0"/>
      <w:marBottom w:val="0"/>
      <w:divBdr>
        <w:top w:val="none" w:sz="0" w:space="0" w:color="auto"/>
        <w:left w:val="none" w:sz="0" w:space="0" w:color="auto"/>
        <w:bottom w:val="none" w:sz="0" w:space="0" w:color="auto"/>
        <w:right w:val="none" w:sz="0" w:space="0" w:color="auto"/>
      </w:divBdr>
    </w:div>
    <w:div w:id="53895135">
      <w:marLeft w:val="0"/>
      <w:marRight w:val="0"/>
      <w:marTop w:val="0"/>
      <w:marBottom w:val="0"/>
      <w:divBdr>
        <w:top w:val="none" w:sz="0" w:space="0" w:color="auto"/>
        <w:left w:val="none" w:sz="0" w:space="0" w:color="auto"/>
        <w:bottom w:val="none" w:sz="0" w:space="0" w:color="auto"/>
        <w:right w:val="none" w:sz="0" w:space="0" w:color="auto"/>
      </w:divBdr>
    </w:div>
    <w:div w:id="53895136">
      <w:marLeft w:val="0"/>
      <w:marRight w:val="0"/>
      <w:marTop w:val="0"/>
      <w:marBottom w:val="0"/>
      <w:divBdr>
        <w:top w:val="none" w:sz="0" w:space="0" w:color="auto"/>
        <w:left w:val="none" w:sz="0" w:space="0" w:color="auto"/>
        <w:bottom w:val="none" w:sz="0" w:space="0" w:color="auto"/>
        <w:right w:val="none" w:sz="0" w:space="0" w:color="auto"/>
      </w:divBdr>
      <w:divsChild>
        <w:div w:id="53895092">
          <w:marLeft w:val="0"/>
          <w:marRight w:val="0"/>
          <w:marTop w:val="0"/>
          <w:marBottom w:val="0"/>
          <w:divBdr>
            <w:top w:val="none" w:sz="0" w:space="0" w:color="auto"/>
            <w:left w:val="none" w:sz="0" w:space="0" w:color="auto"/>
            <w:bottom w:val="none" w:sz="0" w:space="0" w:color="auto"/>
            <w:right w:val="none" w:sz="0" w:space="0" w:color="auto"/>
          </w:divBdr>
        </w:div>
        <w:div w:id="53895095">
          <w:marLeft w:val="0"/>
          <w:marRight w:val="0"/>
          <w:marTop w:val="0"/>
          <w:marBottom w:val="0"/>
          <w:divBdr>
            <w:top w:val="none" w:sz="0" w:space="0" w:color="auto"/>
            <w:left w:val="none" w:sz="0" w:space="0" w:color="auto"/>
            <w:bottom w:val="none" w:sz="0" w:space="0" w:color="auto"/>
            <w:right w:val="none" w:sz="0" w:space="0" w:color="auto"/>
          </w:divBdr>
        </w:div>
        <w:div w:id="53895175">
          <w:marLeft w:val="0"/>
          <w:marRight w:val="0"/>
          <w:marTop w:val="0"/>
          <w:marBottom w:val="0"/>
          <w:divBdr>
            <w:top w:val="none" w:sz="0" w:space="0" w:color="auto"/>
            <w:left w:val="none" w:sz="0" w:space="0" w:color="auto"/>
            <w:bottom w:val="none" w:sz="0" w:space="0" w:color="auto"/>
            <w:right w:val="none" w:sz="0" w:space="0" w:color="auto"/>
          </w:divBdr>
        </w:div>
        <w:div w:id="53895193">
          <w:marLeft w:val="0"/>
          <w:marRight w:val="0"/>
          <w:marTop w:val="0"/>
          <w:marBottom w:val="0"/>
          <w:divBdr>
            <w:top w:val="none" w:sz="0" w:space="0" w:color="auto"/>
            <w:left w:val="none" w:sz="0" w:space="0" w:color="auto"/>
            <w:bottom w:val="none" w:sz="0" w:space="0" w:color="auto"/>
            <w:right w:val="none" w:sz="0" w:space="0" w:color="auto"/>
          </w:divBdr>
        </w:div>
        <w:div w:id="53895269">
          <w:marLeft w:val="0"/>
          <w:marRight w:val="0"/>
          <w:marTop w:val="0"/>
          <w:marBottom w:val="0"/>
          <w:divBdr>
            <w:top w:val="none" w:sz="0" w:space="0" w:color="auto"/>
            <w:left w:val="none" w:sz="0" w:space="0" w:color="auto"/>
            <w:bottom w:val="none" w:sz="0" w:space="0" w:color="auto"/>
            <w:right w:val="none" w:sz="0" w:space="0" w:color="auto"/>
          </w:divBdr>
        </w:div>
      </w:divsChild>
    </w:div>
    <w:div w:id="53895147">
      <w:marLeft w:val="0"/>
      <w:marRight w:val="0"/>
      <w:marTop w:val="0"/>
      <w:marBottom w:val="0"/>
      <w:divBdr>
        <w:top w:val="none" w:sz="0" w:space="0" w:color="auto"/>
        <w:left w:val="none" w:sz="0" w:space="0" w:color="auto"/>
        <w:bottom w:val="none" w:sz="0" w:space="0" w:color="auto"/>
        <w:right w:val="none" w:sz="0" w:space="0" w:color="auto"/>
      </w:divBdr>
    </w:div>
    <w:div w:id="53895160">
      <w:marLeft w:val="0"/>
      <w:marRight w:val="0"/>
      <w:marTop w:val="0"/>
      <w:marBottom w:val="0"/>
      <w:divBdr>
        <w:top w:val="none" w:sz="0" w:space="0" w:color="auto"/>
        <w:left w:val="none" w:sz="0" w:space="0" w:color="auto"/>
        <w:bottom w:val="none" w:sz="0" w:space="0" w:color="auto"/>
        <w:right w:val="none" w:sz="0" w:space="0" w:color="auto"/>
      </w:divBdr>
    </w:div>
    <w:div w:id="53895168">
      <w:marLeft w:val="0"/>
      <w:marRight w:val="0"/>
      <w:marTop w:val="0"/>
      <w:marBottom w:val="0"/>
      <w:divBdr>
        <w:top w:val="none" w:sz="0" w:space="0" w:color="auto"/>
        <w:left w:val="none" w:sz="0" w:space="0" w:color="auto"/>
        <w:bottom w:val="none" w:sz="0" w:space="0" w:color="auto"/>
        <w:right w:val="none" w:sz="0" w:space="0" w:color="auto"/>
      </w:divBdr>
    </w:div>
    <w:div w:id="53895208">
      <w:marLeft w:val="0"/>
      <w:marRight w:val="0"/>
      <w:marTop w:val="0"/>
      <w:marBottom w:val="0"/>
      <w:divBdr>
        <w:top w:val="none" w:sz="0" w:space="0" w:color="auto"/>
        <w:left w:val="none" w:sz="0" w:space="0" w:color="auto"/>
        <w:bottom w:val="none" w:sz="0" w:space="0" w:color="auto"/>
        <w:right w:val="none" w:sz="0" w:space="0" w:color="auto"/>
      </w:divBdr>
      <w:divsChild>
        <w:div w:id="53895094">
          <w:marLeft w:val="0"/>
          <w:marRight w:val="0"/>
          <w:marTop w:val="0"/>
          <w:marBottom w:val="0"/>
          <w:divBdr>
            <w:top w:val="none" w:sz="0" w:space="0" w:color="auto"/>
            <w:left w:val="none" w:sz="0" w:space="0" w:color="auto"/>
            <w:bottom w:val="none" w:sz="0" w:space="0" w:color="auto"/>
            <w:right w:val="none" w:sz="0" w:space="0" w:color="auto"/>
          </w:divBdr>
        </w:div>
        <w:div w:id="53895170">
          <w:marLeft w:val="0"/>
          <w:marRight w:val="0"/>
          <w:marTop w:val="0"/>
          <w:marBottom w:val="0"/>
          <w:divBdr>
            <w:top w:val="none" w:sz="0" w:space="0" w:color="auto"/>
            <w:left w:val="none" w:sz="0" w:space="0" w:color="auto"/>
            <w:bottom w:val="none" w:sz="0" w:space="0" w:color="auto"/>
            <w:right w:val="none" w:sz="0" w:space="0" w:color="auto"/>
          </w:divBdr>
        </w:div>
        <w:div w:id="53895198">
          <w:marLeft w:val="0"/>
          <w:marRight w:val="0"/>
          <w:marTop w:val="0"/>
          <w:marBottom w:val="0"/>
          <w:divBdr>
            <w:top w:val="none" w:sz="0" w:space="0" w:color="auto"/>
            <w:left w:val="none" w:sz="0" w:space="0" w:color="auto"/>
            <w:bottom w:val="none" w:sz="0" w:space="0" w:color="auto"/>
            <w:right w:val="none" w:sz="0" w:space="0" w:color="auto"/>
          </w:divBdr>
        </w:div>
        <w:div w:id="53895206">
          <w:marLeft w:val="0"/>
          <w:marRight w:val="0"/>
          <w:marTop w:val="0"/>
          <w:marBottom w:val="0"/>
          <w:divBdr>
            <w:top w:val="none" w:sz="0" w:space="0" w:color="auto"/>
            <w:left w:val="none" w:sz="0" w:space="0" w:color="auto"/>
            <w:bottom w:val="none" w:sz="0" w:space="0" w:color="auto"/>
            <w:right w:val="none" w:sz="0" w:space="0" w:color="auto"/>
          </w:divBdr>
        </w:div>
        <w:div w:id="53895251">
          <w:marLeft w:val="0"/>
          <w:marRight w:val="0"/>
          <w:marTop w:val="0"/>
          <w:marBottom w:val="0"/>
          <w:divBdr>
            <w:top w:val="none" w:sz="0" w:space="0" w:color="auto"/>
            <w:left w:val="none" w:sz="0" w:space="0" w:color="auto"/>
            <w:bottom w:val="none" w:sz="0" w:space="0" w:color="auto"/>
            <w:right w:val="none" w:sz="0" w:space="0" w:color="auto"/>
          </w:divBdr>
        </w:div>
        <w:div w:id="53895256">
          <w:marLeft w:val="0"/>
          <w:marRight w:val="0"/>
          <w:marTop w:val="0"/>
          <w:marBottom w:val="0"/>
          <w:divBdr>
            <w:top w:val="none" w:sz="0" w:space="0" w:color="auto"/>
            <w:left w:val="none" w:sz="0" w:space="0" w:color="auto"/>
            <w:bottom w:val="none" w:sz="0" w:space="0" w:color="auto"/>
            <w:right w:val="none" w:sz="0" w:space="0" w:color="auto"/>
          </w:divBdr>
        </w:div>
        <w:div w:id="53895265">
          <w:marLeft w:val="0"/>
          <w:marRight w:val="0"/>
          <w:marTop w:val="0"/>
          <w:marBottom w:val="0"/>
          <w:divBdr>
            <w:top w:val="none" w:sz="0" w:space="0" w:color="auto"/>
            <w:left w:val="none" w:sz="0" w:space="0" w:color="auto"/>
            <w:bottom w:val="none" w:sz="0" w:space="0" w:color="auto"/>
            <w:right w:val="none" w:sz="0" w:space="0" w:color="auto"/>
          </w:divBdr>
        </w:div>
        <w:div w:id="53895270">
          <w:marLeft w:val="0"/>
          <w:marRight w:val="0"/>
          <w:marTop w:val="0"/>
          <w:marBottom w:val="0"/>
          <w:divBdr>
            <w:top w:val="none" w:sz="0" w:space="0" w:color="auto"/>
            <w:left w:val="none" w:sz="0" w:space="0" w:color="auto"/>
            <w:bottom w:val="none" w:sz="0" w:space="0" w:color="auto"/>
            <w:right w:val="none" w:sz="0" w:space="0" w:color="auto"/>
          </w:divBdr>
        </w:div>
        <w:div w:id="53895272">
          <w:marLeft w:val="0"/>
          <w:marRight w:val="0"/>
          <w:marTop w:val="0"/>
          <w:marBottom w:val="0"/>
          <w:divBdr>
            <w:top w:val="none" w:sz="0" w:space="0" w:color="auto"/>
            <w:left w:val="none" w:sz="0" w:space="0" w:color="auto"/>
            <w:bottom w:val="none" w:sz="0" w:space="0" w:color="auto"/>
            <w:right w:val="none" w:sz="0" w:space="0" w:color="auto"/>
          </w:divBdr>
        </w:div>
        <w:div w:id="53895283">
          <w:marLeft w:val="0"/>
          <w:marRight w:val="0"/>
          <w:marTop w:val="0"/>
          <w:marBottom w:val="0"/>
          <w:divBdr>
            <w:top w:val="none" w:sz="0" w:space="0" w:color="auto"/>
            <w:left w:val="none" w:sz="0" w:space="0" w:color="auto"/>
            <w:bottom w:val="none" w:sz="0" w:space="0" w:color="auto"/>
            <w:right w:val="none" w:sz="0" w:space="0" w:color="auto"/>
          </w:divBdr>
        </w:div>
        <w:div w:id="53895288">
          <w:marLeft w:val="0"/>
          <w:marRight w:val="0"/>
          <w:marTop w:val="0"/>
          <w:marBottom w:val="0"/>
          <w:divBdr>
            <w:top w:val="none" w:sz="0" w:space="0" w:color="auto"/>
            <w:left w:val="none" w:sz="0" w:space="0" w:color="auto"/>
            <w:bottom w:val="none" w:sz="0" w:space="0" w:color="auto"/>
            <w:right w:val="none" w:sz="0" w:space="0" w:color="auto"/>
          </w:divBdr>
        </w:div>
        <w:div w:id="53895291">
          <w:marLeft w:val="0"/>
          <w:marRight w:val="0"/>
          <w:marTop w:val="0"/>
          <w:marBottom w:val="0"/>
          <w:divBdr>
            <w:top w:val="none" w:sz="0" w:space="0" w:color="auto"/>
            <w:left w:val="none" w:sz="0" w:space="0" w:color="auto"/>
            <w:bottom w:val="none" w:sz="0" w:space="0" w:color="auto"/>
            <w:right w:val="none" w:sz="0" w:space="0" w:color="auto"/>
          </w:divBdr>
        </w:div>
        <w:div w:id="53895307">
          <w:marLeft w:val="0"/>
          <w:marRight w:val="0"/>
          <w:marTop w:val="0"/>
          <w:marBottom w:val="0"/>
          <w:divBdr>
            <w:top w:val="none" w:sz="0" w:space="0" w:color="auto"/>
            <w:left w:val="none" w:sz="0" w:space="0" w:color="auto"/>
            <w:bottom w:val="none" w:sz="0" w:space="0" w:color="auto"/>
            <w:right w:val="none" w:sz="0" w:space="0" w:color="auto"/>
          </w:divBdr>
        </w:div>
        <w:div w:id="53895312">
          <w:marLeft w:val="0"/>
          <w:marRight w:val="0"/>
          <w:marTop w:val="0"/>
          <w:marBottom w:val="0"/>
          <w:divBdr>
            <w:top w:val="none" w:sz="0" w:space="0" w:color="auto"/>
            <w:left w:val="none" w:sz="0" w:space="0" w:color="auto"/>
            <w:bottom w:val="none" w:sz="0" w:space="0" w:color="auto"/>
            <w:right w:val="none" w:sz="0" w:space="0" w:color="auto"/>
          </w:divBdr>
        </w:div>
        <w:div w:id="53895318">
          <w:marLeft w:val="0"/>
          <w:marRight w:val="0"/>
          <w:marTop w:val="0"/>
          <w:marBottom w:val="0"/>
          <w:divBdr>
            <w:top w:val="none" w:sz="0" w:space="0" w:color="auto"/>
            <w:left w:val="none" w:sz="0" w:space="0" w:color="auto"/>
            <w:bottom w:val="none" w:sz="0" w:space="0" w:color="auto"/>
            <w:right w:val="none" w:sz="0" w:space="0" w:color="auto"/>
          </w:divBdr>
        </w:div>
      </w:divsChild>
    </w:div>
    <w:div w:id="53895220">
      <w:marLeft w:val="0"/>
      <w:marRight w:val="0"/>
      <w:marTop w:val="0"/>
      <w:marBottom w:val="0"/>
      <w:divBdr>
        <w:top w:val="none" w:sz="0" w:space="0" w:color="auto"/>
        <w:left w:val="none" w:sz="0" w:space="0" w:color="auto"/>
        <w:bottom w:val="none" w:sz="0" w:space="0" w:color="auto"/>
        <w:right w:val="none" w:sz="0" w:space="0" w:color="auto"/>
      </w:divBdr>
      <w:divsChild>
        <w:div w:id="53895153">
          <w:marLeft w:val="0"/>
          <w:marRight w:val="0"/>
          <w:marTop w:val="0"/>
          <w:marBottom w:val="0"/>
          <w:divBdr>
            <w:top w:val="none" w:sz="0" w:space="0" w:color="auto"/>
            <w:left w:val="none" w:sz="0" w:space="0" w:color="auto"/>
            <w:bottom w:val="none" w:sz="0" w:space="0" w:color="auto"/>
            <w:right w:val="none" w:sz="0" w:space="0" w:color="auto"/>
          </w:divBdr>
        </w:div>
        <w:div w:id="53895158">
          <w:marLeft w:val="0"/>
          <w:marRight w:val="0"/>
          <w:marTop w:val="0"/>
          <w:marBottom w:val="0"/>
          <w:divBdr>
            <w:top w:val="none" w:sz="0" w:space="0" w:color="auto"/>
            <w:left w:val="none" w:sz="0" w:space="0" w:color="auto"/>
            <w:bottom w:val="none" w:sz="0" w:space="0" w:color="auto"/>
            <w:right w:val="none" w:sz="0" w:space="0" w:color="auto"/>
          </w:divBdr>
        </w:div>
        <w:div w:id="53895203">
          <w:marLeft w:val="0"/>
          <w:marRight w:val="0"/>
          <w:marTop w:val="0"/>
          <w:marBottom w:val="0"/>
          <w:divBdr>
            <w:top w:val="none" w:sz="0" w:space="0" w:color="auto"/>
            <w:left w:val="none" w:sz="0" w:space="0" w:color="auto"/>
            <w:bottom w:val="none" w:sz="0" w:space="0" w:color="auto"/>
            <w:right w:val="none" w:sz="0" w:space="0" w:color="auto"/>
          </w:divBdr>
        </w:div>
        <w:div w:id="53895240">
          <w:marLeft w:val="0"/>
          <w:marRight w:val="0"/>
          <w:marTop w:val="0"/>
          <w:marBottom w:val="0"/>
          <w:divBdr>
            <w:top w:val="none" w:sz="0" w:space="0" w:color="auto"/>
            <w:left w:val="none" w:sz="0" w:space="0" w:color="auto"/>
            <w:bottom w:val="none" w:sz="0" w:space="0" w:color="auto"/>
            <w:right w:val="none" w:sz="0" w:space="0" w:color="auto"/>
          </w:divBdr>
        </w:div>
        <w:div w:id="53895286">
          <w:marLeft w:val="0"/>
          <w:marRight w:val="0"/>
          <w:marTop w:val="0"/>
          <w:marBottom w:val="0"/>
          <w:divBdr>
            <w:top w:val="none" w:sz="0" w:space="0" w:color="auto"/>
            <w:left w:val="none" w:sz="0" w:space="0" w:color="auto"/>
            <w:bottom w:val="none" w:sz="0" w:space="0" w:color="auto"/>
            <w:right w:val="none" w:sz="0" w:space="0" w:color="auto"/>
          </w:divBdr>
        </w:div>
        <w:div w:id="53895305">
          <w:marLeft w:val="0"/>
          <w:marRight w:val="0"/>
          <w:marTop w:val="0"/>
          <w:marBottom w:val="0"/>
          <w:divBdr>
            <w:top w:val="none" w:sz="0" w:space="0" w:color="auto"/>
            <w:left w:val="none" w:sz="0" w:space="0" w:color="auto"/>
            <w:bottom w:val="none" w:sz="0" w:space="0" w:color="auto"/>
            <w:right w:val="none" w:sz="0" w:space="0" w:color="auto"/>
          </w:divBdr>
        </w:div>
        <w:div w:id="53895317">
          <w:marLeft w:val="0"/>
          <w:marRight w:val="0"/>
          <w:marTop w:val="0"/>
          <w:marBottom w:val="0"/>
          <w:divBdr>
            <w:top w:val="none" w:sz="0" w:space="0" w:color="auto"/>
            <w:left w:val="none" w:sz="0" w:space="0" w:color="auto"/>
            <w:bottom w:val="none" w:sz="0" w:space="0" w:color="auto"/>
            <w:right w:val="none" w:sz="0" w:space="0" w:color="auto"/>
          </w:divBdr>
        </w:div>
        <w:div w:id="53895333">
          <w:marLeft w:val="0"/>
          <w:marRight w:val="0"/>
          <w:marTop w:val="0"/>
          <w:marBottom w:val="0"/>
          <w:divBdr>
            <w:top w:val="none" w:sz="0" w:space="0" w:color="auto"/>
            <w:left w:val="none" w:sz="0" w:space="0" w:color="auto"/>
            <w:bottom w:val="none" w:sz="0" w:space="0" w:color="auto"/>
            <w:right w:val="none" w:sz="0" w:space="0" w:color="auto"/>
          </w:divBdr>
        </w:div>
      </w:divsChild>
    </w:div>
    <w:div w:id="53895225">
      <w:marLeft w:val="0"/>
      <w:marRight w:val="0"/>
      <w:marTop w:val="0"/>
      <w:marBottom w:val="0"/>
      <w:divBdr>
        <w:top w:val="none" w:sz="0" w:space="0" w:color="auto"/>
        <w:left w:val="none" w:sz="0" w:space="0" w:color="auto"/>
        <w:bottom w:val="none" w:sz="0" w:space="0" w:color="auto"/>
        <w:right w:val="none" w:sz="0" w:space="0" w:color="auto"/>
      </w:divBdr>
      <w:divsChild>
        <w:div w:id="53895213">
          <w:marLeft w:val="0"/>
          <w:marRight w:val="0"/>
          <w:marTop w:val="0"/>
          <w:marBottom w:val="0"/>
          <w:divBdr>
            <w:top w:val="none" w:sz="0" w:space="0" w:color="auto"/>
            <w:left w:val="none" w:sz="0" w:space="0" w:color="auto"/>
            <w:bottom w:val="none" w:sz="0" w:space="0" w:color="auto"/>
            <w:right w:val="none" w:sz="0" w:space="0" w:color="auto"/>
          </w:divBdr>
        </w:div>
        <w:div w:id="53895313">
          <w:marLeft w:val="0"/>
          <w:marRight w:val="0"/>
          <w:marTop w:val="0"/>
          <w:marBottom w:val="0"/>
          <w:divBdr>
            <w:top w:val="none" w:sz="0" w:space="0" w:color="auto"/>
            <w:left w:val="none" w:sz="0" w:space="0" w:color="auto"/>
            <w:bottom w:val="none" w:sz="0" w:space="0" w:color="auto"/>
            <w:right w:val="none" w:sz="0" w:space="0" w:color="auto"/>
          </w:divBdr>
        </w:div>
      </w:divsChild>
    </w:div>
    <w:div w:id="53895227">
      <w:marLeft w:val="0"/>
      <w:marRight w:val="0"/>
      <w:marTop w:val="0"/>
      <w:marBottom w:val="0"/>
      <w:divBdr>
        <w:top w:val="none" w:sz="0" w:space="0" w:color="auto"/>
        <w:left w:val="none" w:sz="0" w:space="0" w:color="auto"/>
        <w:bottom w:val="none" w:sz="0" w:space="0" w:color="auto"/>
        <w:right w:val="none" w:sz="0" w:space="0" w:color="auto"/>
      </w:divBdr>
      <w:divsChild>
        <w:div w:id="53895089">
          <w:marLeft w:val="0"/>
          <w:marRight w:val="0"/>
          <w:marTop w:val="0"/>
          <w:marBottom w:val="0"/>
          <w:divBdr>
            <w:top w:val="none" w:sz="0" w:space="0" w:color="auto"/>
            <w:left w:val="none" w:sz="0" w:space="0" w:color="auto"/>
            <w:bottom w:val="none" w:sz="0" w:space="0" w:color="auto"/>
            <w:right w:val="none" w:sz="0" w:space="0" w:color="auto"/>
          </w:divBdr>
        </w:div>
        <w:div w:id="53895099">
          <w:marLeft w:val="0"/>
          <w:marRight w:val="0"/>
          <w:marTop w:val="0"/>
          <w:marBottom w:val="0"/>
          <w:divBdr>
            <w:top w:val="none" w:sz="0" w:space="0" w:color="auto"/>
            <w:left w:val="none" w:sz="0" w:space="0" w:color="auto"/>
            <w:bottom w:val="none" w:sz="0" w:space="0" w:color="auto"/>
            <w:right w:val="none" w:sz="0" w:space="0" w:color="auto"/>
          </w:divBdr>
        </w:div>
        <w:div w:id="53895141">
          <w:marLeft w:val="0"/>
          <w:marRight w:val="0"/>
          <w:marTop w:val="0"/>
          <w:marBottom w:val="0"/>
          <w:divBdr>
            <w:top w:val="none" w:sz="0" w:space="0" w:color="auto"/>
            <w:left w:val="none" w:sz="0" w:space="0" w:color="auto"/>
            <w:bottom w:val="none" w:sz="0" w:space="0" w:color="auto"/>
            <w:right w:val="none" w:sz="0" w:space="0" w:color="auto"/>
          </w:divBdr>
        </w:div>
        <w:div w:id="53895278">
          <w:marLeft w:val="0"/>
          <w:marRight w:val="0"/>
          <w:marTop w:val="0"/>
          <w:marBottom w:val="0"/>
          <w:divBdr>
            <w:top w:val="none" w:sz="0" w:space="0" w:color="auto"/>
            <w:left w:val="none" w:sz="0" w:space="0" w:color="auto"/>
            <w:bottom w:val="none" w:sz="0" w:space="0" w:color="auto"/>
            <w:right w:val="none" w:sz="0" w:space="0" w:color="auto"/>
          </w:divBdr>
        </w:div>
        <w:div w:id="53895321">
          <w:marLeft w:val="0"/>
          <w:marRight w:val="0"/>
          <w:marTop w:val="0"/>
          <w:marBottom w:val="0"/>
          <w:divBdr>
            <w:top w:val="none" w:sz="0" w:space="0" w:color="auto"/>
            <w:left w:val="none" w:sz="0" w:space="0" w:color="auto"/>
            <w:bottom w:val="none" w:sz="0" w:space="0" w:color="auto"/>
            <w:right w:val="none" w:sz="0" w:space="0" w:color="auto"/>
          </w:divBdr>
        </w:div>
      </w:divsChild>
    </w:div>
    <w:div w:id="53895232">
      <w:marLeft w:val="0"/>
      <w:marRight w:val="0"/>
      <w:marTop w:val="0"/>
      <w:marBottom w:val="0"/>
      <w:divBdr>
        <w:top w:val="none" w:sz="0" w:space="0" w:color="auto"/>
        <w:left w:val="none" w:sz="0" w:space="0" w:color="auto"/>
        <w:bottom w:val="none" w:sz="0" w:space="0" w:color="auto"/>
        <w:right w:val="none" w:sz="0" w:space="0" w:color="auto"/>
      </w:divBdr>
      <w:divsChild>
        <w:div w:id="53895108">
          <w:marLeft w:val="0"/>
          <w:marRight w:val="0"/>
          <w:marTop w:val="0"/>
          <w:marBottom w:val="0"/>
          <w:divBdr>
            <w:top w:val="none" w:sz="0" w:space="0" w:color="auto"/>
            <w:left w:val="none" w:sz="0" w:space="0" w:color="auto"/>
            <w:bottom w:val="none" w:sz="0" w:space="0" w:color="auto"/>
            <w:right w:val="none" w:sz="0" w:space="0" w:color="auto"/>
          </w:divBdr>
        </w:div>
        <w:div w:id="53895130">
          <w:marLeft w:val="0"/>
          <w:marRight w:val="0"/>
          <w:marTop w:val="0"/>
          <w:marBottom w:val="0"/>
          <w:divBdr>
            <w:top w:val="none" w:sz="0" w:space="0" w:color="auto"/>
            <w:left w:val="none" w:sz="0" w:space="0" w:color="auto"/>
            <w:bottom w:val="none" w:sz="0" w:space="0" w:color="auto"/>
            <w:right w:val="none" w:sz="0" w:space="0" w:color="auto"/>
          </w:divBdr>
        </w:div>
        <w:div w:id="53895132">
          <w:marLeft w:val="0"/>
          <w:marRight w:val="0"/>
          <w:marTop w:val="0"/>
          <w:marBottom w:val="0"/>
          <w:divBdr>
            <w:top w:val="none" w:sz="0" w:space="0" w:color="auto"/>
            <w:left w:val="none" w:sz="0" w:space="0" w:color="auto"/>
            <w:bottom w:val="none" w:sz="0" w:space="0" w:color="auto"/>
            <w:right w:val="none" w:sz="0" w:space="0" w:color="auto"/>
          </w:divBdr>
        </w:div>
        <w:div w:id="53895145">
          <w:marLeft w:val="0"/>
          <w:marRight w:val="0"/>
          <w:marTop w:val="0"/>
          <w:marBottom w:val="0"/>
          <w:divBdr>
            <w:top w:val="none" w:sz="0" w:space="0" w:color="auto"/>
            <w:left w:val="none" w:sz="0" w:space="0" w:color="auto"/>
            <w:bottom w:val="none" w:sz="0" w:space="0" w:color="auto"/>
            <w:right w:val="none" w:sz="0" w:space="0" w:color="auto"/>
          </w:divBdr>
        </w:div>
        <w:div w:id="53895150">
          <w:marLeft w:val="0"/>
          <w:marRight w:val="0"/>
          <w:marTop w:val="0"/>
          <w:marBottom w:val="0"/>
          <w:divBdr>
            <w:top w:val="none" w:sz="0" w:space="0" w:color="auto"/>
            <w:left w:val="none" w:sz="0" w:space="0" w:color="auto"/>
            <w:bottom w:val="none" w:sz="0" w:space="0" w:color="auto"/>
            <w:right w:val="none" w:sz="0" w:space="0" w:color="auto"/>
          </w:divBdr>
        </w:div>
        <w:div w:id="53895163">
          <w:marLeft w:val="0"/>
          <w:marRight w:val="0"/>
          <w:marTop w:val="0"/>
          <w:marBottom w:val="0"/>
          <w:divBdr>
            <w:top w:val="none" w:sz="0" w:space="0" w:color="auto"/>
            <w:left w:val="none" w:sz="0" w:space="0" w:color="auto"/>
            <w:bottom w:val="none" w:sz="0" w:space="0" w:color="auto"/>
            <w:right w:val="none" w:sz="0" w:space="0" w:color="auto"/>
          </w:divBdr>
        </w:div>
        <w:div w:id="53895171">
          <w:marLeft w:val="0"/>
          <w:marRight w:val="0"/>
          <w:marTop w:val="0"/>
          <w:marBottom w:val="0"/>
          <w:divBdr>
            <w:top w:val="none" w:sz="0" w:space="0" w:color="auto"/>
            <w:left w:val="none" w:sz="0" w:space="0" w:color="auto"/>
            <w:bottom w:val="none" w:sz="0" w:space="0" w:color="auto"/>
            <w:right w:val="none" w:sz="0" w:space="0" w:color="auto"/>
          </w:divBdr>
        </w:div>
        <w:div w:id="53895181">
          <w:marLeft w:val="0"/>
          <w:marRight w:val="0"/>
          <w:marTop w:val="0"/>
          <w:marBottom w:val="0"/>
          <w:divBdr>
            <w:top w:val="none" w:sz="0" w:space="0" w:color="auto"/>
            <w:left w:val="none" w:sz="0" w:space="0" w:color="auto"/>
            <w:bottom w:val="none" w:sz="0" w:space="0" w:color="auto"/>
            <w:right w:val="none" w:sz="0" w:space="0" w:color="auto"/>
          </w:divBdr>
        </w:div>
        <w:div w:id="53895182">
          <w:marLeft w:val="0"/>
          <w:marRight w:val="0"/>
          <w:marTop w:val="0"/>
          <w:marBottom w:val="0"/>
          <w:divBdr>
            <w:top w:val="none" w:sz="0" w:space="0" w:color="auto"/>
            <w:left w:val="none" w:sz="0" w:space="0" w:color="auto"/>
            <w:bottom w:val="none" w:sz="0" w:space="0" w:color="auto"/>
            <w:right w:val="none" w:sz="0" w:space="0" w:color="auto"/>
          </w:divBdr>
        </w:div>
        <w:div w:id="53895185">
          <w:marLeft w:val="0"/>
          <w:marRight w:val="0"/>
          <w:marTop w:val="0"/>
          <w:marBottom w:val="0"/>
          <w:divBdr>
            <w:top w:val="none" w:sz="0" w:space="0" w:color="auto"/>
            <w:left w:val="none" w:sz="0" w:space="0" w:color="auto"/>
            <w:bottom w:val="none" w:sz="0" w:space="0" w:color="auto"/>
            <w:right w:val="none" w:sz="0" w:space="0" w:color="auto"/>
          </w:divBdr>
        </w:div>
        <w:div w:id="53895190">
          <w:marLeft w:val="0"/>
          <w:marRight w:val="0"/>
          <w:marTop w:val="0"/>
          <w:marBottom w:val="0"/>
          <w:divBdr>
            <w:top w:val="none" w:sz="0" w:space="0" w:color="auto"/>
            <w:left w:val="none" w:sz="0" w:space="0" w:color="auto"/>
            <w:bottom w:val="none" w:sz="0" w:space="0" w:color="auto"/>
            <w:right w:val="none" w:sz="0" w:space="0" w:color="auto"/>
          </w:divBdr>
        </w:div>
        <w:div w:id="53895201">
          <w:marLeft w:val="0"/>
          <w:marRight w:val="0"/>
          <w:marTop w:val="0"/>
          <w:marBottom w:val="0"/>
          <w:divBdr>
            <w:top w:val="none" w:sz="0" w:space="0" w:color="auto"/>
            <w:left w:val="none" w:sz="0" w:space="0" w:color="auto"/>
            <w:bottom w:val="none" w:sz="0" w:space="0" w:color="auto"/>
            <w:right w:val="none" w:sz="0" w:space="0" w:color="auto"/>
          </w:divBdr>
        </w:div>
        <w:div w:id="53895205">
          <w:marLeft w:val="0"/>
          <w:marRight w:val="0"/>
          <w:marTop w:val="0"/>
          <w:marBottom w:val="0"/>
          <w:divBdr>
            <w:top w:val="none" w:sz="0" w:space="0" w:color="auto"/>
            <w:left w:val="none" w:sz="0" w:space="0" w:color="auto"/>
            <w:bottom w:val="none" w:sz="0" w:space="0" w:color="auto"/>
            <w:right w:val="none" w:sz="0" w:space="0" w:color="auto"/>
          </w:divBdr>
        </w:div>
        <w:div w:id="53895207">
          <w:marLeft w:val="0"/>
          <w:marRight w:val="0"/>
          <w:marTop w:val="0"/>
          <w:marBottom w:val="0"/>
          <w:divBdr>
            <w:top w:val="none" w:sz="0" w:space="0" w:color="auto"/>
            <w:left w:val="none" w:sz="0" w:space="0" w:color="auto"/>
            <w:bottom w:val="none" w:sz="0" w:space="0" w:color="auto"/>
            <w:right w:val="none" w:sz="0" w:space="0" w:color="auto"/>
          </w:divBdr>
        </w:div>
        <w:div w:id="53895221">
          <w:marLeft w:val="0"/>
          <w:marRight w:val="0"/>
          <w:marTop w:val="0"/>
          <w:marBottom w:val="0"/>
          <w:divBdr>
            <w:top w:val="none" w:sz="0" w:space="0" w:color="auto"/>
            <w:left w:val="none" w:sz="0" w:space="0" w:color="auto"/>
            <w:bottom w:val="none" w:sz="0" w:space="0" w:color="auto"/>
            <w:right w:val="none" w:sz="0" w:space="0" w:color="auto"/>
          </w:divBdr>
        </w:div>
        <w:div w:id="53895224">
          <w:marLeft w:val="0"/>
          <w:marRight w:val="0"/>
          <w:marTop w:val="0"/>
          <w:marBottom w:val="0"/>
          <w:divBdr>
            <w:top w:val="none" w:sz="0" w:space="0" w:color="auto"/>
            <w:left w:val="none" w:sz="0" w:space="0" w:color="auto"/>
            <w:bottom w:val="none" w:sz="0" w:space="0" w:color="auto"/>
            <w:right w:val="none" w:sz="0" w:space="0" w:color="auto"/>
          </w:divBdr>
        </w:div>
        <w:div w:id="53895228">
          <w:marLeft w:val="0"/>
          <w:marRight w:val="0"/>
          <w:marTop w:val="0"/>
          <w:marBottom w:val="0"/>
          <w:divBdr>
            <w:top w:val="none" w:sz="0" w:space="0" w:color="auto"/>
            <w:left w:val="none" w:sz="0" w:space="0" w:color="auto"/>
            <w:bottom w:val="none" w:sz="0" w:space="0" w:color="auto"/>
            <w:right w:val="none" w:sz="0" w:space="0" w:color="auto"/>
          </w:divBdr>
        </w:div>
        <w:div w:id="53895231">
          <w:marLeft w:val="0"/>
          <w:marRight w:val="0"/>
          <w:marTop w:val="0"/>
          <w:marBottom w:val="0"/>
          <w:divBdr>
            <w:top w:val="none" w:sz="0" w:space="0" w:color="auto"/>
            <w:left w:val="none" w:sz="0" w:space="0" w:color="auto"/>
            <w:bottom w:val="none" w:sz="0" w:space="0" w:color="auto"/>
            <w:right w:val="none" w:sz="0" w:space="0" w:color="auto"/>
          </w:divBdr>
        </w:div>
        <w:div w:id="53895238">
          <w:marLeft w:val="0"/>
          <w:marRight w:val="0"/>
          <w:marTop w:val="0"/>
          <w:marBottom w:val="0"/>
          <w:divBdr>
            <w:top w:val="none" w:sz="0" w:space="0" w:color="auto"/>
            <w:left w:val="none" w:sz="0" w:space="0" w:color="auto"/>
            <w:bottom w:val="none" w:sz="0" w:space="0" w:color="auto"/>
            <w:right w:val="none" w:sz="0" w:space="0" w:color="auto"/>
          </w:divBdr>
        </w:div>
        <w:div w:id="53895246">
          <w:marLeft w:val="0"/>
          <w:marRight w:val="0"/>
          <w:marTop w:val="0"/>
          <w:marBottom w:val="0"/>
          <w:divBdr>
            <w:top w:val="none" w:sz="0" w:space="0" w:color="auto"/>
            <w:left w:val="none" w:sz="0" w:space="0" w:color="auto"/>
            <w:bottom w:val="none" w:sz="0" w:space="0" w:color="auto"/>
            <w:right w:val="none" w:sz="0" w:space="0" w:color="auto"/>
          </w:divBdr>
        </w:div>
        <w:div w:id="53895255">
          <w:marLeft w:val="0"/>
          <w:marRight w:val="0"/>
          <w:marTop w:val="0"/>
          <w:marBottom w:val="0"/>
          <w:divBdr>
            <w:top w:val="none" w:sz="0" w:space="0" w:color="auto"/>
            <w:left w:val="none" w:sz="0" w:space="0" w:color="auto"/>
            <w:bottom w:val="none" w:sz="0" w:space="0" w:color="auto"/>
            <w:right w:val="none" w:sz="0" w:space="0" w:color="auto"/>
          </w:divBdr>
        </w:div>
        <w:div w:id="53895264">
          <w:marLeft w:val="0"/>
          <w:marRight w:val="0"/>
          <w:marTop w:val="0"/>
          <w:marBottom w:val="0"/>
          <w:divBdr>
            <w:top w:val="none" w:sz="0" w:space="0" w:color="auto"/>
            <w:left w:val="none" w:sz="0" w:space="0" w:color="auto"/>
            <w:bottom w:val="none" w:sz="0" w:space="0" w:color="auto"/>
            <w:right w:val="none" w:sz="0" w:space="0" w:color="auto"/>
          </w:divBdr>
        </w:div>
        <w:div w:id="53895268">
          <w:marLeft w:val="0"/>
          <w:marRight w:val="0"/>
          <w:marTop w:val="0"/>
          <w:marBottom w:val="0"/>
          <w:divBdr>
            <w:top w:val="none" w:sz="0" w:space="0" w:color="auto"/>
            <w:left w:val="none" w:sz="0" w:space="0" w:color="auto"/>
            <w:bottom w:val="none" w:sz="0" w:space="0" w:color="auto"/>
            <w:right w:val="none" w:sz="0" w:space="0" w:color="auto"/>
          </w:divBdr>
        </w:div>
        <w:div w:id="53895273">
          <w:marLeft w:val="0"/>
          <w:marRight w:val="0"/>
          <w:marTop w:val="0"/>
          <w:marBottom w:val="0"/>
          <w:divBdr>
            <w:top w:val="none" w:sz="0" w:space="0" w:color="auto"/>
            <w:left w:val="none" w:sz="0" w:space="0" w:color="auto"/>
            <w:bottom w:val="none" w:sz="0" w:space="0" w:color="auto"/>
            <w:right w:val="none" w:sz="0" w:space="0" w:color="auto"/>
          </w:divBdr>
        </w:div>
        <w:div w:id="53895275">
          <w:marLeft w:val="0"/>
          <w:marRight w:val="0"/>
          <w:marTop w:val="0"/>
          <w:marBottom w:val="0"/>
          <w:divBdr>
            <w:top w:val="none" w:sz="0" w:space="0" w:color="auto"/>
            <w:left w:val="none" w:sz="0" w:space="0" w:color="auto"/>
            <w:bottom w:val="none" w:sz="0" w:space="0" w:color="auto"/>
            <w:right w:val="none" w:sz="0" w:space="0" w:color="auto"/>
          </w:divBdr>
        </w:div>
        <w:div w:id="53895276">
          <w:marLeft w:val="0"/>
          <w:marRight w:val="0"/>
          <w:marTop w:val="0"/>
          <w:marBottom w:val="0"/>
          <w:divBdr>
            <w:top w:val="none" w:sz="0" w:space="0" w:color="auto"/>
            <w:left w:val="none" w:sz="0" w:space="0" w:color="auto"/>
            <w:bottom w:val="none" w:sz="0" w:space="0" w:color="auto"/>
            <w:right w:val="none" w:sz="0" w:space="0" w:color="auto"/>
          </w:divBdr>
        </w:div>
        <w:div w:id="53895290">
          <w:marLeft w:val="0"/>
          <w:marRight w:val="0"/>
          <w:marTop w:val="0"/>
          <w:marBottom w:val="0"/>
          <w:divBdr>
            <w:top w:val="none" w:sz="0" w:space="0" w:color="auto"/>
            <w:left w:val="none" w:sz="0" w:space="0" w:color="auto"/>
            <w:bottom w:val="none" w:sz="0" w:space="0" w:color="auto"/>
            <w:right w:val="none" w:sz="0" w:space="0" w:color="auto"/>
          </w:divBdr>
        </w:div>
        <w:div w:id="53895296">
          <w:marLeft w:val="0"/>
          <w:marRight w:val="0"/>
          <w:marTop w:val="0"/>
          <w:marBottom w:val="0"/>
          <w:divBdr>
            <w:top w:val="none" w:sz="0" w:space="0" w:color="auto"/>
            <w:left w:val="none" w:sz="0" w:space="0" w:color="auto"/>
            <w:bottom w:val="none" w:sz="0" w:space="0" w:color="auto"/>
            <w:right w:val="none" w:sz="0" w:space="0" w:color="auto"/>
          </w:divBdr>
        </w:div>
        <w:div w:id="53895299">
          <w:marLeft w:val="0"/>
          <w:marRight w:val="0"/>
          <w:marTop w:val="0"/>
          <w:marBottom w:val="0"/>
          <w:divBdr>
            <w:top w:val="none" w:sz="0" w:space="0" w:color="auto"/>
            <w:left w:val="none" w:sz="0" w:space="0" w:color="auto"/>
            <w:bottom w:val="none" w:sz="0" w:space="0" w:color="auto"/>
            <w:right w:val="none" w:sz="0" w:space="0" w:color="auto"/>
          </w:divBdr>
        </w:div>
        <w:div w:id="53895300">
          <w:marLeft w:val="0"/>
          <w:marRight w:val="0"/>
          <w:marTop w:val="0"/>
          <w:marBottom w:val="0"/>
          <w:divBdr>
            <w:top w:val="none" w:sz="0" w:space="0" w:color="auto"/>
            <w:left w:val="none" w:sz="0" w:space="0" w:color="auto"/>
            <w:bottom w:val="none" w:sz="0" w:space="0" w:color="auto"/>
            <w:right w:val="none" w:sz="0" w:space="0" w:color="auto"/>
          </w:divBdr>
        </w:div>
        <w:div w:id="53895309">
          <w:marLeft w:val="0"/>
          <w:marRight w:val="0"/>
          <w:marTop w:val="0"/>
          <w:marBottom w:val="0"/>
          <w:divBdr>
            <w:top w:val="none" w:sz="0" w:space="0" w:color="auto"/>
            <w:left w:val="none" w:sz="0" w:space="0" w:color="auto"/>
            <w:bottom w:val="none" w:sz="0" w:space="0" w:color="auto"/>
            <w:right w:val="none" w:sz="0" w:space="0" w:color="auto"/>
          </w:divBdr>
        </w:div>
        <w:div w:id="53895314">
          <w:marLeft w:val="0"/>
          <w:marRight w:val="0"/>
          <w:marTop w:val="0"/>
          <w:marBottom w:val="0"/>
          <w:divBdr>
            <w:top w:val="none" w:sz="0" w:space="0" w:color="auto"/>
            <w:left w:val="none" w:sz="0" w:space="0" w:color="auto"/>
            <w:bottom w:val="none" w:sz="0" w:space="0" w:color="auto"/>
            <w:right w:val="none" w:sz="0" w:space="0" w:color="auto"/>
          </w:divBdr>
        </w:div>
        <w:div w:id="53895319">
          <w:marLeft w:val="0"/>
          <w:marRight w:val="0"/>
          <w:marTop w:val="0"/>
          <w:marBottom w:val="0"/>
          <w:divBdr>
            <w:top w:val="none" w:sz="0" w:space="0" w:color="auto"/>
            <w:left w:val="none" w:sz="0" w:space="0" w:color="auto"/>
            <w:bottom w:val="none" w:sz="0" w:space="0" w:color="auto"/>
            <w:right w:val="none" w:sz="0" w:space="0" w:color="auto"/>
          </w:divBdr>
        </w:div>
        <w:div w:id="53895320">
          <w:marLeft w:val="0"/>
          <w:marRight w:val="0"/>
          <w:marTop w:val="0"/>
          <w:marBottom w:val="0"/>
          <w:divBdr>
            <w:top w:val="none" w:sz="0" w:space="0" w:color="auto"/>
            <w:left w:val="none" w:sz="0" w:space="0" w:color="auto"/>
            <w:bottom w:val="none" w:sz="0" w:space="0" w:color="auto"/>
            <w:right w:val="none" w:sz="0" w:space="0" w:color="auto"/>
          </w:divBdr>
        </w:div>
        <w:div w:id="53895335">
          <w:marLeft w:val="0"/>
          <w:marRight w:val="0"/>
          <w:marTop w:val="0"/>
          <w:marBottom w:val="0"/>
          <w:divBdr>
            <w:top w:val="none" w:sz="0" w:space="0" w:color="auto"/>
            <w:left w:val="none" w:sz="0" w:space="0" w:color="auto"/>
            <w:bottom w:val="none" w:sz="0" w:space="0" w:color="auto"/>
            <w:right w:val="none" w:sz="0" w:space="0" w:color="auto"/>
          </w:divBdr>
        </w:div>
      </w:divsChild>
    </w:div>
    <w:div w:id="53895239">
      <w:marLeft w:val="0"/>
      <w:marRight w:val="0"/>
      <w:marTop w:val="0"/>
      <w:marBottom w:val="0"/>
      <w:divBdr>
        <w:top w:val="none" w:sz="0" w:space="0" w:color="auto"/>
        <w:left w:val="none" w:sz="0" w:space="0" w:color="auto"/>
        <w:bottom w:val="none" w:sz="0" w:space="0" w:color="auto"/>
        <w:right w:val="none" w:sz="0" w:space="0" w:color="auto"/>
      </w:divBdr>
    </w:div>
    <w:div w:id="53895242">
      <w:marLeft w:val="0"/>
      <w:marRight w:val="0"/>
      <w:marTop w:val="0"/>
      <w:marBottom w:val="0"/>
      <w:divBdr>
        <w:top w:val="none" w:sz="0" w:space="0" w:color="auto"/>
        <w:left w:val="none" w:sz="0" w:space="0" w:color="auto"/>
        <w:bottom w:val="none" w:sz="0" w:space="0" w:color="auto"/>
        <w:right w:val="none" w:sz="0" w:space="0" w:color="auto"/>
      </w:divBdr>
    </w:div>
    <w:div w:id="53895243">
      <w:marLeft w:val="0"/>
      <w:marRight w:val="0"/>
      <w:marTop w:val="0"/>
      <w:marBottom w:val="0"/>
      <w:divBdr>
        <w:top w:val="none" w:sz="0" w:space="0" w:color="auto"/>
        <w:left w:val="none" w:sz="0" w:space="0" w:color="auto"/>
        <w:bottom w:val="none" w:sz="0" w:space="0" w:color="auto"/>
        <w:right w:val="none" w:sz="0" w:space="0" w:color="auto"/>
      </w:divBdr>
    </w:div>
    <w:div w:id="53895249">
      <w:marLeft w:val="0"/>
      <w:marRight w:val="0"/>
      <w:marTop w:val="0"/>
      <w:marBottom w:val="0"/>
      <w:divBdr>
        <w:top w:val="none" w:sz="0" w:space="0" w:color="auto"/>
        <w:left w:val="none" w:sz="0" w:space="0" w:color="auto"/>
        <w:bottom w:val="none" w:sz="0" w:space="0" w:color="auto"/>
        <w:right w:val="none" w:sz="0" w:space="0" w:color="auto"/>
      </w:divBdr>
    </w:div>
    <w:div w:id="53895252">
      <w:marLeft w:val="0"/>
      <w:marRight w:val="0"/>
      <w:marTop w:val="0"/>
      <w:marBottom w:val="0"/>
      <w:divBdr>
        <w:top w:val="none" w:sz="0" w:space="0" w:color="auto"/>
        <w:left w:val="none" w:sz="0" w:space="0" w:color="auto"/>
        <w:bottom w:val="none" w:sz="0" w:space="0" w:color="auto"/>
        <w:right w:val="none" w:sz="0" w:space="0" w:color="auto"/>
      </w:divBdr>
      <w:divsChild>
        <w:div w:id="53895152">
          <w:marLeft w:val="0"/>
          <w:marRight w:val="0"/>
          <w:marTop w:val="0"/>
          <w:marBottom w:val="0"/>
          <w:divBdr>
            <w:top w:val="none" w:sz="0" w:space="0" w:color="auto"/>
            <w:left w:val="none" w:sz="0" w:space="0" w:color="auto"/>
            <w:bottom w:val="none" w:sz="0" w:space="0" w:color="auto"/>
            <w:right w:val="none" w:sz="0" w:space="0" w:color="auto"/>
          </w:divBdr>
        </w:div>
        <w:div w:id="53895161">
          <w:marLeft w:val="0"/>
          <w:marRight w:val="0"/>
          <w:marTop w:val="0"/>
          <w:marBottom w:val="0"/>
          <w:divBdr>
            <w:top w:val="none" w:sz="0" w:space="0" w:color="auto"/>
            <w:left w:val="none" w:sz="0" w:space="0" w:color="auto"/>
            <w:bottom w:val="none" w:sz="0" w:space="0" w:color="auto"/>
            <w:right w:val="none" w:sz="0" w:space="0" w:color="auto"/>
          </w:divBdr>
        </w:div>
        <w:div w:id="53895178">
          <w:marLeft w:val="0"/>
          <w:marRight w:val="0"/>
          <w:marTop w:val="0"/>
          <w:marBottom w:val="0"/>
          <w:divBdr>
            <w:top w:val="none" w:sz="0" w:space="0" w:color="auto"/>
            <w:left w:val="none" w:sz="0" w:space="0" w:color="auto"/>
            <w:bottom w:val="none" w:sz="0" w:space="0" w:color="auto"/>
            <w:right w:val="none" w:sz="0" w:space="0" w:color="auto"/>
          </w:divBdr>
        </w:div>
        <w:div w:id="53895196">
          <w:marLeft w:val="0"/>
          <w:marRight w:val="0"/>
          <w:marTop w:val="0"/>
          <w:marBottom w:val="0"/>
          <w:divBdr>
            <w:top w:val="none" w:sz="0" w:space="0" w:color="auto"/>
            <w:left w:val="none" w:sz="0" w:space="0" w:color="auto"/>
            <w:bottom w:val="none" w:sz="0" w:space="0" w:color="auto"/>
            <w:right w:val="none" w:sz="0" w:space="0" w:color="auto"/>
          </w:divBdr>
        </w:div>
        <w:div w:id="53895211">
          <w:marLeft w:val="0"/>
          <w:marRight w:val="0"/>
          <w:marTop w:val="0"/>
          <w:marBottom w:val="0"/>
          <w:divBdr>
            <w:top w:val="none" w:sz="0" w:space="0" w:color="auto"/>
            <w:left w:val="none" w:sz="0" w:space="0" w:color="auto"/>
            <w:bottom w:val="none" w:sz="0" w:space="0" w:color="auto"/>
            <w:right w:val="none" w:sz="0" w:space="0" w:color="auto"/>
          </w:divBdr>
        </w:div>
        <w:div w:id="53895229">
          <w:marLeft w:val="0"/>
          <w:marRight w:val="0"/>
          <w:marTop w:val="0"/>
          <w:marBottom w:val="0"/>
          <w:divBdr>
            <w:top w:val="none" w:sz="0" w:space="0" w:color="auto"/>
            <w:left w:val="none" w:sz="0" w:space="0" w:color="auto"/>
            <w:bottom w:val="none" w:sz="0" w:space="0" w:color="auto"/>
            <w:right w:val="none" w:sz="0" w:space="0" w:color="auto"/>
          </w:divBdr>
        </w:div>
        <w:div w:id="53895253">
          <w:marLeft w:val="0"/>
          <w:marRight w:val="0"/>
          <w:marTop w:val="0"/>
          <w:marBottom w:val="0"/>
          <w:divBdr>
            <w:top w:val="none" w:sz="0" w:space="0" w:color="auto"/>
            <w:left w:val="none" w:sz="0" w:space="0" w:color="auto"/>
            <w:bottom w:val="none" w:sz="0" w:space="0" w:color="auto"/>
            <w:right w:val="none" w:sz="0" w:space="0" w:color="auto"/>
          </w:divBdr>
        </w:div>
        <w:div w:id="53895287">
          <w:marLeft w:val="0"/>
          <w:marRight w:val="0"/>
          <w:marTop w:val="0"/>
          <w:marBottom w:val="0"/>
          <w:divBdr>
            <w:top w:val="none" w:sz="0" w:space="0" w:color="auto"/>
            <w:left w:val="none" w:sz="0" w:space="0" w:color="auto"/>
            <w:bottom w:val="none" w:sz="0" w:space="0" w:color="auto"/>
            <w:right w:val="none" w:sz="0" w:space="0" w:color="auto"/>
          </w:divBdr>
        </w:div>
        <w:div w:id="53895292">
          <w:marLeft w:val="0"/>
          <w:marRight w:val="0"/>
          <w:marTop w:val="0"/>
          <w:marBottom w:val="0"/>
          <w:divBdr>
            <w:top w:val="none" w:sz="0" w:space="0" w:color="auto"/>
            <w:left w:val="none" w:sz="0" w:space="0" w:color="auto"/>
            <w:bottom w:val="none" w:sz="0" w:space="0" w:color="auto"/>
            <w:right w:val="none" w:sz="0" w:space="0" w:color="auto"/>
          </w:divBdr>
        </w:div>
        <w:div w:id="53895302">
          <w:marLeft w:val="0"/>
          <w:marRight w:val="0"/>
          <w:marTop w:val="0"/>
          <w:marBottom w:val="0"/>
          <w:divBdr>
            <w:top w:val="none" w:sz="0" w:space="0" w:color="auto"/>
            <w:left w:val="none" w:sz="0" w:space="0" w:color="auto"/>
            <w:bottom w:val="none" w:sz="0" w:space="0" w:color="auto"/>
            <w:right w:val="none" w:sz="0" w:space="0" w:color="auto"/>
          </w:divBdr>
        </w:div>
        <w:div w:id="53895323">
          <w:marLeft w:val="0"/>
          <w:marRight w:val="0"/>
          <w:marTop w:val="0"/>
          <w:marBottom w:val="0"/>
          <w:divBdr>
            <w:top w:val="none" w:sz="0" w:space="0" w:color="auto"/>
            <w:left w:val="none" w:sz="0" w:space="0" w:color="auto"/>
            <w:bottom w:val="none" w:sz="0" w:space="0" w:color="auto"/>
            <w:right w:val="none" w:sz="0" w:space="0" w:color="auto"/>
          </w:divBdr>
        </w:div>
      </w:divsChild>
    </w:div>
    <w:div w:id="53895279">
      <w:marLeft w:val="0"/>
      <w:marRight w:val="0"/>
      <w:marTop w:val="0"/>
      <w:marBottom w:val="0"/>
      <w:divBdr>
        <w:top w:val="none" w:sz="0" w:space="0" w:color="auto"/>
        <w:left w:val="none" w:sz="0" w:space="0" w:color="auto"/>
        <w:bottom w:val="none" w:sz="0" w:space="0" w:color="auto"/>
        <w:right w:val="none" w:sz="0" w:space="0" w:color="auto"/>
      </w:divBdr>
      <w:divsChild>
        <w:div w:id="53895149">
          <w:marLeft w:val="0"/>
          <w:marRight w:val="0"/>
          <w:marTop w:val="0"/>
          <w:marBottom w:val="0"/>
          <w:divBdr>
            <w:top w:val="none" w:sz="0" w:space="0" w:color="auto"/>
            <w:left w:val="none" w:sz="0" w:space="0" w:color="auto"/>
            <w:bottom w:val="none" w:sz="0" w:space="0" w:color="auto"/>
            <w:right w:val="none" w:sz="0" w:space="0" w:color="auto"/>
          </w:divBdr>
        </w:div>
        <w:div w:id="53895325">
          <w:marLeft w:val="0"/>
          <w:marRight w:val="0"/>
          <w:marTop w:val="0"/>
          <w:marBottom w:val="0"/>
          <w:divBdr>
            <w:top w:val="none" w:sz="0" w:space="0" w:color="auto"/>
            <w:left w:val="none" w:sz="0" w:space="0" w:color="auto"/>
            <w:bottom w:val="none" w:sz="0" w:space="0" w:color="auto"/>
            <w:right w:val="none" w:sz="0" w:space="0" w:color="auto"/>
          </w:divBdr>
        </w:div>
      </w:divsChild>
    </w:div>
    <w:div w:id="53895297">
      <w:marLeft w:val="0"/>
      <w:marRight w:val="0"/>
      <w:marTop w:val="0"/>
      <w:marBottom w:val="0"/>
      <w:divBdr>
        <w:top w:val="none" w:sz="0" w:space="0" w:color="auto"/>
        <w:left w:val="none" w:sz="0" w:space="0" w:color="auto"/>
        <w:bottom w:val="none" w:sz="0" w:space="0" w:color="auto"/>
        <w:right w:val="none" w:sz="0" w:space="0" w:color="auto"/>
      </w:divBdr>
      <w:divsChild>
        <w:div w:id="53895112">
          <w:marLeft w:val="0"/>
          <w:marRight w:val="0"/>
          <w:marTop w:val="0"/>
          <w:marBottom w:val="0"/>
          <w:divBdr>
            <w:top w:val="none" w:sz="0" w:space="0" w:color="auto"/>
            <w:left w:val="none" w:sz="0" w:space="0" w:color="auto"/>
            <w:bottom w:val="none" w:sz="0" w:space="0" w:color="auto"/>
            <w:right w:val="none" w:sz="0" w:space="0" w:color="auto"/>
          </w:divBdr>
        </w:div>
        <w:div w:id="53895115">
          <w:marLeft w:val="0"/>
          <w:marRight w:val="0"/>
          <w:marTop w:val="0"/>
          <w:marBottom w:val="0"/>
          <w:divBdr>
            <w:top w:val="none" w:sz="0" w:space="0" w:color="auto"/>
            <w:left w:val="none" w:sz="0" w:space="0" w:color="auto"/>
            <w:bottom w:val="none" w:sz="0" w:space="0" w:color="auto"/>
            <w:right w:val="none" w:sz="0" w:space="0" w:color="auto"/>
          </w:divBdr>
        </w:div>
        <w:div w:id="53895121">
          <w:marLeft w:val="0"/>
          <w:marRight w:val="0"/>
          <w:marTop w:val="0"/>
          <w:marBottom w:val="0"/>
          <w:divBdr>
            <w:top w:val="none" w:sz="0" w:space="0" w:color="auto"/>
            <w:left w:val="none" w:sz="0" w:space="0" w:color="auto"/>
            <w:bottom w:val="none" w:sz="0" w:space="0" w:color="auto"/>
            <w:right w:val="none" w:sz="0" w:space="0" w:color="auto"/>
          </w:divBdr>
        </w:div>
        <w:div w:id="53895123">
          <w:marLeft w:val="0"/>
          <w:marRight w:val="0"/>
          <w:marTop w:val="0"/>
          <w:marBottom w:val="0"/>
          <w:divBdr>
            <w:top w:val="none" w:sz="0" w:space="0" w:color="auto"/>
            <w:left w:val="none" w:sz="0" w:space="0" w:color="auto"/>
            <w:bottom w:val="none" w:sz="0" w:space="0" w:color="auto"/>
            <w:right w:val="none" w:sz="0" w:space="0" w:color="auto"/>
          </w:divBdr>
        </w:div>
        <w:div w:id="53895125">
          <w:marLeft w:val="0"/>
          <w:marRight w:val="0"/>
          <w:marTop w:val="0"/>
          <w:marBottom w:val="0"/>
          <w:divBdr>
            <w:top w:val="none" w:sz="0" w:space="0" w:color="auto"/>
            <w:left w:val="none" w:sz="0" w:space="0" w:color="auto"/>
            <w:bottom w:val="none" w:sz="0" w:space="0" w:color="auto"/>
            <w:right w:val="none" w:sz="0" w:space="0" w:color="auto"/>
          </w:divBdr>
        </w:div>
        <w:div w:id="53895151">
          <w:marLeft w:val="0"/>
          <w:marRight w:val="0"/>
          <w:marTop w:val="0"/>
          <w:marBottom w:val="0"/>
          <w:divBdr>
            <w:top w:val="none" w:sz="0" w:space="0" w:color="auto"/>
            <w:left w:val="none" w:sz="0" w:space="0" w:color="auto"/>
            <w:bottom w:val="none" w:sz="0" w:space="0" w:color="auto"/>
            <w:right w:val="none" w:sz="0" w:space="0" w:color="auto"/>
          </w:divBdr>
        </w:div>
        <w:div w:id="53895165">
          <w:marLeft w:val="0"/>
          <w:marRight w:val="0"/>
          <w:marTop w:val="0"/>
          <w:marBottom w:val="0"/>
          <w:divBdr>
            <w:top w:val="none" w:sz="0" w:space="0" w:color="auto"/>
            <w:left w:val="none" w:sz="0" w:space="0" w:color="auto"/>
            <w:bottom w:val="none" w:sz="0" w:space="0" w:color="auto"/>
            <w:right w:val="none" w:sz="0" w:space="0" w:color="auto"/>
          </w:divBdr>
        </w:div>
        <w:div w:id="53895167">
          <w:marLeft w:val="0"/>
          <w:marRight w:val="0"/>
          <w:marTop w:val="0"/>
          <w:marBottom w:val="0"/>
          <w:divBdr>
            <w:top w:val="none" w:sz="0" w:space="0" w:color="auto"/>
            <w:left w:val="none" w:sz="0" w:space="0" w:color="auto"/>
            <w:bottom w:val="none" w:sz="0" w:space="0" w:color="auto"/>
            <w:right w:val="none" w:sz="0" w:space="0" w:color="auto"/>
          </w:divBdr>
        </w:div>
        <w:div w:id="53895209">
          <w:marLeft w:val="0"/>
          <w:marRight w:val="0"/>
          <w:marTop w:val="0"/>
          <w:marBottom w:val="0"/>
          <w:divBdr>
            <w:top w:val="none" w:sz="0" w:space="0" w:color="auto"/>
            <w:left w:val="none" w:sz="0" w:space="0" w:color="auto"/>
            <w:bottom w:val="none" w:sz="0" w:space="0" w:color="auto"/>
            <w:right w:val="none" w:sz="0" w:space="0" w:color="auto"/>
          </w:divBdr>
        </w:div>
        <w:div w:id="53895244">
          <w:marLeft w:val="0"/>
          <w:marRight w:val="0"/>
          <w:marTop w:val="0"/>
          <w:marBottom w:val="0"/>
          <w:divBdr>
            <w:top w:val="none" w:sz="0" w:space="0" w:color="auto"/>
            <w:left w:val="none" w:sz="0" w:space="0" w:color="auto"/>
            <w:bottom w:val="none" w:sz="0" w:space="0" w:color="auto"/>
            <w:right w:val="none" w:sz="0" w:space="0" w:color="auto"/>
          </w:divBdr>
        </w:div>
        <w:div w:id="53895261">
          <w:marLeft w:val="0"/>
          <w:marRight w:val="0"/>
          <w:marTop w:val="0"/>
          <w:marBottom w:val="0"/>
          <w:divBdr>
            <w:top w:val="none" w:sz="0" w:space="0" w:color="auto"/>
            <w:left w:val="none" w:sz="0" w:space="0" w:color="auto"/>
            <w:bottom w:val="none" w:sz="0" w:space="0" w:color="auto"/>
            <w:right w:val="none" w:sz="0" w:space="0" w:color="auto"/>
          </w:divBdr>
        </w:div>
        <w:div w:id="53895267">
          <w:marLeft w:val="0"/>
          <w:marRight w:val="0"/>
          <w:marTop w:val="0"/>
          <w:marBottom w:val="0"/>
          <w:divBdr>
            <w:top w:val="none" w:sz="0" w:space="0" w:color="auto"/>
            <w:left w:val="none" w:sz="0" w:space="0" w:color="auto"/>
            <w:bottom w:val="none" w:sz="0" w:space="0" w:color="auto"/>
            <w:right w:val="none" w:sz="0" w:space="0" w:color="auto"/>
          </w:divBdr>
        </w:div>
        <w:div w:id="53895306">
          <w:marLeft w:val="0"/>
          <w:marRight w:val="0"/>
          <w:marTop w:val="0"/>
          <w:marBottom w:val="0"/>
          <w:divBdr>
            <w:top w:val="none" w:sz="0" w:space="0" w:color="auto"/>
            <w:left w:val="none" w:sz="0" w:space="0" w:color="auto"/>
            <w:bottom w:val="none" w:sz="0" w:space="0" w:color="auto"/>
            <w:right w:val="none" w:sz="0" w:space="0" w:color="auto"/>
          </w:divBdr>
        </w:div>
      </w:divsChild>
    </w:div>
    <w:div w:id="53895298">
      <w:marLeft w:val="0"/>
      <w:marRight w:val="0"/>
      <w:marTop w:val="0"/>
      <w:marBottom w:val="0"/>
      <w:divBdr>
        <w:top w:val="none" w:sz="0" w:space="0" w:color="auto"/>
        <w:left w:val="none" w:sz="0" w:space="0" w:color="auto"/>
        <w:bottom w:val="none" w:sz="0" w:space="0" w:color="auto"/>
        <w:right w:val="none" w:sz="0" w:space="0" w:color="auto"/>
      </w:divBdr>
    </w:div>
    <w:div w:id="53895304">
      <w:marLeft w:val="0"/>
      <w:marRight w:val="0"/>
      <w:marTop w:val="0"/>
      <w:marBottom w:val="0"/>
      <w:divBdr>
        <w:top w:val="none" w:sz="0" w:space="0" w:color="auto"/>
        <w:left w:val="none" w:sz="0" w:space="0" w:color="auto"/>
        <w:bottom w:val="none" w:sz="0" w:space="0" w:color="auto"/>
        <w:right w:val="none" w:sz="0" w:space="0" w:color="auto"/>
      </w:divBdr>
    </w:div>
    <w:div w:id="53895315">
      <w:marLeft w:val="0"/>
      <w:marRight w:val="0"/>
      <w:marTop w:val="0"/>
      <w:marBottom w:val="0"/>
      <w:divBdr>
        <w:top w:val="none" w:sz="0" w:space="0" w:color="auto"/>
        <w:left w:val="none" w:sz="0" w:space="0" w:color="auto"/>
        <w:bottom w:val="none" w:sz="0" w:space="0" w:color="auto"/>
        <w:right w:val="none" w:sz="0" w:space="0" w:color="auto"/>
      </w:divBdr>
      <w:divsChild>
        <w:div w:id="53895091">
          <w:marLeft w:val="0"/>
          <w:marRight w:val="0"/>
          <w:marTop w:val="0"/>
          <w:marBottom w:val="0"/>
          <w:divBdr>
            <w:top w:val="none" w:sz="0" w:space="0" w:color="auto"/>
            <w:left w:val="none" w:sz="0" w:space="0" w:color="auto"/>
            <w:bottom w:val="none" w:sz="0" w:space="0" w:color="auto"/>
            <w:right w:val="none" w:sz="0" w:space="0" w:color="auto"/>
          </w:divBdr>
        </w:div>
        <w:div w:id="53895105">
          <w:marLeft w:val="0"/>
          <w:marRight w:val="0"/>
          <w:marTop w:val="0"/>
          <w:marBottom w:val="0"/>
          <w:divBdr>
            <w:top w:val="none" w:sz="0" w:space="0" w:color="auto"/>
            <w:left w:val="none" w:sz="0" w:space="0" w:color="auto"/>
            <w:bottom w:val="none" w:sz="0" w:space="0" w:color="auto"/>
            <w:right w:val="none" w:sz="0" w:space="0" w:color="auto"/>
          </w:divBdr>
        </w:div>
        <w:div w:id="53895109">
          <w:marLeft w:val="0"/>
          <w:marRight w:val="0"/>
          <w:marTop w:val="0"/>
          <w:marBottom w:val="0"/>
          <w:divBdr>
            <w:top w:val="none" w:sz="0" w:space="0" w:color="auto"/>
            <w:left w:val="none" w:sz="0" w:space="0" w:color="auto"/>
            <w:bottom w:val="none" w:sz="0" w:space="0" w:color="auto"/>
            <w:right w:val="none" w:sz="0" w:space="0" w:color="auto"/>
          </w:divBdr>
        </w:div>
        <w:div w:id="53895124">
          <w:marLeft w:val="0"/>
          <w:marRight w:val="0"/>
          <w:marTop w:val="0"/>
          <w:marBottom w:val="0"/>
          <w:divBdr>
            <w:top w:val="none" w:sz="0" w:space="0" w:color="auto"/>
            <w:left w:val="none" w:sz="0" w:space="0" w:color="auto"/>
            <w:bottom w:val="none" w:sz="0" w:space="0" w:color="auto"/>
            <w:right w:val="none" w:sz="0" w:space="0" w:color="auto"/>
          </w:divBdr>
        </w:div>
        <w:div w:id="53895127">
          <w:marLeft w:val="0"/>
          <w:marRight w:val="0"/>
          <w:marTop w:val="0"/>
          <w:marBottom w:val="0"/>
          <w:divBdr>
            <w:top w:val="none" w:sz="0" w:space="0" w:color="auto"/>
            <w:left w:val="none" w:sz="0" w:space="0" w:color="auto"/>
            <w:bottom w:val="none" w:sz="0" w:space="0" w:color="auto"/>
            <w:right w:val="none" w:sz="0" w:space="0" w:color="auto"/>
          </w:divBdr>
        </w:div>
        <w:div w:id="53895129">
          <w:marLeft w:val="0"/>
          <w:marRight w:val="0"/>
          <w:marTop w:val="0"/>
          <w:marBottom w:val="0"/>
          <w:divBdr>
            <w:top w:val="none" w:sz="0" w:space="0" w:color="auto"/>
            <w:left w:val="none" w:sz="0" w:space="0" w:color="auto"/>
            <w:bottom w:val="none" w:sz="0" w:space="0" w:color="auto"/>
            <w:right w:val="none" w:sz="0" w:space="0" w:color="auto"/>
          </w:divBdr>
        </w:div>
        <w:div w:id="53895134">
          <w:marLeft w:val="0"/>
          <w:marRight w:val="0"/>
          <w:marTop w:val="0"/>
          <w:marBottom w:val="0"/>
          <w:divBdr>
            <w:top w:val="none" w:sz="0" w:space="0" w:color="auto"/>
            <w:left w:val="none" w:sz="0" w:space="0" w:color="auto"/>
            <w:bottom w:val="none" w:sz="0" w:space="0" w:color="auto"/>
            <w:right w:val="none" w:sz="0" w:space="0" w:color="auto"/>
          </w:divBdr>
        </w:div>
        <w:div w:id="53895137">
          <w:marLeft w:val="0"/>
          <w:marRight w:val="0"/>
          <w:marTop w:val="0"/>
          <w:marBottom w:val="0"/>
          <w:divBdr>
            <w:top w:val="none" w:sz="0" w:space="0" w:color="auto"/>
            <w:left w:val="none" w:sz="0" w:space="0" w:color="auto"/>
            <w:bottom w:val="none" w:sz="0" w:space="0" w:color="auto"/>
            <w:right w:val="none" w:sz="0" w:space="0" w:color="auto"/>
          </w:divBdr>
        </w:div>
        <w:div w:id="53895142">
          <w:marLeft w:val="0"/>
          <w:marRight w:val="0"/>
          <w:marTop w:val="0"/>
          <w:marBottom w:val="0"/>
          <w:divBdr>
            <w:top w:val="none" w:sz="0" w:space="0" w:color="auto"/>
            <w:left w:val="none" w:sz="0" w:space="0" w:color="auto"/>
            <w:bottom w:val="none" w:sz="0" w:space="0" w:color="auto"/>
            <w:right w:val="none" w:sz="0" w:space="0" w:color="auto"/>
          </w:divBdr>
        </w:div>
        <w:div w:id="53895143">
          <w:marLeft w:val="0"/>
          <w:marRight w:val="0"/>
          <w:marTop w:val="0"/>
          <w:marBottom w:val="0"/>
          <w:divBdr>
            <w:top w:val="none" w:sz="0" w:space="0" w:color="auto"/>
            <w:left w:val="none" w:sz="0" w:space="0" w:color="auto"/>
            <w:bottom w:val="none" w:sz="0" w:space="0" w:color="auto"/>
            <w:right w:val="none" w:sz="0" w:space="0" w:color="auto"/>
          </w:divBdr>
        </w:div>
        <w:div w:id="53895144">
          <w:marLeft w:val="0"/>
          <w:marRight w:val="0"/>
          <w:marTop w:val="0"/>
          <w:marBottom w:val="0"/>
          <w:divBdr>
            <w:top w:val="none" w:sz="0" w:space="0" w:color="auto"/>
            <w:left w:val="none" w:sz="0" w:space="0" w:color="auto"/>
            <w:bottom w:val="none" w:sz="0" w:space="0" w:color="auto"/>
            <w:right w:val="none" w:sz="0" w:space="0" w:color="auto"/>
          </w:divBdr>
        </w:div>
        <w:div w:id="53895157">
          <w:marLeft w:val="0"/>
          <w:marRight w:val="0"/>
          <w:marTop w:val="0"/>
          <w:marBottom w:val="0"/>
          <w:divBdr>
            <w:top w:val="none" w:sz="0" w:space="0" w:color="auto"/>
            <w:left w:val="none" w:sz="0" w:space="0" w:color="auto"/>
            <w:bottom w:val="none" w:sz="0" w:space="0" w:color="auto"/>
            <w:right w:val="none" w:sz="0" w:space="0" w:color="auto"/>
          </w:divBdr>
        </w:div>
        <w:div w:id="53895162">
          <w:marLeft w:val="0"/>
          <w:marRight w:val="0"/>
          <w:marTop w:val="0"/>
          <w:marBottom w:val="0"/>
          <w:divBdr>
            <w:top w:val="none" w:sz="0" w:space="0" w:color="auto"/>
            <w:left w:val="none" w:sz="0" w:space="0" w:color="auto"/>
            <w:bottom w:val="none" w:sz="0" w:space="0" w:color="auto"/>
            <w:right w:val="none" w:sz="0" w:space="0" w:color="auto"/>
          </w:divBdr>
        </w:div>
        <w:div w:id="53895164">
          <w:marLeft w:val="0"/>
          <w:marRight w:val="0"/>
          <w:marTop w:val="0"/>
          <w:marBottom w:val="0"/>
          <w:divBdr>
            <w:top w:val="none" w:sz="0" w:space="0" w:color="auto"/>
            <w:left w:val="none" w:sz="0" w:space="0" w:color="auto"/>
            <w:bottom w:val="none" w:sz="0" w:space="0" w:color="auto"/>
            <w:right w:val="none" w:sz="0" w:space="0" w:color="auto"/>
          </w:divBdr>
        </w:div>
        <w:div w:id="53895179">
          <w:marLeft w:val="0"/>
          <w:marRight w:val="0"/>
          <w:marTop w:val="0"/>
          <w:marBottom w:val="0"/>
          <w:divBdr>
            <w:top w:val="none" w:sz="0" w:space="0" w:color="auto"/>
            <w:left w:val="none" w:sz="0" w:space="0" w:color="auto"/>
            <w:bottom w:val="none" w:sz="0" w:space="0" w:color="auto"/>
            <w:right w:val="none" w:sz="0" w:space="0" w:color="auto"/>
          </w:divBdr>
        </w:div>
        <w:div w:id="53895180">
          <w:marLeft w:val="0"/>
          <w:marRight w:val="0"/>
          <w:marTop w:val="0"/>
          <w:marBottom w:val="0"/>
          <w:divBdr>
            <w:top w:val="none" w:sz="0" w:space="0" w:color="auto"/>
            <w:left w:val="none" w:sz="0" w:space="0" w:color="auto"/>
            <w:bottom w:val="none" w:sz="0" w:space="0" w:color="auto"/>
            <w:right w:val="none" w:sz="0" w:space="0" w:color="auto"/>
          </w:divBdr>
        </w:div>
        <w:div w:id="53895187">
          <w:marLeft w:val="0"/>
          <w:marRight w:val="0"/>
          <w:marTop w:val="0"/>
          <w:marBottom w:val="0"/>
          <w:divBdr>
            <w:top w:val="none" w:sz="0" w:space="0" w:color="auto"/>
            <w:left w:val="none" w:sz="0" w:space="0" w:color="auto"/>
            <w:bottom w:val="none" w:sz="0" w:space="0" w:color="auto"/>
            <w:right w:val="none" w:sz="0" w:space="0" w:color="auto"/>
          </w:divBdr>
        </w:div>
        <w:div w:id="53895200">
          <w:marLeft w:val="0"/>
          <w:marRight w:val="0"/>
          <w:marTop w:val="0"/>
          <w:marBottom w:val="0"/>
          <w:divBdr>
            <w:top w:val="none" w:sz="0" w:space="0" w:color="auto"/>
            <w:left w:val="none" w:sz="0" w:space="0" w:color="auto"/>
            <w:bottom w:val="none" w:sz="0" w:space="0" w:color="auto"/>
            <w:right w:val="none" w:sz="0" w:space="0" w:color="auto"/>
          </w:divBdr>
        </w:div>
        <w:div w:id="53895204">
          <w:marLeft w:val="0"/>
          <w:marRight w:val="0"/>
          <w:marTop w:val="0"/>
          <w:marBottom w:val="0"/>
          <w:divBdr>
            <w:top w:val="none" w:sz="0" w:space="0" w:color="auto"/>
            <w:left w:val="none" w:sz="0" w:space="0" w:color="auto"/>
            <w:bottom w:val="none" w:sz="0" w:space="0" w:color="auto"/>
            <w:right w:val="none" w:sz="0" w:space="0" w:color="auto"/>
          </w:divBdr>
        </w:div>
        <w:div w:id="53895212">
          <w:marLeft w:val="0"/>
          <w:marRight w:val="0"/>
          <w:marTop w:val="0"/>
          <w:marBottom w:val="0"/>
          <w:divBdr>
            <w:top w:val="none" w:sz="0" w:space="0" w:color="auto"/>
            <w:left w:val="none" w:sz="0" w:space="0" w:color="auto"/>
            <w:bottom w:val="none" w:sz="0" w:space="0" w:color="auto"/>
            <w:right w:val="none" w:sz="0" w:space="0" w:color="auto"/>
          </w:divBdr>
        </w:div>
        <w:div w:id="53895216">
          <w:marLeft w:val="0"/>
          <w:marRight w:val="0"/>
          <w:marTop w:val="0"/>
          <w:marBottom w:val="0"/>
          <w:divBdr>
            <w:top w:val="none" w:sz="0" w:space="0" w:color="auto"/>
            <w:left w:val="none" w:sz="0" w:space="0" w:color="auto"/>
            <w:bottom w:val="none" w:sz="0" w:space="0" w:color="auto"/>
            <w:right w:val="none" w:sz="0" w:space="0" w:color="auto"/>
          </w:divBdr>
        </w:div>
        <w:div w:id="53895222">
          <w:marLeft w:val="0"/>
          <w:marRight w:val="0"/>
          <w:marTop w:val="0"/>
          <w:marBottom w:val="0"/>
          <w:divBdr>
            <w:top w:val="none" w:sz="0" w:space="0" w:color="auto"/>
            <w:left w:val="none" w:sz="0" w:space="0" w:color="auto"/>
            <w:bottom w:val="none" w:sz="0" w:space="0" w:color="auto"/>
            <w:right w:val="none" w:sz="0" w:space="0" w:color="auto"/>
          </w:divBdr>
        </w:div>
        <w:div w:id="53895241">
          <w:marLeft w:val="0"/>
          <w:marRight w:val="0"/>
          <w:marTop w:val="0"/>
          <w:marBottom w:val="0"/>
          <w:divBdr>
            <w:top w:val="none" w:sz="0" w:space="0" w:color="auto"/>
            <w:left w:val="none" w:sz="0" w:space="0" w:color="auto"/>
            <w:bottom w:val="none" w:sz="0" w:space="0" w:color="auto"/>
            <w:right w:val="none" w:sz="0" w:space="0" w:color="auto"/>
          </w:divBdr>
        </w:div>
        <w:div w:id="53895245">
          <w:marLeft w:val="0"/>
          <w:marRight w:val="0"/>
          <w:marTop w:val="0"/>
          <w:marBottom w:val="0"/>
          <w:divBdr>
            <w:top w:val="none" w:sz="0" w:space="0" w:color="auto"/>
            <w:left w:val="none" w:sz="0" w:space="0" w:color="auto"/>
            <w:bottom w:val="none" w:sz="0" w:space="0" w:color="auto"/>
            <w:right w:val="none" w:sz="0" w:space="0" w:color="auto"/>
          </w:divBdr>
        </w:div>
        <w:div w:id="53895254">
          <w:marLeft w:val="0"/>
          <w:marRight w:val="0"/>
          <w:marTop w:val="0"/>
          <w:marBottom w:val="0"/>
          <w:divBdr>
            <w:top w:val="none" w:sz="0" w:space="0" w:color="auto"/>
            <w:left w:val="none" w:sz="0" w:space="0" w:color="auto"/>
            <w:bottom w:val="none" w:sz="0" w:space="0" w:color="auto"/>
            <w:right w:val="none" w:sz="0" w:space="0" w:color="auto"/>
          </w:divBdr>
        </w:div>
        <w:div w:id="53895258">
          <w:marLeft w:val="0"/>
          <w:marRight w:val="0"/>
          <w:marTop w:val="0"/>
          <w:marBottom w:val="0"/>
          <w:divBdr>
            <w:top w:val="none" w:sz="0" w:space="0" w:color="auto"/>
            <w:left w:val="none" w:sz="0" w:space="0" w:color="auto"/>
            <w:bottom w:val="none" w:sz="0" w:space="0" w:color="auto"/>
            <w:right w:val="none" w:sz="0" w:space="0" w:color="auto"/>
          </w:divBdr>
        </w:div>
        <w:div w:id="53895260">
          <w:marLeft w:val="0"/>
          <w:marRight w:val="0"/>
          <w:marTop w:val="0"/>
          <w:marBottom w:val="0"/>
          <w:divBdr>
            <w:top w:val="none" w:sz="0" w:space="0" w:color="auto"/>
            <w:left w:val="none" w:sz="0" w:space="0" w:color="auto"/>
            <w:bottom w:val="none" w:sz="0" w:space="0" w:color="auto"/>
            <w:right w:val="none" w:sz="0" w:space="0" w:color="auto"/>
          </w:divBdr>
        </w:div>
        <w:div w:id="53895263">
          <w:marLeft w:val="0"/>
          <w:marRight w:val="0"/>
          <w:marTop w:val="0"/>
          <w:marBottom w:val="0"/>
          <w:divBdr>
            <w:top w:val="none" w:sz="0" w:space="0" w:color="auto"/>
            <w:left w:val="none" w:sz="0" w:space="0" w:color="auto"/>
            <w:bottom w:val="none" w:sz="0" w:space="0" w:color="auto"/>
            <w:right w:val="none" w:sz="0" w:space="0" w:color="auto"/>
          </w:divBdr>
        </w:div>
        <w:div w:id="53895274">
          <w:marLeft w:val="0"/>
          <w:marRight w:val="0"/>
          <w:marTop w:val="0"/>
          <w:marBottom w:val="0"/>
          <w:divBdr>
            <w:top w:val="none" w:sz="0" w:space="0" w:color="auto"/>
            <w:left w:val="none" w:sz="0" w:space="0" w:color="auto"/>
            <w:bottom w:val="none" w:sz="0" w:space="0" w:color="auto"/>
            <w:right w:val="none" w:sz="0" w:space="0" w:color="auto"/>
          </w:divBdr>
        </w:div>
        <w:div w:id="53895284">
          <w:marLeft w:val="0"/>
          <w:marRight w:val="0"/>
          <w:marTop w:val="0"/>
          <w:marBottom w:val="0"/>
          <w:divBdr>
            <w:top w:val="none" w:sz="0" w:space="0" w:color="auto"/>
            <w:left w:val="none" w:sz="0" w:space="0" w:color="auto"/>
            <w:bottom w:val="none" w:sz="0" w:space="0" w:color="auto"/>
            <w:right w:val="none" w:sz="0" w:space="0" w:color="auto"/>
          </w:divBdr>
        </w:div>
        <w:div w:id="53895294">
          <w:marLeft w:val="0"/>
          <w:marRight w:val="0"/>
          <w:marTop w:val="0"/>
          <w:marBottom w:val="0"/>
          <w:divBdr>
            <w:top w:val="none" w:sz="0" w:space="0" w:color="auto"/>
            <w:left w:val="none" w:sz="0" w:space="0" w:color="auto"/>
            <w:bottom w:val="none" w:sz="0" w:space="0" w:color="auto"/>
            <w:right w:val="none" w:sz="0" w:space="0" w:color="auto"/>
          </w:divBdr>
        </w:div>
        <w:div w:id="53895303">
          <w:marLeft w:val="0"/>
          <w:marRight w:val="0"/>
          <w:marTop w:val="0"/>
          <w:marBottom w:val="0"/>
          <w:divBdr>
            <w:top w:val="none" w:sz="0" w:space="0" w:color="auto"/>
            <w:left w:val="none" w:sz="0" w:space="0" w:color="auto"/>
            <w:bottom w:val="none" w:sz="0" w:space="0" w:color="auto"/>
            <w:right w:val="none" w:sz="0" w:space="0" w:color="auto"/>
          </w:divBdr>
        </w:div>
        <w:div w:id="53895308">
          <w:marLeft w:val="0"/>
          <w:marRight w:val="0"/>
          <w:marTop w:val="0"/>
          <w:marBottom w:val="0"/>
          <w:divBdr>
            <w:top w:val="none" w:sz="0" w:space="0" w:color="auto"/>
            <w:left w:val="none" w:sz="0" w:space="0" w:color="auto"/>
            <w:bottom w:val="none" w:sz="0" w:space="0" w:color="auto"/>
            <w:right w:val="none" w:sz="0" w:space="0" w:color="auto"/>
          </w:divBdr>
        </w:div>
        <w:div w:id="53895310">
          <w:marLeft w:val="0"/>
          <w:marRight w:val="0"/>
          <w:marTop w:val="0"/>
          <w:marBottom w:val="0"/>
          <w:divBdr>
            <w:top w:val="none" w:sz="0" w:space="0" w:color="auto"/>
            <w:left w:val="none" w:sz="0" w:space="0" w:color="auto"/>
            <w:bottom w:val="none" w:sz="0" w:space="0" w:color="auto"/>
            <w:right w:val="none" w:sz="0" w:space="0" w:color="auto"/>
          </w:divBdr>
        </w:div>
        <w:div w:id="53895311">
          <w:marLeft w:val="0"/>
          <w:marRight w:val="0"/>
          <w:marTop w:val="0"/>
          <w:marBottom w:val="0"/>
          <w:divBdr>
            <w:top w:val="none" w:sz="0" w:space="0" w:color="auto"/>
            <w:left w:val="none" w:sz="0" w:space="0" w:color="auto"/>
            <w:bottom w:val="none" w:sz="0" w:space="0" w:color="auto"/>
            <w:right w:val="none" w:sz="0" w:space="0" w:color="auto"/>
          </w:divBdr>
        </w:div>
      </w:divsChild>
    </w:div>
    <w:div w:id="53895316">
      <w:marLeft w:val="0"/>
      <w:marRight w:val="0"/>
      <w:marTop w:val="0"/>
      <w:marBottom w:val="0"/>
      <w:divBdr>
        <w:top w:val="none" w:sz="0" w:space="0" w:color="auto"/>
        <w:left w:val="none" w:sz="0" w:space="0" w:color="auto"/>
        <w:bottom w:val="none" w:sz="0" w:space="0" w:color="auto"/>
        <w:right w:val="none" w:sz="0" w:space="0" w:color="auto"/>
      </w:divBdr>
    </w:div>
    <w:div w:id="53895324">
      <w:marLeft w:val="0"/>
      <w:marRight w:val="0"/>
      <w:marTop w:val="0"/>
      <w:marBottom w:val="0"/>
      <w:divBdr>
        <w:top w:val="none" w:sz="0" w:space="0" w:color="auto"/>
        <w:left w:val="none" w:sz="0" w:space="0" w:color="auto"/>
        <w:bottom w:val="none" w:sz="0" w:space="0" w:color="auto"/>
        <w:right w:val="none" w:sz="0" w:space="0" w:color="auto"/>
      </w:divBdr>
      <w:divsChild>
        <w:div w:id="53895096">
          <w:marLeft w:val="0"/>
          <w:marRight w:val="0"/>
          <w:marTop w:val="0"/>
          <w:marBottom w:val="0"/>
          <w:divBdr>
            <w:top w:val="none" w:sz="0" w:space="0" w:color="auto"/>
            <w:left w:val="none" w:sz="0" w:space="0" w:color="auto"/>
            <w:bottom w:val="none" w:sz="0" w:space="0" w:color="auto"/>
            <w:right w:val="none" w:sz="0" w:space="0" w:color="auto"/>
          </w:divBdr>
        </w:div>
        <w:div w:id="53895106">
          <w:marLeft w:val="0"/>
          <w:marRight w:val="0"/>
          <w:marTop w:val="0"/>
          <w:marBottom w:val="0"/>
          <w:divBdr>
            <w:top w:val="none" w:sz="0" w:space="0" w:color="auto"/>
            <w:left w:val="none" w:sz="0" w:space="0" w:color="auto"/>
            <w:bottom w:val="none" w:sz="0" w:space="0" w:color="auto"/>
            <w:right w:val="none" w:sz="0" w:space="0" w:color="auto"/>
          </w:divBdr>
        </w:div>
        <w:div w:id="53895113">
          <w:marLeft w:val="0"/>
          <w:marRight w:val="0"/>
          <w:marTop w:val="0"/>
          <w:marBottom w:val="0"/>
          <w:divBdr>
            <w:top w:val="none" w:sz="0" w:space="0" w:color="auto"/>
            <w:left w:val="none" w:sz="0" w:space="0" w:color="auto"/>
            <w:bottom w:val="none" w:sz="0" w:space="0" w:color="auto"/>
            <w:right w:val="none" w:sz="0" w:space="0" w:color="auto"/>
          </w:divBdr>
        </w:div>
        <w:div w:id="53895140">
          <w:marLeft w:val="0"/>
          <w:marRight w:val="0"/>
          <w:marTop w:val="0"/>
          <w:marBottom w:val="0"/>
          <w:divBdr>
            <w:top w:val="none" w:sz="0" w:space="0" w:color="auto"/>
            <w:left w:val="none" w:sz="0" w:space="0" w:color="auto"/>
            <w:bottom w:val="none" w:sz="0" w:space="0" w:color="auto"/>
            <w:right w:val="none" w:sz="0" w:space="0" w:color="auto"/>
          </w:divBdr>
        </w:div>
        <w:div w:id="53895146">
          <w:marLeft w:val="0"/>
          <w:marRight w:val="0"/>
          <w:marTop w:val="0"/>
          <w:marBottom w:val="0"/>
          <w:divBdr>
            <w:top w:val="none" w:sz="0" w:space="0" w:color="auto"/>
            <w:left w:val="none" w:sz="0" w:space="0" w:color="auto"/>
            <w:bottom w:val="none" w:sz="0" w:space="0" w:color="auto"/>
            <w:right w:val="none" w:sz="0" w:space="0" w:color="auto"/>
          </w:divBdr>
        </w:div>
        <w:div w:id="53895172">
          <w:marLeft w:val="0"/>
          <w:marRight w:val="0"/>
          <w:marTop w:val="0"/>
          <w:marBottom w:val="0"/>
          <w:divBdr>
            <w:top w:val="none" w:sz="0" w:space="0" w:color="auto"/>
            <w:left w:val="none" w:sz="0" w:space="0" w:color="auto"/>
            <w:bottom w:val="none" w:sz="0" w:space="0" w:color="auto"/>
            <w:right w:val="none" w:sz="0" w:space="0" w:color="auto"/>
          </w:divBdr>
        </w:div>
        <w:div w:id="53895183">
          <w:marLeft w:val="0"/>
          <w:marRight w:val="0"/>
          <w:marTop w:val="0"/>
          <w:marBottom w:val="0"/>
          <w:divBdr>
            <w:top w:val="none" w:sz="0" w:space="0" w:color="auto"/>
            <w:left w:val="none" w:sz="0" w:space="0" w:color="auto"/>
            <w:bottom w:val="none" w:sz="0" w:space="0" w:color="auto"/>
            <w:right w:val="none" w:sz="0" w:space="0" w:color="auto"/>
          </w:divBdr>
        </w:div>
        <w:div w:id="53895192">
          <w:marLeft w:val="0"/>
          <w:marRight w:val="0"/>
          <w:marTop w:val="0"/>
          <w:marBottom w:val="0"/>
          <w:divBdr>
            <w:top w:val="none" w:sz="0" w:space="0" w:color="auto"/>
            <w:left w:val="none" w:sz="0" w:space="0" w:color="auto"/>
            <w:bottom w:val="none" w:sz="0" w:space="0" w:color="auto"/>
            <w:right w:val="none" w:sz="0" w:space="0" w:color="auto"/>
          </w:divBdr>
        </w:div>
        <w:div w:id="53895215">
          <w:marLeft w:val="0"/>
          <w:marRight w:val="0"/>
          <w:marTop w:val="0"/>
          <w:marBottom w:val="0"/>
          <w:divBdr>
            <w:top w:val="none" w:sz="0" w:space="0" w:color="auto"/>
            <w:left w:val="none" w:sz="0" w:space="0" w:color="auto"/>
            <w:bottom w:val="none" w:sz="0" w:space="0" w:color="auto"/>
            <w:right w:val="none" w:sz="0" w:space="0" w:color="auto"/>
          </w:divBdr>
        </w:div>
        <w:div w:id="53895217">
          <w:marLeft w:val="0"/>
          <w:marRight w:val="0"/>
          <w:marTop w:val="0"/>
          <w:marBottom w:val="0"/>
          <w:divBdr>
            <w:top w:val="none" w:sz="0" w:space="0" w:color="auto"/>
            <w:left w:val="none" w:sz="0" w:space="0" w:color="auto"/>
            <w:bottom w:val="none" w:sz="0" w:space="0" w:color="auto"/>
            <w:right w:val="none" w:sz="0" w:space="0" w:color="auto"/>
          </w:divBdr>
        </w:div>
        <w:div w:id="53895235">
          <w:marLeft w:val="0"/>
          <w:marRight w:val="0"/>
          <w:marTop w:val="0"/>
          <w:marBottom w:val="0"/>
          <w:divBdr>
            <w:top w:val="none" w:sz="0" w:space="0" w:color="auto"/>
            <w:left w:val="none" w:sz="0" w:space="0" w:color="auto"/>
            <w:bottom w:val="none" w:sz="0" w:space="0" w:color="auto"/>
            <w:right w:val="none" w:sz="0" w:space="0" w:color="auto"/>
          </w:divBdr>
        </w:div>
        <w:div w:id="53895237">
          <w:marLeft w:val="0"/>
          <w:marRight w:val="0"/>
          <w:marTop w:val="0"/>
          <w:marBottom w:val="0"/>
          <w:divBdr>
            <w:top w:val="none" w:sz="0" w:space="0" w:color="auto"/>
            <w:left w:val="none" w:sz="0" w:space="0" w:color="auto"/>
            <w:bottom w:val="none" w:sz="0" w:space="0" w:color="auto"/>
            <w:right w:val="none" w:sz="0" w:space="0" w:color="auto"/>
          </w:divBdr>
        </w:div>
        <w:div w:id="53895262">
          <w:marLeft w:val="0"/>
          <w:marRight w:val="0"/>
          <w:marTop w:val="0"/>
          <w:marBottom w:val="0"/>
          <w:divBdr>
            <w:top w:val="none" w:sz="0" w:space="0" w:color="auto"/>
            <w:left w:val="none" w:sz="0" w:space="0" w:color="auto"/>
            <w:bottom w:val="none" w:sz="0" w:space="0" w:color="auto"/>
            <w:right w:val="none" w:sz="0" w:space="0" w:color="auto"/>
          </w:divBdr>
        </w:div>
        <w:div w:id="53895266">
          <w:marLeft w:val="0"/>
          <w:marRight w:val="0"/>
          <w:marTop w:val="0"/>
          <w:marBottom w:val="0"/>
          <w:divBdr>
            <w:top w:val="none" w:sz="0" w:space="0" w:color="auto"/>
            <w:left w:val="none" w:sz="0" w:space="0" w:color="auto"/>
            <w:bottom w:val="none" w:sz="0" w:space="0" w:color="auto"/>
            <w:right w:val="none" w:sz="0" w:space="0" w:color="auto"/>
          </w:divBdr>
        </w:div>
        <w:div w:id="53895281">
          <w:marLeft w:val="0"/>
          <w:marRight w:val="0"/>
          <w:marTop w:val="0"/>
          <w:marBottom w:val="0"/>
          <w:divBdr>
            <w:top w:val="none" w:sz="0" w:space="0" w:color="auto"/>
            <w:left w:val="none" w:sz="0" w:space="0" w:color="auto"/>
            <w:bottom w:val="none" w:sz="0" w:space="0" w:color="auto"/>
            <w:right w:val="none" w:sz="0" w:space="0" w:color="auto"/>
          </w:divBdr>
        </w:div>
        <w:div w:id="53895295">
          <w:marLeft w:val="0"/>
          <w:marRight w:val="0"/>
          <w:marTop w:val="0"/>
          <w:marBottom w:val="0"/>
          <w:divBdr>
            <w:top w:val="none" w:sz="0" w:space="0" w:color="auto"/>
            <w:left w:val="none" w:sz="0" w:space="0" w:color="auto"/>
            <w:bottom w:val="none" w:sz="0" w:space="0" w:color="auto"/>
            <w:right w:val="none" w:sz="0" w:space="0" w:color="auto"/>
          </w:divBdr>
        </w:div>
        <w:div w:id="53895327">
          <w:marLeft w:val="0"/>
          <w:marRight w:val="0"/>
          <w:marTop w:val="0"/>
          <w:marBottom w:val="0"/>
          <w:divBdr>
            <w:top w:val="none" w:sz="0" w:space="0" w:color="auto"/>
            <w:left w:val="none" w:sz="0" w:space="0" w:color="auto"/>
            <w:bottom w:val="none" w:sz="0" w:space="0" w:color="auto"/>
            <w:right w:val="none" w:sz="0" w:space="0" w:color="auto"/>
          </w:divBdr>
        </w:div>
        <w:div w:id="53895331">
          <w:marLeft w:val="0"/>
          <w:marRight w:val="0"/>
          <w:marTop w:val="0"/>
          <w:marBottom w:val="0"/>
          <w:divBdr>
            <w:top w:val="none" w:sz="0" w:space="0" w:color="auto"/>
            <w:left w:val="none" w:sz="0" w:space="0" w:color="auto"/>
            <w:bottom w:val="none" w:sz="0" w:space="0" w:color="auto"/>
            <w:right w:val="none" w:sz="0" w:space="0" w:color="auto"/>
          </w:divBdr>
        </w:div>
      </w:divsChild>
    </w:div>
    <w:div w:id="53895326">
      <w:marLeft w:val="0"/>
      <w:marRight w:val="0"/>
      <w:marTop w:val="0"/>
      <w:marBottom w:val="0"/>
      <w:divBdr>
        <w:top w:val="none" w:sz="0" w:space="0" w:color="auto"/>
        <w:left w:val="none" w:sz="0" w:space="0" w:color="auto"/>
        <w:bottom w:val="none" w:sz="0" w:space="0" w:color="auto"/>
        <w:right w:val="none" w:sz="0" w:space="0" w:color="auto"/>
      </w:divBdr>
      <w:divsChild>
        <w:div w:id="53895104">
          <w:marLeft w:val="0"/>
          <w:marRight w:val="0"/>
          <w:marTop w:val="0"/>
          <w:marBottom w:val="0"/>
          <w:divBdr>
            <w:top w:val="none" w:sz="0" w:space="0" w:color="auto"/>
            <w:left w:val="none" w:sz="0" w:space="0" w:color="auto"/>
            <w:bottom w:val="none" w:sz="0" w:space="0" w:color="auto"/>
            <w:right w:val="none" w:sz="0" w:space="0" w:color="auto"/>
          </w:divBdr>
        </w:div>
        <w:div w:id="53895118">
          <w:marLeft w:val="0"/>
          <w:marRight w:val="0"/>
          <w:marTop w:val="0"/>
          <w:marBottom w:val="0"/>
          <w:divBdr>
            <w:top w:val="none" w:sz="0" w:space="0" w:color="auto"/>
            <w:left w:val="none" w:sz="0" w:space="0" w:color="auto"/>
            <w:bottom w:val="none" w:sz="0" w:space="0" w:color="auto"/>
            <w:right w:val="none" w:sz="0" w:space="0" w:color="auto"/>
          </w:divBdr>
        </w:div>
        <w:div w:id="53895119">
          <w:marLeft w:val="0"/>
          <w:marRight w:val="0"/>
          <w:marTop w:val="0"/>
          <w:marBottom w:val="0"/>
          <w:divBdr>
            <w:top w:val="none" w:sz="0" w:space="0" w:color="auto"/>
            <w:left w:val="none" w:sz="0" w:space="0" w:color="auto"/>
            <w:bottom w:val="none" w:sz="0" w:space="0" w:color="auto"/>
            <w:right w:val="none" w:sz="0" w:space="0" w:color="auto"/>
          </w:divBdr>
        </w:div>
        <w:div w:id="53895120">
          <w:marLeft w:val="0"/>
          <w:marRight w:val="0"/>
          <w:marTop w:val="0"/>
          <w:marBottom w:val="0"/>
          <w:divBdr>
            <w:top w:val="none" w:sz="0" w:space="0" w:color="auto"/>
            <w:left w:val="none" w:sz="0" w:space="0" w:color="auto"/>
            <w:bottom w:val="none" w:sz="0" w:space="0" w:color="auto"/>
            <w:right w:val="none" w:sz="0" w:space="0" w:color="auto"/>
          </w:divBdr>
        </w:div>
        <w:div w:id="53895122">
          <w:marLeft w:val="0"/>
          <w:marRight w:val="0"/>
          <w:marTop w:val="0"/>
          <w:marBottom w:val="0"/>
          <w:divBdr>
            <w:top w:val="none" w:sz="0" w:space="0" w:color="auto"/>
            <w:left w:val="none" w:sz="0" w:space="0" w:color="auto"/>
            <w:bottom w:val="none" w:sz="0" w:space="0" w:color="auto"/>
            <w:right w:val="none" w:sz="0" w:space="0" w:color="auto"/>
          </w:divBdr>
        </w:div>
        <w:div w:id="53895138">
          <w:marLeft w:val="0"/>
          <w:marRight w:val="0"/>
          <w:marTop w:val="0"/>
          <w:marBottom w:val="0"/>
          <w:divBdr>
            <w:top w:val="none" w:sz="0" w:space="0" w:color="auto"/>
            <w:left w:val="none" w:sz="0" w:space="0" w:color="auto"/>
            <w:bottom w:val="none" w:sz="0" w:space="0" w:color="auto"/>
            <w:right w:val="none" w:sz="0" w:space="0" w:color="auto"/>
          </w:divBdr>
        </w:div>
        <w:div w:id="53895156">
          <w:marLeft w:val="0"/>
          <w:marRight w:val="0"/>
          <w:marTop w:val="0"/>
          <w:marBottom w:val="0"/>
          <w:divBdr>
            <w:top w:val="none" w:sz="0" w:space="0" w:color="auto"/>
            <w:left w:val="none" w:sz="0" w:space="0" w:color="auto"/>
            <w:bottom w:val="none" w:sz="0" w:space="0" w:color="auto"/>
            <w:right w:val="none" w:sz="0" w:space="0" w:color="auto"/>
          </w:divBdr>
        </w:div>
        <w:div w:id="53895169">
          <w:marLeft w:val="0"/>
          <w:marRight w:val="0"/>
          <w:marTop w:val="0"/>
          <w:marBottom w:val="0"/>
          <w:divBdr>
            <w:top w:val="none" w:sz="0" w:space="0" w:color="auto"/>
            <w:left w:val="none" w:sz="0" w:space="0" w:color="auto"/>
            <w:bottom w:val="none" w:sz="0" w:space="0" w:color="auto"/>
            <w:right w:val="none" w:sz="0" w:space="0" w:color="auto"/>
          </w:divBdr>
        </w:div>
        <w:div w:id="53895188">
          <w:marLeft w:val="0"/>
          <w:marRight w:val="0"/>
          <w:marTop w:val="0"/>
          <w:marBottom w:val="0"/>
          <w:divBdr>
            <w:top w:val="none" w:sz="0" w:space="0" w:color="auto"/>
            <w:left w:val="none" w:sz="0" w:space="0" w:color="auto"/>
            <w:bottom w:val="none" w:sz="0" w:space="0" w:color="auto"/>
            <w:right w:val="none" w:sz="0" w:space="0" w:color="auto"/>
          </w:divBdr>
        </w:div>
        <w:div w:id="53895202">
          <w:marLeft w:val="0"/>
          <w:marRight w:val="0"/>
          <w:marTop w:val="0"/>
          <w:marBottom w:val="0"/>
          <w:divBdr>
            <w:top w:val="none" w:sz="0" w:space="0" w:color="auto"/>
            <w:left w:val="none" w:sz="0" w:space="0" w:color="auto"/>
            <w:bottom w:val="none" w:sz="0" w:space="0" w:color="auto"/>
            <w:right w:val="none" w:sz="0" w:space="0" w:color="auto"/>
          </w:divBdr>
        </w:div>
        <w:div w:id="53895233">
          <w:marLeft w:val="0"/>
          <w:marRight w:val="0"/>
          <w:marTop w:val="0"/>
          <w:marBottom w:val="0"/>
          <w:divBdr>
            <w:top w:val="none" w:sz="0" w:space="0" w:color="auto"/>
            <w:left w:val="none" w:sz="0" w:space="0" w:color="auto"/>
            <w:bottom w:val="none" w:sz="0" w:space="0" w:color="auto"/>
            <w:right w:val="none" w:sz="0" w:space="0" w:color="auto"/>
          </w:divBdr>
        </w:div>
        <w:div w:id="53895247">
          <w:marLeft w:val="0"/>
          <w:marRight w:val="0"/>
          <w:marTop w:val="0"/>
          <w:marBottom w:val="0"/>
          <w:divBdr>
            <w:top w:val="none" w:sz="0" w:space="0" w:color="auto"/>
            <w:left w:val="none" w:sz="0" w:space="0" w:color="auto"/>
            <w:bottom w:val="none" w:sz="0" w:space="0" w:color="auto"/>
            <w:right w:val="none" w:sz="0" w:space="0" w:color="auto"/>
          </w:divBdr>
        </w:div>
        <w:div w:id="53895257">
          <w:marLeft w:val="0"/>
          <w:marRight w:val="0"/>
          <w:marTop w:val="0"/>
          <w:marBottom w:val="0"/>
          <w:divBdr>
            <w:top w:val="none" w:sz="0" w:space="0" w:color="auto"/>
            <w:left w:val="none" w:sz="0" w:space="0" w:color="auto"/>
            <w:bottom w:val="none" w:sz="0" w:space="0" w:color="auto"/>
            <w:right w:val="none" w:sz="0" w:space="0" w:color="auto"/>
          </w:divBdr>
        </w:div>
        <w:div w:id="53895271">
          <w:marLeft w:val="0"/>
          <w:marRight w:val="0"/>
          <w:marTop w:val="0"/>
          <w:marBottom w:val="0"/>
          <w:divBdr>
            <w:top w:val="none" w:sz="0" w:space="0" w:color="auto"/>
            <w:left w:val="none" w:sz="0" w:space="0" w:color="auto"/>
            <w:bottom w:val="none" w:sz="0" w:space="0" w:color="auto"/>
            <w:right w:val="none" w:sz="0" w:space="0" w:color="auto"/>
          </w:divBdr>
        </w:div>
        <w:div w:id="53895280">
          <w:marLeft w:val="0"/>
          <w:marRight w:val="0"/>
          <w:marTop w:val="0"/>
          <w:marBottom w:val="0"/>
          <w:divBdr>
            <w:top w:val="none" w:sz="0" w:space="0" w:color="auto"/>
            <w:left w:val="none" w:sz="0" w:space="0" w:color="auto"/>
            <w:bottom w:val="none" w:sz="0" w:space="0" w:color="auto"/>
            <w:right w:val="none" w:sz="0" w:space="0" w:color="auto"/>
          </w:divBdr>
        </w:div>
        <w:div w:id="53895322">
          <w:marLeft w:val="0"/>
          <w:marRight w:val="0"/>
          <w:marTop w:val="0"/>
          <w:marBottom w:val="0"/>
          <w:divBdr>
            <w:top w:val="none" w:sz="0" w:space="0" w:color="auto"/>
            <w:left w:val="none" w:sz="0" w:space="0" w:color="auto"/>
            <w:bottom w:val="none" w:sz="0" w:space="0" w:color="auto"/>
            <w:right w:val="none" w:sz="0" w:space="0" w:color="auto"/>
          </w:divBdr>
        </w:div>
        <w:div w:id="53895329">
          <w:marLeft w:val="0"/>
          <w:marRight w:val="0"/>
          <w:marTop w:val="0"/>
          <w:marBottom w:val="0"/>
          <w:divBdr>
            <w:top w:val="none" w:sz="0" w:space="0" w:color="auto"/>
            <w:left w:val="none" w:sz="0" w:space="0" w:color="auto"/>
            <w:bottom w:val="none" w:sz="0" w:space="0" w:color="auto"/>
            <w:right w:val="none" w:sz="0" w:space="0" w:color="auto"/>
          </w:divBdr>
        </w:div>
        <w:div w:id="53895332">
          <w:marLeft w:val="0"/>
          <w:marRight w:val="0"/>
          <w:marTop w:val="0"/>
          <w:marBottom w:val="0"/>
          <w:divBdr>
            <w:top w:val="none" w:sz="0" w:space="0" w:color="auto"/>
            <w:left w:val="none" w:sz="0" w:space="0" w:color="auto"/>
            <w:bottom w:val="none" w:sz="0" w:space="0" w:color="auto"/>
            <w:right w:val="none" w:sz="0" w:space="0" w:color="auto"/>
          </w:divBdr>
        </w:div>
      </w:divsChild>
    </w:div>
    <w:div w:id="53895328">
      <w:marLeft w:val="0"/>
      <w:marRight w:val="0"/>
      <w:marTop w:val="0"/>
      <w:marBottom w:val="0"/>
      <w:divBdr>
        <w:top w:val="none" w:sz="0" w:space="0" w:color="auto"/>
        <w:left w:val="none" w:sz="0" w:space="0" w:color="auto"/>
        <w:bottom w:val="none" w:sz="0" w:space="0" w:color="auto"/>
        <w:right w:val="none" w:sz="0" w:space="0" w:color="auto"/>
      </w:divBdr>
      <w:divsChild>
        <w:div w:id="53895090">
          <w:marLeft w:val="0"/>
          <w:marRight w:val="0"/>
          <w:marTop w:val="0"/>
          <w:marBottom w:val="0"/>
          <w:divBdr>
            <w:top w:val="none" w:sz="0" w:space="0" w:color="auto"/>
            <w:left w:val="none" w:sz="0" w:space="0" w:color="auto"/>
            <w:bottom w:val="none" w:sz="0" w:space="0" w:color="auto"/>
            <w:right w:val="none" w:sz="0" w:space="0" w:color="auto"/>
          </w:divBdr>
        </w:div>
        <w:div w:id="53895100">
          <w:marLeft w:val="0"/>
          <w:marRight w:val="0"/>
          <w:marTop w:val="0"/>
          <w:marBottom w:val="0"/>
          <w:divBdr>
            <w:top w:val="none" w:sz="0" w:space="0" w:color="auto"/>
            <w:left w:val="none" w:sz="0" w:space="0" w:color="auto"/>
            <w:bottom w:val="none" w:sz="0" w:space="0" w:color="auto"/>
            <w:right w:val="none" w:sz="0" w:space="0" w:color="auto"/>
          </w:divBdr>
        </w:div>
        <w:div w:id="53895103">
          <w:marLeft w:val="0"/>
          <w:marRight w:val="0"/>
          <w:marTop w:val="0"/>
          <w:marBottom w:val="0"/>
          <w:divBdr>
            <w:top w:val="none" w:sz="0" w:space="0" w:color="auto"/>
            <w:left w:val="none" w:sz="0" w:space="0" w:color="auto"/>
            <w:bottom w:val="none" w:sz="0" w:space="0" w:color="auto"/>
            <w:right w:val="none" w:sz="0" w:space="0" w:color="auto"/>
          </w:divBdr>
        </w:div>
        <w:div w:id="53895117">
          <w:marLeft w:val="0"/>
          <w:marRight w:val="0"/>
          <w:marTop w:val="0"/>
          <w:marBottom w:val="0"/>
          <w:divBdr>
            <w:top w:val="none" w:sz="0" w:space="0" w:color="auto"/>
            <w:left w:val="none" w:sz="0" w:space="0" w:color="auto"/>
            <w:bottom w:val="none" w:sz="0" w:space="0" w:color="auto"/>
            <w:right w:val="none" w:sz="0" w:space="0" w:color="auto"/>
          </w:divBdr>
        </w:div>
        <w:div w:id="53895184">
          <w:marLeft w:val="0"/>
          <w:marRight w:val="0"/>
          <w:marTop w:val="0"/>
          <w:marBottom w:val="0"/>
          <w:divBdr>
            <w:top w:val="none" w:sz="0" w:space="0" w:color="auto"/>
            <w:left w:val="none" w:sz="0" w:space="0" w:color="auto"/>
            <w:bottom w:val="none" w:sz="0" w:space="0" w:color="auto"/>
            <w:right w:val="none" w:sz="0" w:space="0" w:color="auto"/>
          </w:divBdr>
        </w:div>
        <w:div w:id="53895210">
          <w:marLeft w:val="0"/>
          <w:marRight w:val="0"/>
          <w:marTop w:val="0"/>
          <w:marBottom w:val="0"/>
          <w:divBdr>
            <w:top w:val="none" w:sz="0" w:space="0" w:color="auto"/>
            <w:left w:val="none" w:sz="0" w:space="0" w:color="auto"/>
            <w:bottom w:val="none" w:sz="0" w:space="0" w:color="auto"/>
            <w:right w:val="none" w:sz="0" w:space="0" w:color="auto"/>
          </w:divBdr>
        </w:div>
        <w:div w:id="53895293">
          <w:marLeft w:val="0"/>
          <w:marRight w:val="0"/>
          <w:marTop w:val="0"/>
          <w:marBottom w:val="0"/>
          <w:divBdr>
            <w:top w:val="none" w:sz="0" w:space="0" w:color="auto"/>
            <w:left w:val="none" w:sz="0" w:space="0" w:color="auto"/>
            <w:bottom w:val="none" w:sz="0" w:space="0" w:color="auto"/>
            <w:right w:val="none" w:sz="0" w:space="0" w:color="auto"/>
          </w:divBdr>
        </w:div>
      </w:divsChild>
    </w:div>
    <w:div w:id="53895336">
      <w:marLeft w:val="0"/>
      <w:marRight w:val="0"/>
      <w:marTop w:val="0"/>
      <w:marBottom w:val="0"/>
      <w:divBdr>
        <w:top w:val="none" w:sz="0" w:space="0" w:color="auto"/>
        <w:left w:val="none" w:sz="0" w:space="0" w:color="auto"/>
        <w:bottom w:val="none" w:sz="0" w:space="0" w:color="auto"/>
        <w:right w:val="none" w:sz="0" w:space="0" w:color="auto"/>
      </w:divBdr>
    </w:div>
    <w:div w:id="53895337">
      <w:marLeft w:val="0"/>
      <w:marRight w:val="0"/>
      <w:marTop w:val="0"/>
      <w:marBottom w:val="0"/>
      <w:divBdr>
        <w:top w:val="none" w:sz="0" w:space="0" w:color="auto"/>
        <w:left w:val="none" w:sz="0" w:space="0" w:color="auto"/>
        <w:bottom w:val="none" w:sz="0" w:space="0" w:color="auto"/>
        <w:right w:val="none" w:sz="0" w:space="0" w:color="auto"/>
      </w:divBdr>
    </w:div>
    <w:div w:id="254367126">
      <w:bodyDiv w:val="1"/>
      <w:marLeft w:val="0"/>
      <w:marRight w:val="0"/>
      <w:marTop w:val="0"/>
      <w:marBottom w:val="0"/>
      <w:divBdr>
        <w:top w:val="none" w:sz="0" w:space="0" w:color="auto"/>
        <w:left w:val="none" w:sz="0" w:space="0" w:color="auto"/>
        <w:bottom w:val="none" w:sz="0" w:space="0" w:color="auto"/>
        <w:right w:val="none" w:sz="0" w:space="0" w:color="auto"/>
      </w:divBdr>
      <w:divsChild>
        <w:div w:id="1610048547">
          <w:marLeft w:val="0"/>
          <w:marRight w:val="0"/>
          <w:marTop w:val="0"/>
          <w:marBottom w:val="0"/>
          <w:divBdr>
            <w:top w:val="none" w:sz="0" w:space="0" w:color="auto"/>
            <w:left w:val="none" w:sz="0" w:space="0" w:color="auto"/>
            <w:bottom w:val="none" w:sz="0" w:space="0" w:color="auto"/>
            <w:right w:val="none" w:sz="0" w:space="0" w:color="auto"/>
          </w:divBdr>
        </w:div>
        <w:div w:id="641693057">
          <w:marLeft w:val="0"/>
          <w:marRight w:val="0"/>
          <w:marTop w:val="0"/>
          <w:marBottom w:val="0"/>
          <w:divBdr>
            <w:top w:val="none" w:sz="0" w:space="0" w:color="auto"/>
            <w:left w:val="none" w:sz="0" w:space="0" w:color="auto"/>
            <w:bottom w:val="none" w:sz="0" w:space="0" w:color="auto"/>
            <w:right w:val="none" w:sz="0" w:space="0" w:color="auto"/>
          </w:divBdr>
        </w:div>
      </w:divsChild>
    </w:div>
    <w:div w:id="367877510">
      <w:bodyDiv w:val="1"/>
      <w:marLeft w:val="0"/>
      <w:marRight w:val="0"/>
      <w:marTop w:val="0"/>
      <w:marBottom w:val="0"/>
      <w:divBdr>
        <w:top w:val="none" w:sz="0" w:space="0" w:color="auto"/>
        <w:left w:val="none" w:sz="0" w:space="0" w:color="auto"/>
        <w:bottom w:val="none" w:sz="0" w:space="0" w:color="auto"/>
        <w:right w:val="none" w:sz="0" w:space="0" w:color="auto"/>
      </w:divBdr>
      <w:divsChild>
        <w:div w:id="1926642437">
          <w:marLeft w:val="0"/>
          <w:marRight w:val="0"/>
          <w:marTop w:val="0"/>
          <w:marBottom w:val="0"/>
          <w:divBdr>
            <w:top w:val="none" w:sz="0" w:space="0" w:color="auto"/>
            <w:left w:val="none" w:sz="0" w:space="0" w:color="auto"/>
            <w:bottom w:val="none" w:sz="0" w:space="0" w:color="auto"/>
            <w:right w:val="none" w:sz="0" w:space="0" w:color="auto"/>
          </w:divBdr>
        </w:div>
        <w:div w:id="1064989799">
          <w:marLeft w:val="0"/>
          <w:marRight w:val="0"/>
          <w:marTop w:val="0"/>
          <w:marBottom w:val="0"/>
          <w:divBdr>
            <w:top w:val="none" w:sz="0" w:space="0" w:color="auto"/>
            <w:left w:val="none" w:sz="0" w:space="0" w:color="auto"/>
            <w:bottom w:val="none" w:sz="0" w:space="0" w:color="auto"/>
            <w:right w:val="none" w:sz="0" w:space="0" w:color="auto"/>
          </w:divBdr>
        </w:div>
        <w:div w:id="901452588">
          <w:marLeft w:val="0"/>
          <w:marRight w:val="0"/>
          <w:marTop w:val="0"/>
          <w:marBottom w:val="0"/>
          <w:divBdr>
            <w:top w:val="none" w:sz="0" w:space="0" w:color="auto"/>
            <w:left w:val="none" w:sz="0" w:space="0" w:color="auto"/>
            <w:bottom w:val="none" w:sz="0" w:space="0" w:color="auto"/>
            <w:right w:val="none" w:sz="0" w:space="0" w:color="auto"/>
          </w:divBdr>
        </w:div>
        <w:div w:id="452791674">
          <w:marLeft w:val="0"/>
          <w:marRight w:val="0"/>
          <w:marTop w:val="0"/>
          <w:marBottom w:val="0"/>
          <w:divBdr>
            <w:top w:val="none" w:sz="0" w:space="0" w:color="auto"/>
            <w:left w:val="none" w:sz="0" w:space="0" w:color="auto"/>
            <w:bottom w:val="none" w:sz="0" w:space="0" w:color="auto"/>
            <w:right w:val="none" w:sz="0" w:space="0" w:color="auto"/>
          </w:divBdr>
        </w:div>
      </w:divsChild>
    </w:div>
    <w:div w:id="759910531">
      <w:bodyDiv w:val="1"/>
      <w:marLeft w:val="0"/>
      <w:marRight w:val="0"/>
      <w:marTop w:val="0"/>
      <w:marBottom w:val="0"/>
      <w:divBdr>
        <w:top w:val="none" w:sz="0" w:space="0" w:color="auto"/>
        <w:left w:val="none" w:sz="0" w:space="0" w:color="auto"/>
        <w:bottom w:val="none" w:sz="0" w:space="0" w:color="auto"/>
        <w:right w:val="none" w:sz="0" w:space="0" w:color="auto"/>
      </w:divBdr>
      <w:divsChild>
        <w:div w:id="1740706555">
          <w:marLeft w:val="0"/>
          <w:marRight w:val="0"/>
          <w:marTop w:val="0"/>
          <w:marBottom w:val="0"/>
          <w:divBdr>
            <w:top w:val="none" w:sz="0" w:space="0" w:color="auto"/>
            <w:left w:val="none" w:sz="0" w:space="0" w:color="auto"/>
            <w:bottom w:val="none" w:sz="0" w:space="0" w:color="auto"/>
            <w:right w:val="none" w:sz="0" w:space="0" w:color="auto"/>
          </w:divBdr>
        </w:div>
        <w:div w:id="958993407">
          <w:marLeft w:val="0"/>
          <w:marRight w:val="0"/>
          <w:marTop w:val="0"/>
          <w:marBottom w:val="0"/>
          <w:divBdr>
            <w:top w:val="none" w:sz="0" w:space="0" w:color="auto"/>
            <w:left w:val="none" w:sz="0" w:space="0" w:color="auto"/>
            <w:bottom w:val="none" w:sz="0" w:space="0" w:color="auto"/>
            <w:right w:val="none" w:sz="0" w:space="0" w:color="auto"/>
          </w:divBdr>
        </w:div>
      </w:divsChild>
    </w:div>
    <w:div w:id="805702984">
      <w:bodyDiv w:val="1"/>
      <w:marLeft w:val="0"/>
      <w:marRight w:val="0"/>
      <w:marTop w:val="0"/>
      <w:marBottom w:val="0"/>
      <w:divBdr>
        <w:top w:val="none" w:sz="0" w:space="0" w:color="auto"/>
        <w:left w:val="none" w:sz="0" w:space="0" w:color="auto"/>
        <w:bottom w:val="none" w:sz="0" w:space="0" w:color="auto"/>
        <w:right w:val="none" w:sz="0" w:space="0" w:color="auto"/>
      </w:divBdr>
    </w:div>
    <w:div w:id="807284735">
      <w:bodyDiv w:val="1"/>
      <w:marLeft w:val="0"/>
      <w:marRight w:val="0"/>
      <w:marTop w:val="0"/>
      <w:marBottom w:val="0"/>
      <w:divBdr>
        <w:top w:val="none" w:sz="0" w:space="0" w:color="auto"/>
        <w:left w:val="none" w:sz="0" w:space="0" w:color="auto"/>
        <w:bottom w:val="none" w:sz="0" w:space="0" w:color="auto"/>
        <w:right w:val="none" w:sz="0" w:space="0" w:color="auto"/>
      </w:divBdr>
    </w:div>
    <w:div w:id="943268735">
      <w:bodyDiv w:val="1"/>
      <w:marLeft w:val="0"/>
      <w:marRight w:val="0"/>
      <w:marTop w:val="0"/>
      <w:marBottom w:val="0"/>
      <w:divBdr>
        <w:top w:val="none" w:sz="0" w:space="0" w:color="auto"/>
        <w:left w:val="none" w:sz="0" w:space="0" w:color="auto"/>
        <w:bottom w:val="none" w:sz="0" w:space="0" w:color="auto"/>
        <w:right w:val="none" w:sz="0" w:space="0" w:color="auto"/>
      </w:divBdr>
    </w:div>
    <w:div w:id="996958777">
      <w:bodyDiv w:val="1"/>
      <w:marLeft w:val="0"/>
      <w:marRight w:val="0"/>
      <w:marTop w:val="0"/>
      <w:marBottom w:val="0"/>
      <w:divBdr>
        <w:top w:val="none" w:sz="0" w:space="0" w:color="auto"/>
        <w:left w:val="none" w:sz="0" w:space="0" w:color="auto"/>
        <w:bottom w:val="none" w:sz="0" w:space="0" w:color="auto"/>
        <w:right w:val="none" w:sz="0" w:space="0" w:color="auto"/>
      </w:divBdr>
    </w:div>
    <w:div w:id="1435708824">
      <w:bodyDiv w:val="1"/>
      <w:marLeft w:val="0"/>
      <w:marRight w:val="0"/>
      <w:marTop w:val="0"/>
      <w:marBottom w:val="0"/>
      <w:divBdr>
        <w:top w:val="none" w:sz="0" w:space="0" w:color="auto"/>
        <w:left w:val="none" w:sz="0" w:space="0" w:color="auto"/>
        <w:bottom w:val="none" w:sz="0" w:space="0" w:color="auto"/>
        <w:right w:val="none" w:sz="0" w:space="0" w:color="auto"/>
      </w:divBdr>
    </w:div>
    <w:div w:id="1771658634">
      <w:bodyDiv w:val="1"/>
      <w:marLeft w:val="0"/>
      <w:marRight w:val="0"/>
      <w:marTop w:val="0"/>
      <w:marBottom w:val="0"/>
      <w:divBdr>
        <w:top w:val="none" w:sz="0" w:space="0" w:color="auto"/>
        <w:left w:val="none" w:sz="0" w:space="0" w:color="auto"/>
        <w:bottom w:val="none" w:sz="0" w:space="0" w:color="auto"/>
        <w:right w:val="none" w:sz="0" w:space="0" w:color="auto"/>
      </w:divBdr>
    </w:div>
    <w:div w:id="1792548500">
      <w:bodyDiv w:val="1"/>
      <w:marLeft w:val="0"/>
      <w:marRight w:val="0"/>
      <w:marTop w:val="0"/>
      <w:marBottom w:val="0"/>
      <w:divBdr>
        <w:top w:val="none" w:sz="0" w:space="0" w:color="auto"/>
        <w:left w:val="none" w:sz="0" w:space="0" w:color="auto"/>
        <w:bottom w:val="none" w:sz="0" w:space="0" w:color="auto"/>
        <w:right w:val="none" w:sz="0" w:space="0" w:color="auto"/>
      </w:divBdr>
      <w:divsChild>
        <w:div w:id="1171290620">
          <w:marLeft w:val="0"/>
          <w:marRight w:val="0"/>
          <w:marTop w:val="0"/>
          <w:marBottom w:val="0"/>
          <w:divBdr>
            <w:top w:val="none" w:sz="0" w:space="0" w:color="auto"/>
            <w:left w:val="none" w:sz="0" w:space="0" w:color="auto"/>
            <w:bottom w:val="none" w:sz="0" w:space="0" w:color="auto"/>
            <w:right w:val="none" w:sz="0" w:space="0" w:color="auto"/>
          </w:divBdr>
        </w:div>
        <w:div w:id="2006980232">
          <w:marLeft w:val="0"/>
          <w:marRight w:val="0"/>
          <w:marTop w:val="0"/>
          <w:marBottom w:val="0"/>
          <w:divBdr>
            <w:top w:val="none" w:sz="0" w:space="0" w:color="auto"/>
            <w:left w:val="none" w:sz="0" w:space="0" w:color="auto"/>
            <w:bottom w:val="none" w:sz="0" w:space="0" w:color="auto"/>
            <w:right w:val="none" w:sz="0" w:space="0" w:color="auto"/>
          </w:divBdr>
        </w:div>
      </w:divsChild>
    </w:div>
    <w:div w:id="1846674424">
      <w:bodyDiv w:val="1"/>
      <w:marLeft w:val="0"/>
      <w:marRight w:val="0"/>
      <w:marTop w:val="0"/>
      <w:marBottom w:val="0"/>
      <w:divBdr>
        <w:top w:val="none" w:sz="0" w:space="0" w:color="auto"/>
        <w:left w:val="none" w:sz="0" w:space="0" w:color="auto"/>
        <w:bottom w:val="none" w:sz="0" w:space="0" w:color="auto"/>
        <w:right w:val="none" w:sz="0" w:space="0" w:color="auto"/>
      </w:divBdr>
    </w:div>
    <w:div w:id="2069567139">
      <w:bodyDiv w:val="1"/>
      <w:marLeft w:val="0"/>
      <w:marRight w:val="0"/>
      <w:marTop w:val="0"/>
      <w:marBottom w:val="0"/>
      <w:divBdr>
        <w:top w:val="none" w:sz="0" w:space="0" w:color="auto"/>
        <w:left w:val="none" w:sz="0" w:space="0" w:color="auto"/>
        <w:bottom w:val="none" w:sz="0" w:space="0" w:color="auto"/>
        <w:right w:val="none" w:sz="0" w:space="0" w:color="auto"/>
      </w:divBdr>
      <w:divsChild>
        <w:div w:id="1492866433">
          <w:marLeft w:val="0"/>
          <w:marRight w:val="0"/>
          <w:marTop w:val="0"/>
          <w:marBottom w:val="0"/>
          <w:divBdr>
            <w:top w:val="none" w:sz="0" w:space="0" w:color="auto"/>
            <w:left w:val="none" w:sz="0" w:space="0" w:color="auto"/>
            <w:bottom w:val="none" w:sz="0" w:space="0" w:color="auto"/>
            <w:right w:val="none" w:sz="0" w:space="0" w:color="auto"/>
          </w:divBdr>
        </w:div>
        <w:div w:id="1328752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cma.gov.au/theACMA/engage-blogs/engage-blogs/Research-snapshots/Australians-get-mobile?utm_medium=email&amp;utm_campaign=researchacma+alert+Australians+get+mobile+11+June+2015&amp;utm_content=researchacma+alert+Australians+get+mobile+11+June+2015+CID_ed7dff3283398cc4d6d99e2e69b4971b&amp;utm_source=SendEmailCampaigns&amp;utm_term=Australians%20get%20mobileusing%20mobile%20devices%20for%20voice%20messaging%20and%20internet%20access" TargetMode="External"/><Relationship Id="rId26" Type="http://schemas.openxmlformats.org/officeDocument/2006/relationships/hyperlink" Target="http://www.nbnco.com.au/content/dam/nbnco2/documents/soe-shareholder-minister-letter.pdf" TargetMode="External"/><Relationship Id="rId39" Type="http://schemas.openxmlformats.org/officeDocument/2006/relationships/hyperlink" Target="https://www.communications.gov.au/who-we-are/department/funding-reporting/telecommunications-contract-and-grant-registers" TargetMode="External"/><Relationship Id="rId21" Type="http://schemas.openxmlformats.org/officeDocument/2006/relationships/hyperlink" Target="http://stakeholders.ofcom.org.uk/consultations/dcr-discussion/" TargetMode="External"/><Relationship Id="rId34" Type="http://schemas.openxmlformats.org/officeDocument/2006/relationships/hyperlink" Target="http://www.acma.gov.au/Industry/Telco/Carriers-and-service-providers/Universal-service-obligation/network-reliability-framework-carriers-service-providers-acma-1-1" TargetMode="External"/><Relationship Id="rId42" Type="http://schemas.openxmlformats.org/officeDocument/2006/relationships/image" Target="media/image6.png"/><Relationship Id="rId47" Type="http://schemas.openxmlformats.org/officeDocument/2006/relationships/hyperlink" Target="http://www.digitalinclusion.net.au/" TargetMode="External"/><Relationship Id="rId50" Type="http://schemas.openxmlformats.org/officeDocument/2006/relationships/image" Target="media/image10.png"/><Relationship Id="rId55" Type="http://schemas.openxmlformats.org/officeDocument/2006/relationships/hyperlink" Target="http://www.triplezero.gov.au/Pages/EmergencySmartphoneApp.aspx" TargetMode="External"/><Relationship Id="rId63" Type="http://schemas.openxmlformats.org/officeDocument/2006/relationships/hyperlink" Target="http://www.acma.gov.au/~/media/Network%20Safeguards/Map/Image/Universal%20Service%20Obligation%20Map%20of%20Extended%20Zones%20in%20Australia.gif" TargetMode="External"/><Relationship Id="rId68" Type="http://schemas.openxmlformats.org/officeDocument/2006/relationships/hyperlink" Target="http://www.acma.gov.au/theACMA/engage-blogs/engage-blogs/researchacma/The-Aussie-VoIP-evolution" TargetMode="External"/><Relationship Id="rId76" Type="http://schemas.openxmlformats.org/officeDocument/2006/relationships/hyperlink" Target="http://www.vodafone.com/content/dam/vodafone/about/public_policy/affordability_plum.pdf" TargetMode="External"/><Relationship Id="rId84" Type="http://schemas.openxmlformats.org/officeDocument/2006/relationships/hyperlink" Target="https://www.telstra.com.au/abouttelstra/download/document/2011-definitive-agreements-telstra-nbnco.pdf"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doi.org/10.7790/ajtde.v1n1.5" TargetMode="External"/><Relationship Id="rId2" Type="http://schemas.openxmlformats.org/officeDocument/2006/relationships/numbering" Target="numbering.xml"/><Relationship Id="rId16" Type="http://schemas.openxmlformats.org/officeDocument/2006/relationships/hyperlink" Target="http://www.acma.gov.au/~/media/Network%20Safeguards/Information/pdf/Universal%20Service%20Obligation%20Telstras%20Policy%20Statement.PDF" TargetMode="External"/><Relationship Id="rId29" Type="http://schemas.openxmlformats.org/officeDocument/2006/relationships/hyperlink" Target="http://www.minister.communications.gov.au/malcolm_turnbull/news/mobile_black_spot_programme_to_deliver_almost_500_new_or_upgraded_base_stations_with_total_investment_of_$385_million" TargetMode="External"/><Relationship Id="rId11" Type="http://schemas.openxmlformats.org/officeDocument/2006/relationships/hyperlink" Target="mailto:deridder@bigpond.com" TargetMode="External"/><Relationship Id="rId24" Type="http://schemas.openxmlformats.org/officeDocument/2006/relationships/hyperlink" Target="https://www.communications.gov.au/departmental-news/nbn-market-and-regulation-report" TargetMode="External"/><Relationship Id="rId32" Type="http://schemas.openxmlformats.org/officeDocument/2006/relationships/hyperlink" Target="http://www.acma.gov.au/Industry/Telco/Reconnecting-the-customer/TCP-code/the-tcp-code-telecommunications-consumer-protections-code-acma" TargetMode="External"/><Relationship Id="rId37" Type="http://schemas.openxmlformats.org/officeDocument/2006/relationships/hyperlink" Target="http://www.comlaw.gov.au/Series/F2014L01097" TargetMode="External"/><Relationship Id="rId40" Type="http://schemas.openxmlformats.org/officeDocument/2006/relationships/hyperlink" Target="https://www.communications.gov.au/who-we-are/department/funding-reporting/telecommunications-contract-and-grant-registers" TargetMode="External"/><Relationship Id="rId45" Type="http://schemas.openxmlformats.org/officeDocument/2006/relationships/image" Target="media/image8.png"/><Relationship Id="rId53" Type="http://schemas.openxmlformats.org/officeDocument/2006/relationships/hyperlink" Target="https://www.internet.org/" TargetMode="External"/><Relationship Id="rId58" Type="http://schemas.openxmlformats.org/officeDocument/2006/relationships/hyperlink" Target="http://www.telstra.com.au/aboutus/community-environment/community-programs/access-for-everyone/" TargetMode="External"/><Relationship Id="rId66" Type="http://schemas.openxmlformats.org/officeDocument/2006/relationships/hyperlink" Target="http://www.accc.gov.au/system/files/ACCC%20FSR%20FAD%20Further%20Draft%20Decision%20-%20Public%20Version_1_0.pdf" TargetMode="External"/><Relationship Id="rId74" Type="http://schemas.openxmlformats.org/officeDocument/2006/relationships/hyperlink" Target="http://eur-lex.europa.eu/legal-content/EN/TXT/?uri=URISERV:l24108h" TargetMode="External"/><Relationship Id="rId79" Type="http://schemas.openxmlformats.org/officeDocument/2006/relationships/hyperlink" Target="http://stakeholders.ofcom.org.uk/binaries/research/affordability/affordability_report.pdf" TargetMode="External"/><Relationship Id="rId87" Type="http://schemas.openxmlformats.org/officeDocument/2006/relationships/hyperlink" Target="http://www.accan.org.au" TargetMode="External"/><Relationship Id="rId5" Type="http://schemas.openxmlformats.org/officeDocument/2006/relationships/settings" Target="settings.xml"/><Relationship Id="rId61" Type="http://schemas.openxmlformats.org/officeDocument/2006/relationships/hyperlink" Target="http://www.safelinkwireless.com" TargetMode="External"/><Relationship Id="rId82" Type="http://schemas.openxmlformats.org/officeDocument/2006/relationships/hyperlink" Target="http://doi.org/10.7790" TargetMode="External"/><Relationship Id="rId90" Type="http://schemas.openxmlformats.org/officeDocument/2006/relationships/theme" Target="theme/theme1.xml"/><Relationship Id="rId19" Type="http://schemas.openxmlformats.org/officeDocument/2006/relationships/hyperlink" Target="http://www.acma.gov.au/theACMA/engage-blogs/engage-blogs/researchacma/The-Aussie-VoIP-evolutio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yperlink" Target="http://stakeholders.ofcom.org.uk/binaries/research/cmr/cmr14/2014_UK_CMR.pdf" TargetMode="External"/><Relationship Id="rId27" Type="http://schemas.openxmlformats.org/officeDocument/2006/relationships/image" Target="media/image4.png"/><Relationship Id="rId30" Type="http://schemas.openxmlformats.org/officeDocument/2006/relationships/hyperlink" Target="https://www.communications.gov.au/have-your-say/nbn-non-commercial-services-funding-options" TargetMode="External"/><Relationship Id="rId35" Type="http://schemas.openxmlformats.org/officeDocument/2006/relationships/image" Target="media/image5.png"/><Relationship Id="rId43" Type="http://schemas.openxmlformats.org/officeDocument/2006/relationships/hyperlink" Target="http://www.malcolmturnbull.com.au/assets/Coalitions_Policy_for_E-Government_and_the_Digital_Economy_%282%29.pdf" TargetMode="External"/><Relationship Id="rId48" Type="http://schemas.openxmlformats.org/officeDocument/2006/relationships/hyperlink" Target="http://tinyurl.com/lm335ms" TargetMode="External"/><Relationship Id="rId56" Type="http://schemas.openxmlformats.org/officeDocument/2006/relationships/image" Target="media/image14.png"/><Relationship Id="rId64" Type="http://schemas.openxmlformats.org/officeDocument/2006/relationships/image" Target="media/image17.png"/><Relationship Id="rId69" Type="http://schemas.openxmlformats.org/officeDocument/2006/relationships/hyperlink" Target="http://www.nbnco.com.au/content/dam/nbnco2/documents/soe-shareholder-minister-letter.pdf" TargetMode="External"/><Relationship Id="rId77" Type="http://schemas.openxmlformats.org/officeDocument/2006/relationships/hyperlink" Target="http://www.malcolmturnbull.com.au/assets/Coalitions_Policy_for_E-Government_and_the_Digital_Economy_%282%29.pdf" TargetMode="Externa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hyperlink" Target="http://doi.org/10.7790/ajtde.v1n1.5" TargetMode="External"/><Relationship Id="rId80" Type="http://schemas.openxmlformats.org/officeDocument/2006/relationships/hyperlink" Target="http://stakeholders.ofcom.org.uk/binaries/research/affordability/Futuresight-Report.pdf" TargetMode="External"/><Relationship Id="rId85" Type="http://schemas.openxmlformats.org/officeDocument/2006/relationships/hyperlink" Target="http://www.telstra.com.au/aboutus/community-environment/community-programs/access-for-everyon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cma.gov.au/~/media/Network%20Safeguards/Information/pdf/Universal%20Service%20Obligation%20Telstras%20Standard%20Marketing%20Plan.PDF" TargetMode="External"/><Relationship Id="rId25" Type="http://schemas.openxmlformats.org/officeDocument/2006/relationships/hyperlink" Target="https://ec.europa.eu/digital-agenda/en/news/universal-service-e-communications-report-outcome-public-consultation" TargetMode="External"/><Relationship Id="rId33" Type="http://schemas.openxmlformats.org/officeDocument/2006/relationships/hyperlink" Target="http://www.acma.gov.au/Industry/Telco/Carriers-and-service-providers/Universal-service-obligation/about-the-customer-service-guarantee-carriers-service-providers-acma" TargetMode="External"/><Relationship Id="rId38" Type="http://schemas.openxmlformats.org/officeDocument/2006/relationships/hyperlink" Target="https://www.communications.gov.au/who-we-are/department/funding-reporting/telecommunications-contract-and-grant-registers" TargetMode="External"/><Relationship Id="rId46" Type="http://schemas.openxmlformats.org/officeDocument/2006/relationships/image" Target="media/image9.emf"/><Relationship Id="rId59" Type="http://schemas.openxmlformats.org/officeDocument/2006/relationships/hyperlink" Target="https://www.fcc.gov/lifeline" TargetMode="External"/><Relationship Id="rId67" Type="http://schemas.openxmlformats.org/officeDocument/2006/relationships/hyperlink" Target="http://www.acma.gov.au/theACMA/engage-blogs/engage-blogs/Research-snapshots/Australians-get-mobile?utm_medium=email&amp;utm_campaign=researchacma+alert+Australians+get+mobile+11+June+2015&amp;utm_content=researchacma+alert+Australians+get+mobile+11+June+2015+CID_ed7dff3283398cc4d6d99e2e69b4971b&amp;utm_source=SendEmailCampaigns&amp;utm_term=Australians%20get%20mobileusing%20mobile%20devices%20for%20voice%20messaging%20and%20internet%20access" TargetMode="External"/><Relationship Id="rId20" Type="http://schemas.openxmlformats.org/officeDocument/2006/relationships/hyperlink" Target="http://www.telegraph.co.uk/finance/newsbysector/mediatechnologyandtelecoms/telecoms/11696314/BT-aims-to-shut-down-traditional-phone-network-to-help-it-battle-US-tech-giants.html" TargetMode="External"/><Relationship Id="rId41" Type="http://schemas.openxmlformats.org/officeDocument/2006/relationships/hyperlink" Target="http://www.telstra.com.au/aboutus/community-environment/community-programs/access-for-everyone/" TargetMode="External"/><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hyperlink" Target="http://deridder.com.au/site/wp-content/uploads/2015/05/USO-Levy-JdR.pdf" TargetMode="External"/><Relationship Id="rId75" Type="http://schemas.openxmlformats.org/officeDocument/2006/relationships/hyperlink" Target="http://dx.doi.org/10.1108/14636690810904661" TargetMode="External"/><Relationship Id="rId83" Type="http://schemas.openxmlformats.org/officeDocument/2006/relationships/hyperlink" Target="https://www.sacoss.org.au/sites/default/files/public/documents/Reports/Cost%20of%20Living%20Reports/150520_CoL%20Update%20No22_Telecommunications_final.pdf"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mlaw.gov.au/comlaw/management.nsf/lookupindexpagesbyid/IP200401807?OpenDocument" TargetMode="External"/><Relationship Id="rId23" Type="http://schemas.openxmlformats.org/officeDocument/2006/relationships/hyperlink" Target="http://www.acma.gov.au/theACMA/engage-blogs/engage-blogs/Research-snapshots/Australians-get-mobile?utm_medium=email&amp;utm_campaign=researchacma+alert+Australians+get+mobile+11+June+2015&amp;utm_content=researchacma+alert+Australians+get+mobile+11+June+2015+CID_ed7dff3283398cc4d6d99e2e69b4971b&amp;utm_source=SendEmailCampaigns&amp;utm_term=Australians%20get%20mobileusing%20mobile%20devices%20for%20voice%20messaging%20and%20internet%20access" TargetMode="External"/><Relationship Id="rId28" Type="http://schemas.openxmlformats.org/officeDocument/2006/relationships/hyperlink" Target="https://www.mybroadband.communications.gov.au/reports.aspx" TargetMode="External"/><Relationship Id="rId36" Type="http://schemas.openxmlformats.org/officeDocument/2006/relationships/hyperlink" Target="http://stakeholders.ofcom.org.uk/consultations/dcr-discussion/" TargetMode="External"/><Relationship Id="rId49" Type="http://schemas.openxmlformats.org/officeDocument/2006/relationships/hyperlink" Target="http://www.nbnco.com.au/content/dam/nbnco2/documents/sfaa-wba2-product-catalogue-price-list_20150201.pdf" TargetMode="External"/><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hyperlink" Target="http://www.acma.gov.au/theACMA/engage-blogs/engage-blogs/researchacma/The-Aussie-VoIP-evolution" TargetMode="External"/><Relationship Id="rId44" Type="http://schemas.openxmlformats.org/officeDocument/2006/relationships/image" Target="media/image7.emf"/><Relationship Id="rId52" Type="http://schemas.openxmlformats.org/officeDocument/2006/relationships/image" Target="media/image12.png"/><Relationship Id="rId60" Type="http://schemas.openxmlformats.org/officeDocument/2006/relationships/hyperlink" Target="http://www.usac.org/default.aspx" TargetMode="External"/><Relationship Id="rId65" Type="http://schemas.openxmlformats.org/officeDocument/2006/relationships/hyperlink" Target="http://www.accc.gov.au/system/files/906_ACCC%20Telecommunications%20reports%202013%E2%80%9314_web_2-June-2015.pdf" TargetMode="External"/><Relationship Id="rId73" Type="http://schemas.openxmlformats.org/officeDocument/2006/relationships/hyperlink" Target="https://www.dropbox.com/s/l70pwgr48barwzm/2009EardleyGogginReport9_09_Telecommunications_Community_Wellbeing.rtf?dl=0" TargetMode="External"/><Relationship Id="rId78" Type="http://schemas.openxmlformats.org/officeDocument/2006/relationships/hyperlink" Target="http://stakeholders.ofcom.org.uk/consultations/dcr-discussion/" TargetMode="External"/><Relationship Id="rId81" Type="http://schemas.openxmlformats.org/officeDocument/2006/relationships/hyperlink" Target="http://stakeholders.ofcom.org.uk/binaries/research/affordability/Essential_Comms_Services.pdf" TargetMode="External"/><Relationship Id="rId86" Type="http://schemas.openxmlformats.org/officeDocument/2006/relationships/hyperlink" Target="https://www.communications.gov.au/sites/g/files/net301/f/NBN-Market-and-Regulatory-Repor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communications.gov.au/who-we-are/department/funding-reporting/telecommunications-contract-and-grant-registers" TargetMode="External"/><Relationship Id="rId3" Type="http://schemas.openxmlformats.org/officeDocument/2006/relationships/hyperlink" Target="https://www.comlaw.gov.au/Details/C2015C00143" TargetMode="External"/><Relationship Id="rId7" Type="http://schemas.openxmlformats.org/officeDocument/2006/relationships/hyperlink" Target="http://doi.org/10.7790/ajtde.v1n1.5" TargetMode="External"/><Relationship Id="rId2" Type="http://schemas.openxmlformats.org/officeDocument/2006/relationships/hyperlink" Target="http://www.telstra.com.au/aboutus/community-environment/community-programs/access-for-everyone/" TargetMode="External"/><Relationship Id="rId1" Type="http://schemas.openxmlformats.org/officeDocument/2006/relationships/hyperlink" Target="https://www.communications.gov.au/what-we-do/phone/tusma" TargetMode="External"/><Relationship Id="rId6" Type="http://schemas.openxmlformats.org/officeDocument/2006/relationships/hyperlink" Target="http://doi.org/10.7790/ajtde.v1n1.5" TargetMode="External"/><Relationship Id="rId5" Type="http://schemas.openxmlformats.org/officeDocument/2006/relationships/hyperlink" Target="http://www.rogers.com/web/link/hispeedBrowseFlowDefaultPlans" TargetMode="External"/><Relationship Id="rId10" Type="http://schemas.openxmlformats.org/officeDocument/2006/relationships/hyperlink" Target="https://www.telstra.com.au/abouttelstra/download/document/2011-definitive-agreements-telstra-nbnco.pdf" TargetMode="External"/><Relationship Id="rId4" Type="http://schemas.openxmlformats.org/officeDocument/2006/relationships/hyperlink" Target="http://www.telstra.com.au/aboutus/community-environment/community-programs/access-for-everyone/" TargetMode="External"/><Relationship Id="rId9" Type="http://schemas.openxmlformats.org/officeDocument/2006/relationships/hyperlink" Target="https://www.communications.gov.au/what-we-do/phone/tusm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Grants%20Scheme\Final%20Reports\Guidelines%20and%20template%20for%20final%20reports\Draft%20Template%202015\Grants%20and%20Research%20Scheme_Template2015_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CA1D-24E2-4B98-BAFA-18E5B9A4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Grants and Research Scheme_Template2015_final.dot</Template>
  <TotalTime>2</TotalTime>
  <Pages>39</Pages>
  <Words>11410</Words>
  <Characters>70794</Characters>
  <Application>Microsoft Office Word</Application>
  <DocSecurity>0</DocSecurity>
  <Lines>589</Lines>
  <Paragraphs>164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Tanya Karliychuk</cp:lastModifiedBy>
  <cp:revision>3</cp:revision>
  <cp:lastPrinted>2015-11-23T22:52:00Z</cp:lastPrinted>
  <dcterms:created xsi:type="dcterms:W3CDTF">2015-11-23T22:52:00Z</dcterms:created>
  <dcterms:modified xsi:type="dcterms:W3CDTF">2015-11-23T22:54:00Z</dcterms:modified>
</cp:coreProperties>
</file>