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81815" w14:textId="77777777" w:rsidR="00BB3EC8" w:rsidRDefault="00BB3EC8" w:rsidP="00BB3EC8">
      <w:pPr>
        <w:pStyle w:val="Letterhead1"/>
      </w:pPr>
      <w:bookmarkStart w:id="0" w:name="_Hlk95835868"/>
      <w:r>
        <w:rPr>
          <w:noProof/>
        </w:rPr>
        <w:drawing>
          <wp:anchor distT="0" distB="0" distL="114300" distR="114300" simplePos="0" relativeHeight="251658244" behindDoc="1" locked="0" layoutInCell="1" allowOverlap="1" wp14:anchorId="67346518" wp14:editId="60172D4C">
            <wp:simplePos x="0" y="0"/>
            <wp:positionH relativeFrom="column">
              <wp:posOffset>4862195</wp:posOffset>
            </wp:positionH>
            <wp:positionV relativeFrom="page">
              <wp:posOffset>563880</wp:posOffset>
            </wp:positionV>
            <wp:extent cx="191770" cy="191770"/>
            <wp:effectExtent l="0" t="0" r="0" b="0"/>
            <wp:wrapSquare wrapText="bothSides"/>
            <wp:docPr id="11" name="Picture 11"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Ic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7431A5CE" wp14:editId="2FB2D0F0">
            <wp:simplePos x="0" y="0"/>
            <wp:positionH relativeFrom="column">
              <wp:posOffset>5092065</wp:posOffset>
            </wp:positionH>
            <wp:positionV relativeFrom="page">
              <wp:posOffset>560070</wp:posOffset>
            </wp:positionV>
            <wp:extent cx="191770" cy="191770"/>
            <wp:effectExtent l="0" t="0" r="0" b="0"/>
            <wp:wrapSquare wrapText="bothSides"/>
            <wp:docPr id="6" name="Picture 6"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cebook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7A065FD3" wp14:editId="61971D48">
            <wp:simplePos x="0" y="0"/>
            <wp:positionH relativeFrom="column">
              <wp:posOffset>5326380</wp:posOffset>
            </wp:positionH>
            <wp:positionV relativeFrom="page">
              <wp:posOffset>560070</wp:posOffset>
            </wp:positionV>
            <wp:extent cx="191770" cy="191770"/>
            <wp:effectExtent l="0" t="0" r="0" b="0"/>
            <wp:wrapSquare wrapText="bothSides"/>
            <wp:docPr id="4" name="Picture 4"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ked in ic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7D4B4844" wp14:editId="4C20553C">
            <wp:simplePos x="0" y="0"/>
            <wp:positionH relativeFrom="column">
              <wp:posOffset>5546725</wp:posOffset>
            </wp:positionH>
            <wp:positionV relativeFrom="page">
              <wp:posOffset>560070</wp:posOffset>
            </wp:positionV>
            <wp:extent cx="191770" cy="191770"/>
            <wp:effectExtent l="0" t="0" r="0" b="0"/>
            <wp:wrapSquare wrapText="bothSides"/>
            <wp:docPr id="3" name="Picture 3"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ic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0F72B471" wp14:editId="3E811E21">
            <wp:simplePos x="0" y="0"/>
            <wp:positionH relativeFrom="column">
              <wp:posOffset>4445</wp:posOffset>
            </wp:positionH>
            <wp:positionV relativeFrom="page">
              <wp:posOffset>421005</wp:posOffset>
            </wp:positionV>
            <wp:extent cx="2035810" cy="880110"/>
            <wp:effectExtent l="0" t="0" r="2540" b="0"/>
            <wp:wrapSquare wrapText="bothSides"/>
            <wp:docPr id="2" name="Picture 2"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CAN log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pic:spPr>
                </pic:pic>
              </a:graphicData>
            </a:graphic>
            <wp14:sizeRelH relativeFrom="margin">
              <wp14:pctWidth>0</wp14:pctWidth>
            </wp14:sizeRelH>
            <wp14:sizeRelV relativeFrom="margin">
              <wp14:pctHeight>0</wp14:pctHeight>
            </wp14:sizeRelV>
          </wp:anchor>
        </w:drawing>
      </w:r>
      <w:r>
        <w:t>www.accan.org.au</w:t>
      </w:r>
    </w:p>
    <w:p w14:paraId="39E0B8F8" w14:textId="77777777" w:rsidR="00BB3EC8" w:rsidRDefault="00BB3EC8" w:rsidP="00BB3EC8">
      <w:pPr>
        <w:pStyle w:val="Letterhead1"/>
      </w:pPr>
      <w:r>
        <w:t>info@accan.org.au</w:t>
      </w:r>
    </w:p>
    <w:p w14:paraId="7D24C5AD" w14:textId="77777777" w:rsidR="00BB3EC8" w:rsidRDefault="00BB3EC8" w:rsidP="00BB3EC8">
      <w:pPr>
        <w:pStyle w:val="Letterhead1"/>
      </w:pPr>
      <w:r>
        <w:t>02 9288 4000</w:t>
      </w:r>
    </w:p>
    <w:p w14:paraId="06C077E9" w14:textId="77777777" w:rsidR="000D3021" w:rsidRDefault="000D3021" w:rsidP="000D3021">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1" behindDoc="1" locked="0" layoutInCell="1" allowOverlap="1" wp14:anchorId="7A6DB1F9" wp14:editId="5D51A36D">
                <wp:simplePos x="0" y="0"/>
                <wp:positionH relativeFrom="column">
                  <wp:posOffset>-627380</wp:posOffset>
                </wp:positionH>
                <wp:positionV relativeFrom="page">
                  <wp:posOffset>1675572</wp:posOffset>
                </wp:positionV>
                <wp:extent cx="6892290" cy="45085"/>
                <wp:effectExtent l="0" t="0" r="3810" b="0"/>
                <wp:wrapNone/>
                <wp:docPr id="5" name="Rectangle 5"/>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F0A9EB" id="Rectangle 5" o:spid="_x0000_s1026" style="position:absolute;margin-left:-49.4pt;margin-top:131.95pt;width:542.7pt;height:3.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20C4D514"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1FF7841C" wp14:editId="7593F525">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6BE83B"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3A2F12EB" w14:textId="5087C178" w:rsidR="00F45BDC" w:rsidRPr="000B3FAC" w:rsidRDefault="008912FE" w:rsidP="00AA7049">
      <w:pPr>
        <w:tabs>
          <w:tab w:val="right" w:pos="9026"/>
        </w:tabs>
        <w:rPr>
          <w:rFonts w:ascii="Gotham Black" w:hAnsi="Gotham Black"/>
          <w:color w:val="43C7F4"/>
          <w:sz w:val="36"/>
          <w:szCs w:val="36"/>
        </w:rPr>
      </w:pPr>
      <w:r w:rsidRPr="00F63872">
        <w:rPr>
          <w:rStyle w:val="DocLabelChar"/>
        </w:rPr>
        <w:t>Submission</w:t>
      </w:r>
      <w:r w:rsidR="00F45BDC" w:rsidRPr="006F47E7">
        <w:rPr>
          <w:rFonts w:ascii="Gotham Black" w:hAnsi="Gotham Black"/>
          <w:color w:val="44C7F4"/>
          <w:sz w:val="36"/>
          <w:szCs w:val="36"/>
        </w:rPr>
        <w:tab/>
      </w:r>
      <w:r w:rsidR="00ED72E6">
        <w:rPr>
          <w:rStyle w:val="DocDateChar"/>
        </w:rPr>
        <w:t>30</w:t>
      </w:r>
      <w:r w:rsidR="003943D2">
        <w:rPr>
          <w:rStyle w:val="DocDateChar"/>
        </w:rPr>
        <w:t xml:space="preserve"> </w:t>
      </w:r>
      <w:r w:rsidR="00F551A5">
        <w:rPr>
          <w:rStyle w:val="DocDateChar"/>
        </w:rPr>
        <w:t>June</w:t>
      </w:r>
      <w:r w:rsidR="00962D2E">
        <w:rPr>
          <w:rStyle w:val="DocDateChar"/>
        </w:rPr>
        <w:t xml:space="preserve"> 2023</w:t>
      </w:r>
    </w:p>
    <w:bookmarkEnd w:id="0"/>
    <w:p w14:paraId="3AF5931E" w14:textId="77777777" w:rsidR="00771AA7" w:rsidRDefault="00771AA7" w:rsidP="006B1CBA"/>
    <w:p w14:paraId="7A19C641" w14:textId="6E79BCED" w:rsidR="009518F7" w:rsidRPr="00C81175" w:rsidRDefault="007E0D57" w:rsidP="00C81175">
      <w:pPr>
        <w:pStyle w:val="Title"/>
        <w:jc w:val="center"/>
      </w:pPr>
      <w:bookmarkStart w:id="1" w:name="_Toc133227515"/>
      <w:bookmarkStart w:id="2" w:name="_Toc137733924"/>
      <w:bookmarkStart w:id="3" w:name="_Toc138847406"/>
      <w:bookmarkStart w:id="4" w:name="_Toc138856506"/>
      <w:r w:rsidRPr="007E0D57">
        <w:t>Review of the Disability Standards for Accessible Public Transport 2002</w:t>
      </w:r>
      <w:bookmarkEnd w:id="1"/>
      <w:bookmarkEnd w:id="2"/>
      <w:bookmarkEnd w:id="3"/>
      <w:bookmarkEnd w:id="4"/>
    </w:p>
    <w:p w14:paraId="49D79C15" w14:textId="4CDC2770" w:rsidR="008B6A77" w:rsidRPr="00C1798D" w:rsidRDefault="008B6A77" w:rsidP="00771AA7">
      <w:pPr>
        <w:pStyle w:val="Heading1"/>
        <w:jc w:val="center"/>
      </w:pPr>
      <w:bookmarkStart w:id="5" w:name="_Toc99975355"/>
      <w:bookmarkStart w:id="6" w:name="_Toc99975401"/>
      <w:bookmarkStart w:id="7" w:name="_Toc99975438"/>
      <w:bookmarkStart w:id="8" w:name="_Toc99975451"/>
      <w:bookmarkStart w:id="9" w:name="_Toc99975568"/>
      <w:bookmarkStart w:id="10" w:name="_Toc133227516"/>
      <w:bookmarkStart w:id="11" w:name="_Toc137733925"/>
      <w:bookmarkStart w:id="12" w:name="_Toc138847407"/>
      <w:bookmarkStart w:id="13" w:name="_Toc138856507"/>
      <w:r w:rsidRPr="00C1798D">
        <w:t xml:space="preserve">Submission by the Australian Communications Consumer Action Network </w:t>
      </w:r>
      <w:r w:rsidR="0012556A" w:rsidRPr="00C1798D">
        <w:t xml:space="preserve">(ACCAN) </w:t>
      </w:r>
      <w:r w:rsidRPr="00C1798D">
        <w:t xml:space="preserve">to </w:t>
      </w:r>
      <w:r w:rsidR="00A8050C">
        <w:t xml:space="preserve">The </w:t>
      </w:r>
      <w:r w:rsidR="00A8050C" w:rsidRPr="00A375F8">
        <w:rPr>
          <w:lang w:val="en-US" w:eastAsia="en-US"/>
        </w:rPr>
        <w:t>Department of Infrastructure, Transport, Regional Development, Communications and the Arts</w:t>
      </w:r>
      <w:bookmarkEnd w:id="5"/>
      <w:bookmarkEnd w:id="6"/>
      <w:bookmarkEnd w:id="7"/>
      <w:bookmarkEnd w:id="8"/>
      <w:bookmarkEnd w:id="9"/>
      <w:bookmarkEnd w:id="10"/>
      <w:bookmarkEnd w:id="11"/>
      <w:bookmarkEnd w:id="12"/>
      <w:bookmarkEnd w:id="13"/>
    </w:p>
    <w:p w14:paraId="6F8B9DD4" w14:textId="77777777" w:rsidR="00E95EF3" w:rsidRPr="00E95EF3" w:rsidRDefault="00E95EF3" w:rsidP="006B1CBA">
      <w:pPr>
        <w:rPr>
          <w:lang w:val="en-US" w:eastAsia="en-US"/>
        </w:rPr>
      </w:pPr>
    </w:p>
    <w:p w14:paraId="5A32C3CD" w14:textId="77777777" w:rsidR="00A761CF" w:rsidRDefault="00A761CF" w:rsidP="006B1CBA">
      <w:r>
        <w:br w:type="page"/>
      </w:r>
    </w:p>
    <w:p w14:paraId="688E7DFD" w14:textId="77777777" w:rsidR="00B41CA8" w:rsidRPr="00B41CA8" w:rsidRDefault="00B41CA8" w:rsidP="00B41CA8">
      <w:pPr>
        <w:spacing w:before="100" w:beforeAutospacing="1" w:after="100" w:afterAutospacing="1" w:line="240" w:lineRule="auto"/>
        <w:rPr>
          <w:rFonts w:ascii="Calibri" w:eastAsia="MS Mincho" w:hAnsi="Calibri" w:cs="Arial"/>
          <w:b/>
        </w:rPr>
      </w:pPr>
      <w:r w:rsidRPr="00B41CA8">
        <w:rPr>
          <w:rFonts w:ascii="Calibri" w:eastAsia="MS Mincho" w:hAnsi="Calibri" w:cs="Arial"/>
          <w:b/>
        </w:rPr>
        <w:lastRenderedPageBreak/>
        <w:t xml:space="preserve">About ACCAN </w:t>
      </w:r>
    </w:p>
    <w:p w14:paraId="3D84500A" w14:textId="77777777" w:rsidR="00B41CA8" w:rsidRPr="00B41CA8" w:rsidRDefault="00B41CA8" w:rsidP="005537B6">
      <w:r w:rsidRPr="00B41CA8">
        <w:t xml:space="preserve">The Australian Communications Consumer Action Network (ACCAN) is the peak body that represents all consumers on communications issues including telecommunications, broadband and emerging new services. ACCAN provides a strong </w:t>
      </w:r>
      <w:r w:rsidRPr="007B1E9D">
        <w:t>unified</w:t>
      </w:r>
      <w:r w:rsidRPr="00B41CA8">
        <w:t xml:space="preserve"> voice to industry and government as consumers work towards communications services that are trusted, inclusive and available for all.</w:t>
      </w:r>
    </w:p>
    <w:p w14:paraId="17FF7683" w14:textId="77777777" w:rsidR="00B41CA8" w:rsidRPr="00B41CA8" w:rsidRDefault="00B41CA8" w:rsidP="005537B6">
      <w:r w:rsidRPr="00B41CA8">
        <w:t>Consumers need ACCAN to promote better consumer protection outcomes ensuring speedy responses to complaints and issues. ACCAN aims to empower consumers so that they are well informed and can make good choices about products and services. As a peak body, ACCAN will represent the views of its broad and diverse membership base to policy makers, government and industry to get better outcomes for all communications consumers. </w:t>
      </w:r>
    </w:p>
    <w:p w14:paraId="3E724220" w14:textId="77777777" w:rsidR="00B41CA8" w:rsidRPr="00B41CA8" w:rsidRDefault="00B41CA8" w:rsidP="00B41CA8">
      <w:pPr>
        <w:spacing w:before="100" w:beforeAutospacing="1" w:after="100" w:afterAutospacing="1" w:line="240" w:lineRule="auto"/>
        <w:rPr>
          <w:rFonts w:ascii="Calibri" w:eastAsia="MS Mincho" w:hAnsi="Calibri" w:cs="Arial"/>
          <w:b/>
        </w:rPr>
      </w:pPr>
      <w:r w:rsidRPr="00B41CA8">
        <w:rPr>
          <w:rFonts w:ascii="Calibri" w:eastAsia="MS Mincho" w:hAnsi="Calibri" w:cs="Arial"/>
          <w:b/>
        </w:rPr>
        <w:t>Contact</w:t>
      </w:r>
    </w:p>
    <w:p w14:paraId="405FAADA" w14:textId="72FBD677" w:rsidR="00667345" w:rsidRDefault="007E0D57" w:rsidP="00A86969">
      <w:pPr>
        <w:pStyle w:val="NoSpacing"/>
      </w:pPr>
      <w:r>
        <w:t>Elie El-Khoury Antonios</w:t>
      </w:r>
    </w:p>
    <w:p w14:paraId="648E7EC3" w14:textId="5F7A8370" w:rsidR="007E0D57" w:rsidRDefault="007E0D57" w:rsidP="00A86969">
      <w:pPr>
        <w:pStyle w:val="NoSpacing"/>
      </w:pPr>
      <w:r>
        <w:t>Disability Policy Officer</w:t>
      </w:r>
    </w:p>
    <w:p w14:paraId="26F039C3" w14:textId="77777777" w:rsidR="00A86969" w:rsidRPr="00667345" w:rsidRDefault="00A86969" w:rsidP="00A86969">
      <w:pPr>
        <w:pStyle w:val="NoSpacing"/>
      </w:pPr>
    </w:p>
    <w:p w14:paraId="312A563F" w14:textId="77777777" w:rsidR="00B41CA8" w:rsidRPr="00B41CA8" w:rsidRDefault="00B41CA8" w:rsidP="005537B6">
      <w:r w:rsidRPr="00B41CA8">
        <w:t>PO Box A1158</w:t>
      </w:r>
      <w:r w:rsidR="005537B6" w:rsidRPr="00B41CA8">
        <w:br/>
      </w:r>
      <w:r w:rsidRPr="00B41CA8">
        <w:t>Sydney South NSW 1235</w:t>
      </w:r>
      <w:r w:rsidRPr="00B41CA8">
        <w:br/>
        <w:t xml:space="preserve">Email: </w:t>
      </w:r>
      <w:hyperlink r:id="rId21" w:history="1">
        <w:r w:rsidRPr="00B41CA8">
          <w:rPr>
            <w:color w:val="0000FF"/>
            <w:u w:val="single"/>
          </w:rPr>
          <w:t>info@accan.org.au</w:t>
        </w:r>
      </w:hyperlink>
      <w:r w:rsidRPr="00B41CA8">
        <w:rPr>
          <w:color w:val="0000FF"/>
          <w:u w:val="single"/>
        </w:rPr>
        <w:br/>
      </w:r>
      <w:r w:rsidRPr="00B41CA8">
        <w:t>Phone: (02) 9288 4000</w:t>
      </w:r>
      <w:r w:rsidRPr="00B41CA8">
        <w:br/>
        <w:t xml:space="preserve">Contact us through the </w:t>
      </w:r>
      <w:hyperlink r:id="rId22" w:history="1">
        <w:r w:rsidRPr="00B41CA8">
          <w:rPr>
            <w:color w:val="0000FF"/>
            <w:u w:val="single"/>
          </w:rPr>
          <w:t>National Relay Service</w:t>
        </w:r>
      </w:hyperlink>
    </w:p>
    <w:p w14:paraId="403B7BB0" w14:textId="77777777" w:rsidR="000547D7" w:rsidRDefault="000547D7">
      <w:r>
        <w:br w:type="page"/>
      </w:r>
    </w:p>
    <w:sdt>
      <w:sdtPr>
        <w:rPr>
          <w:rFonts w:eastAsia="MS Mincho" w:cs="Arial"/>
          <w:bCs/>
          <w:sz w:val="23"/>
        </w:rPr>
        <w:id w:val="-39521029"/>
        <w:docPartObj>
          <w:docPartGallery w:val="Table of Contents"/>
          <w:docPartUnique/>
        </w:docPartObj>
      </w:sdtPr>
      <w:sdtEndPr>
        <w:rPr>
          <w:b/>
          <w:bCs w:val="0"/>
          <w:noProof/>
          <w:sz w:val="22"/>
        </w:rPr>
      </w:sdtEndPr>
      <w:sdtContent>
        <w:p w14:paraId="0D3BF5F1" w14:textId="77777777" w:rsidR="00864B23" w:rsidRDefault="00B41CA8" w:rsidP="009235EF">
          <w:pPr>
            <w:rPr>
              <w:noProof/>
            </w:rPr>
          </w:pPr>
          <w:r w:rsidRPr="00EB44F4">
            <w:rPr>
              <w:rStyle w:val="TitleChar"/>
            </w:rPr>
            <w:t>Contents</w:t>
          </w:r>
          <w:r w:rsidRPr="00B41CA8">
            <w:rPr>
              <w:rFonts w:ascii="Calibri" w:eastAsia="MS Mincho" w:hAnsi="Calibri" w:cs="Arial"/>
            </w:rPr>
            <w:fldChar w:fldCharType="begin"/>
          </w:r>
          <w:r w:rsidRPr="00B41CA8">
            <w:rPr>
              <w:rFonts w:ascii="Calibri" w:eastAsia="MS Mincho" w:hAnsi="Calibri" w:cs="Arial"/>
            </w:rPr>
            <w:instrText xml:space="preserve"> TOC \o "1-1" \h \z \u </w:instrText>
          </w:r>
          <w:r w:rsidRPr="00B41CA8">
            <w:rPr>
              <w:rFonts w:ascii="Calibri" w:eastAsia="MS Mincho" w:hAnsi="Calibri" w:cs="Arial"/>
            </w:rPr>
            <w:fldChar w:fldCharType="separate"/>
          </w:r>
        </w:p>
        <w:p w14:paraId="3D31C932" w14:textId="7FE8DA48" w:rsidR="00864B23" w:rsidRDefault="00000000">
          <w:pPr>
            <w:pStyle w:val="TOC1"/>
            <w:rPr>
              <w:noProof/>
              <w:kern w:val="2"/>
              <w14:ligatures w14:val="standardContextual"/>
            </w:rPr>
          </w:pPr>
          <w:hyperlink w:anchor="_Toc138856508" w:history="1">
            <w:r w:rsidR="00864B23" w:rsidRPr="00FC5311">
              <w:rPr>
                <w:rStyle w:val="Hyperlink"/>
                <w:noProof/>
              </w:rPr>
              <w:t>Executive Summary</w:t>
            </w:r>
            <w:r w:rsidR="00864B23">
              <w:rPr>
                <w:noProof/>
                <w:webHidden/>
              </w:rPr>
              <w:tab/>
            </w:r>
            <w:r w:rsidR="00864B23">
              <w:rPr>
                <w:noProof/>
                <w:webHidden/>
              </w:rPr>
              <w:fldChar w:fldCharType="begin"/>
            </w:r>
            <w:r w:rsidR="00864B23">
              <w:rPr>
                <w:noProof/>
                <w:webHidden/>
              </w:rPr>
              <w:instrText xml:space="preserve"> PAGEREF _Toc138856508 \h </w:instrText>
            </w:r>
            <w:r w:rsidR="00864B23">
              <w:rPr>
                <w:noProof/>
                <w:webHidden/>
              </w:rPr>
            </w:r>
            <w:r w:rsidR="00864B23">
              <w:rPr>
                <w:noProof/>
                <w:webHidden/>
              </w:rPr>
              <w:fldChar w:fldCharType="separate"/>
            </w:r>
            <w:r w:rsidR="003B0596">
              <w:rPr>
                <w:noProof/>
                <w:webHidden/>
              </w:rPr>
              <w:t>4</w:t>
            </w:r>
            <w:r w:rsidR="00864B23">
              <w:rPr>
                <w:noProof/>
                <w:webHidden/>
              </w:rPr>
              <w:fldChar w:fldCharType="end"/>
            </w:r>
          </w:hyperlink>
        </w:p>
        <w:p w14:paraId="3A0045B3" w14:textId="7F24FEB7" w:rsidR="00864B23" w:rsidRDefault="00000000">
          <w:pPr>
            <w:pStyle w:val="TOC1"/>
            <w:rPr>
              <w:noProof/>
              <w:kern w:val="2"/>
              <w14:ligatures w14:val="standardContextual"/>
            </w:rPr>
          </w:pPr>
          <w:hyperlink w:anchor="_Toc138856509" w:history="1">
            <w:r w:rsidR="00864B23" w:rsidRPr="00FC5311">
              <w:rPr>
                <w:rStyle w:val="Hyperlink"/>
                <w:noProof/>
                <w:lang w:eastAsia="en-US"/>
              </w:rPr>
              <w:t>List of Recommendations</w:t>
            </w:r>
            <w:r w:rsidR="00864B23">
              <w:rPr>
                <w:noProof/>
                <w:webHidden/>
              </w:rPr>
              <w:tab/>
            </w:r>
            <w:r w:rsidR="00864B23">
              <w:rPr>
                <w:noProof/>
                <w:webHidden/>
              </w:rPr>
              <w:fldChar w:fldCharType="begin"/>
            </w:r>
            <w:r w:rsidR="00864B23">
              <w:rPr>
                <w:noProof/>
                <w:webHidden/>
              </w:rPr>
              <w:instrText xml:space="preserve"> PAGEREF _Toc138856509 \h </w:instrText>
            </w:r>
            <w:r w:rsidR="00864B23">
              <w:rPr>
                <w:noProof/>
                <w:webHidden/>
              </w:rPr>
            </w:r>
            <w:r w:rsidR="00864B23">
              <w:rPr>
                <w:noProof/>
                <w:webHidden/>
              </w:rPr>
              <w:fldChar w:fldCharType="separate"/>
            </w:r>
            <w:r w:rsidR="003B0596">
              <w:rPr>
                <w:noProof/>
                <w:webHidden/>
              </w:rPr>
              <w:t>5</w:t>
            </w:r>
            <w:r w:rsidR="00864B23">
              <w:rPr>
                <w:noProof/>
                <w:webHidden/>
              </w:rPr>
              <w:fldChar w:fldCharType="end"/>
            </w:r>
          </w:hyperlink>
        </w:p>
        <w:p w14:paraId="377EC942" w14:textId="1DB4DDCE" w:rsidR="00864B23" w:rsidRDefault="00000000">
          <w:pPr>
            <w:pStyle w:val="TOC1"/>
            <w:rPr>
              <w:noProof/>
              <w:kern w:val="2"/>
              <w14:ligatures w14:val="standardContextual"/>
            </w:rPr>
          </w:pPr>
          <w:hyperlink w:anchor="_Toc138856510" w:history="1">
            <w:r w:rsidR="00864B23" w:rsidRPr="00FC5311">
              <w:rPr>
                <w:rStyle w:val="Hyperlink"/>
                <w:noProof/>
                <w:lang w:val="en-US" w:eastAsia="en-US"/>
              </w:rPr>
              <w:t>Key Issues</w:t>
            </w:r>
            <w:r w:rsidR="00864B23">
              <w:rPr>
                <w:noProof/>
                <w:webHidden/>
              </w:rPr>
              <w:tab/>
            </w:r>
            <w:r w:rsidR="00864B23">
              <w:rPr>
                <w:noProof/>
                <w:webHidden/>
              </w:rPr>
              <w:fldChar w:fldCharType="begin"/>
            </w:r>
            <w:r w:rsidR="00864B23">
              <w:rPr>
                <w:noProof/>
                <w:webHidden/>
              </w:rPr>
              <w:instrText xml:space="preserve"> PAGEREF _Toc138856510 \h </w:instrText>
            </w:r>
            <w:r w:rsidR="00864B23">
              <w:rPr>
                <w:noProof/>
                <w:webHidden/>
              </w:rPr>
            </w:r>
            <w:r w:rsidR="00864B23">
              <w:rPr>
                <w:noProof/>
                <w:webHidden/>
              </w:rPr>
              <w:fldChar w:fldCharType="separate"/>
            </w:r>
            <w:r w:rsidR="003B0596">
              <w:rPr>
                <w:noProof/>
                <w:webHidden/>
              </w:rPr>
              <w:t>6</w:t>
            </w:r>
            <w:r w:rsidR="00864B23">
              <w:rPr>
                <w:noProof/>
                <w:webHidden/>
              </w:rPr>
              <w:fldChar w:fldCharType="end"/>
            </w:r>
          </w:hyperlink>
        </w:p>
        <w:p w14:paraId="15FBABAA" w14:textId="30AEE79F" w:rsidR="00864B23" w:rsidRDefault="00000000">
          <w:pPr>
            <w:pStyle w:val="TOC1"/>
            <w:rPr>
              <w:noProof/>
              <w:kern w:val="2"/>
              <w14:ligatures w14:val="standardContextual"/>
            </w:rPr>
          </w:pPr>
          <w:hyperlink w:anchor="_Toc138856511" w:history="1">
            <w:r w:rsidR="00864B23" w:rsidRPr="00FC5311">
              <w:rPr>
                <w:rStyle w:val="Hyperlink"/>
                <w:noProof/>
              </w:rPr>
              <w:t>Conclusion</w:t>
            </w:r>
            <w:r w:rsidR="00864B23">
              <w:rPr>
                <w:noProof/>
                <w:webHidden/>
              </w:rPr>
              <w:tab/>
            </w:r>
            <w:r w:rsidR="00864B23">
              <w:rPr>
                <w:noProof/>
                <w:webHidden/>
              </w:rPr>
              <w:fldChar w:fldCharType="begin"/>
            </w:r>
            <w:r w:rsidR="00864B23">
              <w:rPr>
                <w:noProof/>
                <w:webHidden/>
              </w:rPr>
              <w:instrText xml:space="preserve"> PAGEREF _Toc138856511 \h </w:instrText>
            </w:r>
            <w:r w:rsidR="00864B23">
              <w:rPr>
                <w:noProof/>
                <w:webHidden/>
              </w:rPr>
            </w:r>
            <w:r w:rsidR="00864B23">
              <w:rPr>
                <w:noProof/>
                <w:webHidden/>
              </w:rPr>
              <w:fldChar w:fldCharType="separate"/>
            </w:r>
            <w:r w:rsidR="003B0596">
              <w:rPr>
                <w:noProof/>
                <w:webHidden/>
              </w:rPr>
              <w:t>10</w:t>
            </w:r>
            <w:r w:rsidR="00864B23">
              <w:rPr>
                <w:noProof/>
                <w:webHidden/>
              </w:rPr>
              <w:fldChar w:fldCharType="end"/>
            </w:r>
          </w:hyperlink>
        </w:p>
        <w:p w14:paraId="0E616074" w14:textId="72BF9975" w:rsidR="00B41CA8" w:rsidRPr="005537B6" w:rsidRDefault="00B41CA8" w:rsidP="00756F51">
          <w:pPr>
            <w:tabs>
              <w:tab w:val="right" w:leader="dot" w:pos="9016"/>
            </w:tabs>
            <w:rPr>
              <w:rFonts w:ascii="Calibri" w:eastAsia="MS Mincho" w:hAnsi="Calibri" w:cs="Arial"/>
            </w:rPr>
          </w:pPr>
          <w:r w:rsidRPr="00B41CA8">
            <w:rPr>
              <w:rFonts w:ascii="Calibri" w:eastAsia="MS Mincho" w:hAnsi="Calibri" w:cs="Arial"/>
            </w:rPr>
            <w:fldChar w:fldCharType="end"/>
          </w:r>
        </w:p>
      </w:sdtContent>
    </w:sdt>
    <w:p w14:paraId="48BDF6AA" w14:textId="77777777" w:rsidR="00756F51" w:rsidRDefault="00756F51" w:rsidP="0017456B">
      <w:pPr>
        <w:rPr>
          <w:lang w:val="en-US"/>
        </w:rPr>
      </w:pPr>
    </w:p>
    <w:p w14:paraId="3AACBE43" w14:textId="77777777" w:rsidR="005537B6" w:rsidRPr="0017456B" w:rsidRDefault="005537B6" w:rsidP="0017456B">
      <w:r>
        <w:rPr>
          <w:lang w:val="en-US"/>
        </w:rPr>
        <w:br w:type="page"/>
      </w:r>
    </w:p>
    <w:p w14:paraId="100BD667" w14:textId="77777777" w:rsidR="00B41CA8" w:rsidRPr="00FB2211" w:rsidRDefault="006A30FD" w:rsidP="008F5831">
      <w:pPr>
        <w:pStyle w:val="Title"/>
      </w:pPr>
      <w:bookmarkStart w:id="14" w:name="_Toc138847408"/>
      <w:bookmarkStart w:id="15" w:name="_Toc138856508"/>
      <w:r>
        <w:lastRenderedPageBreak/>
        <w:t>Executive Summary</w:t>
      </w:r>
      <w:bookmarkEnd w:id="14"/>
      <w:bookmarkEnd w:id="15"/>
    </w:p>
    <w:p w14:paraId="76A3A00A" w14:textId="77777777" w:rsidR="00C91069" w:rsidRDefault="005643A3" w:rsidP="003F209D">
      <w:pPr>
        <w:rPr>
          <w:lang w:val="en-US" w:eastAsia="en-US"/>
        </w:rPr>
      </w:pPr>
      <w:bookmarkStart w:id="16" w:name="_Toc99975453"/>
      <w:bookmarkStart w:id="17" w:name="_Toc99975570"/>
      <w:r w:rsidRPr="005643A3">
        <w:rPr>
          <w:lang w:val="en-US" w:eastAsia="en-US"/>
        </w:rPr>
        <w:t>The Australian Communications Consumer Action Network</w:t>
      </w:r>
      <w:r>
        <w:rPr>
          <w:lang w:val="en-US" w:eastAsia="en-US"/>
        </w:rPr>
        <w:t xml:space="preserve"> (</w:t>
      </w:r>
      <w:r w:rsidR="004936A4" w:rsidRPr="005643A3">
        <w:rPr>
          <w:b/>
          <w:bCs/>
          <w:lang w:val="en-US" w:eastAsia="en-US"/>
        </w:rPr>
        <w:t>ACCAN</w:t>
      </w:r>
      <w:r>
        <w:rPr>
          <w:lang w:val="en-US" w:eastAsia="en-US"/>
        </w:rPr>
        <w:t>)</w:t>
      </w:r>
      <w:r w:rsidR="004936A4">
        <w:rPr>
          <w:lang w:val="en-US" w:eastAsia="en-US"/>
        </w:rPr>
        <w:t xml:space="preserve"> thanks the </w:t>
      </w:r>
      <w:r w:rsidR="00A375F8" w:rsidRPr="00A375F8">
        <w:rPr>
          <w:lang w:val="en-US" w:eastAsia="en-US"/>
        </w:rPr>
        <w:t>Department of Infrastructure, Transport, Regional Development, Communications and the Arts</w:t>
      </w:r>
      <w:r w:rsidR="00A375F8">
        <w:rPr>
          <w:lang w:val="en-US" w:eastAsia="en-US"/>
        </w:rPr>
        <w:t xml:space="preserve"> for the opportunity </w:t>
      </w:r>
      <w:r w:rsidR="00BB7AF2">
        <w:rPr>
          <w:lang w:val="en-US" w:eastAsia="en-US"/>
        </w:rPr>
        <w:t xml:space="preserve">to make a submission to the </w:t>
      </w:r>
      <w:r w:rsidR="00BB7AF2" w:rsidRPr="00BB7AF2">
        <w:rPr>
          <w:lang w:val="en-US" w:eastAsia="en-US"/>
        </w:rPr>
        <w:t xml:space="preserve">2022 Review of the </w:t>
      </w:r>
      <w:r w:rsidR="00BB7AF2" w:rsidRPr="001519AE">
        <w:rPr>
          <w:i/>
          <w:iCs/>
          <w:lang w:val="en-US" w:eastAsia="en-US"/>
        </w:rPr>
        <w:t>Disability Standards for Accessible Public Transport 2002</w:t>
      </w:r>
      <w:r w:rsidR="001519AE">
        <w:rPr>
          <w:lang w:val="en-US" w:eastAsia="en-US"/>
        </w:rPr>
        <w:t xml:space="preserve"> </w:t>
      </w:r>
      <w:r w:rsidR="008F24B6" w:rsidRPr="00041B14">
        <w:rPr>
          <w:lang w:val="en-US" w:eastAsia="en-US"/>
        </w:rPr>
        <w:t>(</w:t>
      </w:r>
      <w:r w:rsidR="00AA2000" w:rsidRPr="00771E8A">
        <w:rPr>
          <w:b/>
          <w:bCs/>
          <w:i/>
          <w:iCs/>
          <w:lang w:val="en-US" w:eastAsia="en-US"/>
        </w:rPr>
        <w:t>t</w:t>
      </w:r>
      <w:r w:rsidR="008F24B6" w:rsidRPr="00771E8A">
        <w:rPr>
          <w:b/>
          <w:bCs/>
          <w:i/>
          <w:iCs/>
          <w:lang w:val="en-US" w:eastAsia="en-US"/>
        </w:rPr>
        <w:t>he Transport Standards</w:t>
      </w:r>
      <w:r w:rsidR="008F24B6" w:rsidRPr="00041B14">
        <w:rPr>
          <w:lang w:val="en-US" w:eastAsia="en-US"/>
        </w:rPr>
        <w:t>)</w:t>
      </w:r>
      <w:r w:rsidR="00FD44B7" w:rsidRPr="00041B14">
        <w:rPr>
          <w:lang w:val="en-US" w:eastAsia="en-US"/>
        </w:rPr>
        <w:t>.</w:t>
      </w:r>
      <w:r w:rsidR="00FD44B7">
        <w:rPr>
          <w:rStyle w:val="FootnoteReference"/>
          <w:lang w:val="en-US" w:eastAsia="en-US"/>
        </w:rPr>
        <w:footnoteReference w:id="2"/>
      </w:r>
      <w:r w:rsidR="00417C1C">
        <w:rPr>
          <w:lang w:val="en-US" w:eastAsia="en-US"/>
        </w:rPr>
        <w:t xml:space="preserve"> </w:t>
      </w:r>
      <w:r w:rsidR="00F52FB1">
        <w:rPr>
          <w:lang w:val="en-US" w:eastAsia="en-US"/>
        </w:rPr>
        <w:t>This submission has been developed in consultation with our members, including Deafness Forum of Australia</w:t>
      </w:r>
      <w:r w:rsidR="005A74A9">
        <w:rPr>
          <w:lang w:val="en-US" w:eastAsia="en-US"/>
        </w:rPr>
        <w:t xml:space="preserve"> and Blind Citizens Australia (</w:t>
      </w:r>
      <w:r w:rsidR="005A74A9">
        <w:rPr>
          <w:b/>
          <w:bCs/>
          <w:lang w:val="en-US" w:eastAsia="en-US"/>
        </w:rPr>
        <w:t>BCA</w:t>
      </w:r>
      <w:r w:rsidR="005A74A9">
        <w:rPr>
          <w:lang w:val="en-US" w:eastAsia="en-US"/>
        </w:rPr>
        <w:t>)</w:t>
      </w:r>
      <w:r w:rsidR="005C25C1">
        <w:rPr>
          <w:lang w:val="en-US" w:eastAsia="en-US"/>
        </w:rPr>
        <w:t xml:space="preserve">. </w:t>
      </w:r>
      <w:r w:rsidR="00164E46">
        <w:rPr>
          <w:lang w:val="en-US" w:eastAsia="en-US"/>
        </w:rPr>
        <w:t xml:space="preserve">Additionally, ACCAN </w:t>
      </w:r>
      <w:r w:rsidR="001146A1">
        <w:rPr>
          <w:lang w:val="en-US" w:eastAsia="en-US"/>
        </w:rPr>
        <w:t>supports</w:t>
      </w:r>
      <w:r w:rsidR="00164E46">
        <w:rPr>
          <w:lang w:val="en-US" w:eastAsia="en-US"/>
        </w:rPr>
        <w:t xml:space="preserve"> the recommendations made in BCA’s submission to the </w:t>
      </w:r>
      <w:r w:rsidR="009C0537">
        <w:rPr>
          <w:lang w:val="en-US" w:eastAsia="en-US"/>
        </w:rPr>
        <w:t xml:space="preserve">review of the Transport </w:t>
      </w:r>
      <w:r w:rsidR="0018416B">
        <w:rPr>
          <w:lang w:val="en-US" w:eastAsia="en-US"/>
        </w:rPr>
        <w:t xml:space="preserve">Standards. </w:t>
      </w:r>
    </w:p>
    <w:p w14:paraId="00C9C7E8" w14:textId="13C8F708" w:rsidR="0015758F" w:rsidRDefault="00DA3010" w:rsidP="003F209D">
      <w:pPr>
        <w:rPr>
          <w:lang w:val="en-US" w:eastAsia="en-US"/>
        </w:rPr>
      </w:pPr>
      <w:r>
        <w:rPr>
          <w:lang w:val="en-US" w:eastAsia="en-US"/>
        </w:rPr>
        <w:t>A</w:t>
      </w:r>
      <w:r w:rsidR="00417C1C">
        <w:rPr>
          <w:lang w:val="en-US" w:eastAsia="en-US"/>
        </w:rPr>
        <w:t>ccess to transport is a basic human right for people with disability</w:t>
      </w:r>
      <w:r w:rsidR="005F7467">
        <w:rPr>
          <w:lang w:val="en-US" w:eastAsia="en-US"/>
        </w:rPr>
        <w:t>.</w:t>
      </w:r>
      <w:r w:rsidR="00632ED3">
        <w:rPr>
          <w:lang w:val="en-US" w:eastAsia="en-US"/>
        </w:rPr>
        <w:t xml:space="preserve"> This </w:t>
      </w:r>
      <w:r w:rsidR="00B82D4F">
        <w:rPr>
          <w:lang w:val="en-US" w:eastAsia="en-US"/>
        </w:rPr>
        <w:t xml:space="preserve">right is </w:t>
      </w:r>
      <w:r w:rsidR="00417C1C">
        <w:rPr>
          <w:lang w:val="en-US" w:eastAsia="en-US"/>
        </w:rPr>
        <w:t>enshrined in the Convention of the Rights o</w:t>
      </w:r>
      <w:r w:rsidR="00BA31B0">
        <w:rPr>
          <w:lang w:val="en-US" w:eastAsia="en-US"/>
        </w:rPr>
        <w:t xml:space="preserve">f </w:t>
      </w:r>
      <w:r w:rsidR="00A63DF9">
        <w:rPr>
          <w:lang w:val="en-US" w:eastAsia="en-US"/>
        </w:rPr>
        <w:t>Persons</w:t>
      </w:r>
      <w:r w:rsidR="00BA31B0">
        <w:rPr>
          <w:lang w:val="en-US" w:eastAsia="en-US"/>
        </w:rPr>
        <w:t xml:space="preserve"> with Disabilities (</w:t>
      </w:r>
      <w:r w:rsidR="00BA31B0" w:rsidRPr="00E71D9B">
        <w:rPr>
          <w:b/>
          <w:bCs/>
          <w:lang w:val="en-US" w:eastAsia="en-US"/>
        </w:rPr>
        <w:t>CRPD</w:t>
      </w:r>
      <w:r w:rsidR="00BA31B0">
        <w:rPr>
          <w:lang w:val="en-US" w:eastAsia="en-US"/>
        </w:rPr>
        <w:t>)</w:t>
      </w:r>
      <w:r w:rsidR="00632ED3">
        <w:rPr>
          <w:lang w:val="en-US" w:eastAsia="en-US"/>
        </w:rPr>
        <w:t>, specifically Article 9</w:t>
      </w:r>
      <w:r w:rsidR="002865CD">
        <w:rPr>
          <w:lang w:val="en-US" w:eastAsia="en-US"/>
        </w:rPr>
        <w:t xml:space="preserve"> </w:t>
      </w:r>
      <w:r w:rsidR="00361DA1">
        <w:rPr>
          <w:lang w:val="en-US" w:eastAsia="en-US"/>
        </w:rPr>
        <w:t xml:space="preserve">of the CRPD </w:t>
      </w:r>
      <w:r w:rsidR="00120B2C">
        <w:rPr>
          <w:lang w:val="en-US" w:eastAsia="en-US"/>
        </w:rPr>
        <w:t xml:space="preserve">on </w:t>
      </w:r>
      <w:r w:rsidR="00B82D4F">
        <w:rPr>
          <w:lang w:val="en-US" w:eastAsia="en-US"/>
        </w:rPr>
        <w:t>a</w:t>
      </w:r>
      <w:r w:rsidR="00120B2C">
        <w:rPr>
          <w:lang w:val="en-US" w:eastAsia="en-US"/>
        </w:rPr>
        <w:t>ccessibility</w:t>
      </w:r>
      <w:r w:rsidR="002865CD">
        <w:rPr>
          <w:lang w:val="en-US" w:eastAsia="en-US"/>
        </w:rPr>
        <w:t>.</w:t>
      </w:r>
      <w:r w:rsidR="0014449D">
        <w:rPr>
          <w:rStyle w:val="FootnoteReference"/>
          <w:lang w:val="en-US" w:eastAsia="en-US"/>
        </w:rPr>
        <w:footnoteReference w:id="3"/>
      </w:r>
      <w:r w:rsidR="00340770">
        <w:rPr>
          <w:lang w:val="en-US" w:eastAsia="en-US"/>
        </w:rPr>
        <w:t xml:space="preserve"> </w:t>
      </w:r>
      <w:r w:rsidR="002932BE">
        <w:rPr>
          <w:lang w:val="en-US" w:eastAsia="en-US"/>
        </w:rPr>
        <w:t xml:space="preserve">Article 9 states that </w:t>
      </w:r>
      <w:r w:rsidR="00517035">
        <w:rPr>
          <w:lang w:val="en-US" w:eastAsia="en-US"/>
        </w:rPr>
        <w:t>“</w:t>
      </w:r>
      <w:r w:rsidR="0015758F" w:rsidRPr="0015758F">
        <w:rPr>
          <w:lang w:val="en-US" w:eastAsia="en-US"/>
        </w:rPr>
        <w:t>States Parties shall take appropriate measures to ensure to persons with disabilities access, on an equal basis with others, to the physical environment, to transportation</w:t>
      </w:r>
      <w:r w:rsidR="0015758F">
        <w:rPr>
          <w:lang w:val="en-US" w:eastAsia="en-US"/>
        </w:rPr>
        <w:t>…</w:t>
      </w:r>
      <w:r w:rsidR="00517035">
        <w:rPr>
          <w:lang w:val="en-US" w:eastAsia="en-US"/>
        </w:rPr>
        <w:t>”</w:t>
      </w:r>
      <w:r w:rsidR="0015758F">
        <w:rPr>
          <w:lang w:val="en-US" w:eastAsia="en-US"/>
        </w:rPr>
        <w:t>.</w:t>
      </w:r>
      <w:r w:rsidR="005A72F1">
        <w:rPr>
          <w:rStyle w:val="FootnoteReference"/>
          <w:lang w:val="en-US" w:eastAsia="en-US"/>
        </w:rPr>
        <w:footnoteReference w:id="4"/>
      </w:r>
      <w:r w:rsidR="0015758F">
        <w:rPr>
          <w:lang w:val="en-US" w:eastAsia="en-US"/>
        </w:rPr>
        <w:t xml:space="preserve"> </w:t>
      </w:r>
      <w:r w:rsidR="00340770">
        <w:rPr>
          <w:lang w:val="en-US" w:eastAsia="en-US"/>
        </w:rPr>
        <w:t>To ensure equitable and non-</w:t>
      </w:r>
      <w:r w:rsidR="001608A7">
        <w:rPr>
          <w:lang w:val="en-US" w:eastAsia="en-US"/>
        </w:rPr>
        <w:t>discriminatory</w:t>
      </w:r>
      <w:r w:rsidR="00340770">
        <w:rPr>
          <w:lang w:val="en-US" w:eastAsia="en-US"/>
        </w:rPr>
        <w:t xml:space="preserve"> access to pu</w:t>
      </w:r>
      <w:r w:rsidR="001608A7">
        <w:rPr>
          <w:lang w:val="en-US" w:eastAsia="en-US"/>
        </w:rPr>
        <w:t xml:space="preserve">blic transport services, </w:t>
      </w:r>
      <w:r w:rsidR="005A5E86">
        <w:rPr>
          <w:lang w:val="en-US" w:eastAsia="en-US"/>
        </w:rPr>
        <w:t xml:space="preserve">it is ACCAN’s view that </w:t>
      </w:r>
      <w:r w:rsidR="008F24B6">
        <w:rPr>
          <w:lang w:val="en-US" w:eastAsia="en-US"/>
        </w:rPr>
        <w:t xml:space="preserve">the Transport Standards </w:t>
      </w:r>
      <w:r w:rsidR="003F209D">
        <w:rPr>
          <w:lang w:val="en-US" w:eastAsia="en-US"/>
        </w:rPr>
        <w:t xml:space="preserve">must </w:t>
      </w:r>
      <w:r w:rsidR="00787CB5">
        <w:rPr>
          <w:lang w:val="en-US" w:eastAsia="en-US"/>
        </w:rPr>
        <w:t xml:space="preserve">be amended to meet the needs of people with </w:t>
      </w:r>
      <w:r w:rsidR="00465B57">
        <w:rPr>
          <w:lang w:val="en-US" w:eastAsia="en-US"/>
        </w:rPr>
        <w:t xml:space="preserve">disability, including those with </w:t>
      </w:r>
      <w:r w:rsidR="00787CB5">
        <w:rPr>
          <w:lang w:val="en-US" w:eastAsia="en-US"/>
        </w:rPr>
        <w:t>communication</w:t>
      </w:r>
      <w:r w:rsidR="005F7467">
        <w:rPr>
          <w:lang w:val="en-US" w:eastAsia="en-US"/>
        </w:rPr>
        <w:t xml:space="preserve"> </w:t>
      </w:r>
      <w:r w:rsidR="00465B57">
        <w:rPr>
          <w:lang w:val="en-US" w:eastAsia="en-US"/>
        </w:rPr>
        <w:t>and sensory needs</w:t>
      </w:r>
      <w:r w:rsidR="003F209D">
        <w:rPr>
          <w:lang w:val="en-US" w:eastAsia="en-US"/>
        </w:rPr>
        <w:t>.</w:t>
      </w:r>
      <w:r w:rsidR="00B1483D">
        <w:rPr>
          <w:lang w:val="en-US" w:eastAsia="en-US"/>
        </w:rPr>
        <w:t xml:space="preserve"> </w:t>
      </w:r>
    </w:p>
    <w:p w14:paraId="71BD3B22" w14:textId="0914DF5E" w:rsidR="00787CB5" w:rsidRDefault="00B1483D" w:rsidP="003F209D">
      <w:pPr>
        <w:rPr>
          <w:lang w:val="en-US" w:eastAsia="en-US"/>
        </w:rPr>
      </w:pPr>
      <w:r>
        <w:rPr>
          <w:lang w:val="en-US" w:eastAsia="en-US"/>
        </w:rPr>
        <w:t xml:space="preserve">ACCAN’s submission </w:t>
      </w:r>
      <w:r w:rsidR="00580EFF">
        <w:rPr>
          <w:lang w:val="en-US" w:eastAsia="en-US"/>
        </w:rPr>
        <w:t xml:space="preserve">proposes amendments to the Transport Standards </w:t>
      </w:r>
      <w:r w:rsidR="000F198D">
        <w:rPr>
          <w:lang w:val="en-US" w:eastAsia="en-US"/>
        </w:rPr>
        <w:t>in the following area</w:t>
      </w:r>
      <w:r w:rsidR="00580EFF">
        <w:rPr>
          <w:lang w:val="en-US" w:eastAsia="en-US"/>
        </w:rPr>
        <w:t>s</w:t>
      </w:r>
      <w:r w:rsidR="000F198D">
        <w:rPr>
          <w:lang w:val="en-US" w:eastAsia="en-US"/>
        </w:rPr>
        <w:t>:</w:t>
      </w:r>
    </w:p>
    <w:p w14:paraId="71469FAB" w14:textId="7370EDBB" w:rsidR="001D569F" w:rsidRDefault="001D569F" w:rsidP="001D569F">
      <w:pPr>
        <w:pStyle w:val="Bulletlist1"/>
        <w:rPr>
          <w:lang w:val="en-US"/>
        </w:rPr>
      </w:pPr>
      <w:r>
        <w:rPr>
          <w:lang w:val="en-US"/>
        </w:rPr>
        <w:t>Exempt premises from the Transport Standards</w:t>
      </w:r>
    </w:p>
    <w:p w14:paraId="3D6853BD" w14:textId="094FE8A0" w:rsidR="001D569F" w:rsidRDefault="001D569F" w:rsidP="001D569F">
      <w:pPr>
        <w:pStyle w:val="Bulletlist1"/>
        <w:rPr>
          <w:lang w:val="en-US"/>
        </w:rPr>
      </w:pPr>
      <w:r>
        <w:rPr>
          <w:lang w:val="en-US"/>
        </w:rPr>
        <w:t>Accessibility signs and symbols</w:t>
      </w:r>
    </w:p>
    <w:p w14:paraId="666153CC" w14:textId="3F457BB3" w:rsidR="001D569F" w:rsidRDefault="001D569F" w:rsidP="001D569F">
      <w:pPr>
        <w:pStyle w:val="Bulletlist1"/>
        <w:rPr>
          <w:lang w:val="en-US"/>
        </w:rPr>
      </w:pPr>
      <w:r>
        <w:rPr>
          <w:lang w:val="en-US"/>
        </w:rPr>
        <w:t>Emergency situations</w:t>
      </w:r>
    </w:p>
    <w:p w14:paraId="30931FCB" w14:textId="44AC7995" w:rsidR="00820631" w:rsidRDefault="001D569F" w:rsidP="00820631">
      <w:pPr>
        <w:pStyle w:val="Bulletlist1"/>
        <w:rPr>
          <w:lang w:val="en-US"/>
        </w:rPr>
      </w:pPr>
      <w:r>
        <w:rPr>
          <w:lang w:val="en-US"/>
        </w:rPr>
        <w:t>Access to information</w:t>
      </w:r>
    </w:p>
    <w:p w14:paraId="03D38DC5" w14:textId="08E291EB" w:rsidR="001305FD" w:rsidRPr="00820631" w:rsidRDefault="001305FD" w:rsidP="001305FD">
      <w:pPr>
        <w:pStyle w:val="Bulletlist1"/>
        <w:numPr>
          <w:ilvl w:val="0"/>
          <w:numId w:val="0"/>
        </w:numPr>
        <w:rPr>
          <w:lang w:val="en-US"/>
        </w:rPr>
      </w:pPr>
      <w:r>
        <w:rPr>
          <w:lang w:val="en-US"/>
        </w:rPr>
        <w:t xml:space="preserve">Since the implementation of the Transport Standards, </w:t>
      </w:r>
      <w:r w:rsidR="007D4463">
        <w:rPr>
          <w:lang w:val="en-US"/>
        </w:rPr>
        <w:t xml:space="preserve">the </w:t>
      </w:r>
      <w:r>
        <w:rPr>
          <w:lang w:val="en-US"/>
        </w:rPr>
        <w:t xml:space="preserve">public </w:t>
      </w:r>
      <w:r w:rsidR="006066E0">
        <w:rPr>
          <w:lang w:val="en-US"/>
        </w:rPr>
        <w:t>transport</w:t>
      </w:r>
      <w:r w:rsidR="007D4463">
        <w:rPr>
          <w:lang w:val="en-US"/>
        </w:rPr>
        <w:t xml:space="preserve"> landscape</w:t>
      </w:r>
      <w:r w:rsidR="00DD7D2A">
        <w:rPr>
          <w:lang w:val="en-US"/>
        </w:rPr>
        <w:t xml:space="preserve"> has experienced a shift in the </w:t>
      </w:r>
      <w:r w:rsidR="00F17BEA">
        <w:rPr>
          <w:lang w:val="en-US"/>
        </w:rPr>
        <w:t xml:space="preserve">emerging </w:t>
      </w:r>
      <w:r w:rsidR="00DD7D2A">
        <w:rPr>
          <w:lang w:val="en-US"/>
        </w:rPr>
        <w:t xml:space="preserve">use of digital technologies to access </w:t>
      </w:r>
      <w:r w:rsidR="00F17BEA">
        <w:rPr>
          <w:lang w:val="en-US"/>
        </w:rPr>
        <w:t>rideshare</w:t>
      </w:r>
      <w:r w:rsidR="00DD7D2A">
        <w:rPr>
          <w:lang w:val="en-US"/>
        </w:rPr>
        <w:t xml:space="preserve"> services</w:t>
      </w:r>
      <w:r w:rsidR="00E93161">
        <w:rPr>
          <w:lang w:val="en-US"/>
        </w:rPr>
        <w:t xml:space="preserve"> </w:t>
      </w:r>
      <w:r w:rsidR="00520D99">
        <w:rPr>
          <w:lang w:val="en-US"/>
        </w:rPr>
        <w:t xml:space="preserve">and </w:t>
      </w:r>
      <w:r w:rsidR="00DD7D2A">
        <w:rPr>
          <w:lang w:val="en-US"/>
        </w:rPr>
        <w:t xml:space="preserve">transport </w:t>
      </w:r>
      <w:r w:rsidR="00160E56">
        <w:rPr>
          <w:lang w:val="en-US"/>
        </w:rPr>
        <w:t xml:space="preserve">routes. As such, the </w:t>
      </w:r>
      <w:r w:rsidR="00CE32A1">
        <w:rPr>
          <w:lang w:val="en-US"/>
        </w:rPr>
        <w:t xml:space="preserve">updated </w:t>
      </w:r>
      <w:r w:rsidR="00160E56">
        <w:rPr>
          <w:lang w:val="en-US"/>
        </w:rPr>
        <w:t xml:space="preserve">Transport Standards </w:t>
      </w:r>
      <w:r w:rsidR="00EF0B29">
        <w:rPr>
          <w:lang w:val="en-US"/>
        </w:rPr>
        <w:t>must reflect th</w:t>
      </w:r>
      <w:r w:rsidR="009B4403">
        <w:rPr>
          <w:lang w:val="en-US"/>
        </w:rPr>
        <w:t xml:space="preserve">e </w:t>
      </w:r>
      <w:r w:rsidR="00325FD7">
        <w:rPr>
          <w:lang w:val="en-US"/>
        </w:rPr>
        <w:t>use</w:t>
      </w:r>
      <w:r w:rsidR="009B4403">
        <w:rPr>
          <w:lang w:val="en-US"/>
        </w:rPr>
        <w:t xml:space="preserve"> of these services.</w:t>
      </w:r>
    </w:p>
    <w:bookmarkEnd w:id="16"/>
    <w:bookmarkEnd w:id="17"/>
    <w:p w14:paraId="262F7C70" w14:textId="0DC91BD5" w:rsidR="007A1766" w:rsidRPr="00E45B93" w:rsidRDefault="00E06D7C" w:rsidP="007A1766">
      <w:r>
        <w:rPr>
          <w:lang w:val="en-US"/>
        </w:rPr>
        <w:t xml:space="preserve">ACCAN’s submission recommends </w:t>
      </w:r>
      <w:r w:rsidR="00B93782">
        <w:rPr>
          <w:lang w:val="en-US"/>
        </w:rPr>
        <w:t xml:space="preserve">that the Transport Standards </w:t>
      </w:r>
      <w:r w:rsidR="00124B04">
        <w:rPr>
          <w:lang w:val="en-US"/>
        </w:rPr>
        <w:t xml:space="preserve">be </w:t>
      </w:r>
      <w:r w:rsidR="00B93782">
        <w:rPr>
          <w:lang w:val="en-US"/>
        </w:rPr>
        <w:t xml:space="preserve">amended to </w:t>
      </w:r>
      <w:r w:rsidR="00B01EF1">
        <w:rPr>
          <w:lang w:val="en-US"/>
        </w:rPr>
        <w:t xml:space="preserve">clarify why certain </w:t>
      </w:r>
      <w:r w:rsidR="00B93782">
        <w:rPr>
          <w:lang w:val="en-US"/>
        </w:rPr>
        <w:t xml:space="preserve">premises covered under the </w:t>
      </w:r>
      <w:r w:rsidR="00FD6E27" w:rsidRPr="00B13123">
        <w:rPr>
          <w:i/>
          <w:iCs/>
          <w:lang w:val="en-US"/>
        </w:rPr>
        <w:t>Disability (Access to Premises — Buildings) Standards 2010</w:t>
      </w:r>
      <w:r w:rsidR="00FD6E27">
        <w:rPr>
          <w:lang w:val="en-US"/>
        </w:rPr>
        <w:t xml:space="preserve"> (</w:t>
      </w:r>
      <w:r w:rsidR="000748FE" w:rsidRPr="000748FE">
        <w:rPr>
          <w:b/>
          <w:bCs/>
          <w:i/>
          <w:iCs/>
          <w:lang w:val="en-US"/>
        </w:rPr>
        <w:t xml:space="preserve">the </w:t>
      </w:r>
      <w:r w:rsidR="00FD6E27" w:rsidRPr="00771E8A">
        <w:rPr>
          <w:b/>
          <w:bCs/>
          <w:i/>
          <w:iCs/>
          <w:lang w:val="en-US"/>
        </w:rPr>
        <w:t>Premises Standards</w:t>
      </w:r>
      <w:r w:rsidR="00FD6E27">
        <w:rPr>
          <w:lang w:val="en-US"/>
        </w:rPr>
        <w:t>)</w:t>
      </w:r>
      <w:r w:rsidR="00B93782">
        <w:rPr>
          <w:lang w:val="en-US"/>
        </w:rPr>
        <w:t>, may be excluded from the Transport Standard</w:t>
      </w:r>
      <w:r w:rsidR="007A4571">
        <w:rPr>
          <w:lang w:val="en-US"/>
        </w:rPr>
        <w:t>s</w:t>
      </w:r>
      <w:r w:rsidR="00B93782">
        <w:rPr>
          <w:lang w:val="en-US"/>
        </w:rPr>
        <w:t xml:space="preserve">, as well as </w:t>
      </w:r>
      <w:r w:rsidR="00B01EF1">
        <w:rPr>
          <w:lang w:val="en-US"/>
        </w:rPr>
        <w:t xml:space="preserve">to </w:t>
      </w:r>
      <w:r w:rsidR="00B93782">
        <w:rPr>
          <w:lang w:val="en-US"/>
        </w:rPr>
        <w:t>incorporat</w:t>
      </w:r>
      <w:r w:rsidR="00B01EF1">
        <w:rPr>
          <w:lang w:val="en-US"/>
        </w:rPr>
        <w:t>e</w:t>
      </w:r>
      <w:r w:rsidR="00B93782">
        <w:rPr>
          <w:lang w:val="en-US"/>
        </w:rPr>
        <w:t xml:space="preserve"> updated </w:t>
      </w:r>
      <w:r w:rsidR="00B01EF1">
        <w:rPr>
          <w:lang w:val="en-US"/>
        </w:rPr>
        <w:t xml:space="preserve">Standards on accessible signs, symbols and illustrations. Furthermore, ACCAN recommends that the Transport </w:t>
      </w:r>
      <w:r w:rsidR="00771E8A">
        <w:rPr>
          <w:lang w:val="en-US"/>
        </w:rPr>
        <w:t>S</w:t>
      </w:r>
      <w:r w:rsidR="00B01EF1">
        <w:rPr>
          <w:lang w:val="en-US"/>
        </w:rPr>
        <w:t xml:space="preserve">tandards are amended to </w:t>
      </w:r>
      <w:r w:rsidR="00E34FAD">
        <w:rPr>
          <w:lang w:val="en-US"/>
        </w:rPr>
        <w:t>provide guidance on support for people with vision impairment in emergency situations, and to ensure</w:t>
      </w:r>
      <w:r w:rsidR="006A0D3D">
        <w:rPr>
          <w:lang w:val="en-US"/>
        </w:rPr>
        <w:t xml:space="preserve"> </w:t>
      </w:r>
      <w:r w:rsidR="007A1766">
        <w:t xml:space="preserve">general and real-time </w:t>
      </w:r>
      <w:r w:rsidR="007A1766" w:rsidRPr="00C66147">
        <w:t xml:space="preserve">information about transport services is provided in </w:t>
      </w:r>
      <w:r w:rsidR="007A1766">
        <w:t xml:space="preserve">a range of </w:t>
      </w:r>
      <w:r w:rsidR="007A1766" w:rsidRPr="00C66147">
        <w:t>accessible formats.</w:t>
      </w:r>
    </w:p>
    <w:p w14:paraId="7E8667D8" w14:textId="42D53C84" w:rsidR="000E63D2" w:rsidRDefault="000E63D2" w:rsidP="000E63D2">
      <w:pPr>
        <w:pStyle w:val="Title"/>
        <w:rPr>
          <w:lang w:eastAsia="en-US"/>
        </w:rPr>
      </w:pPr>
      <w:bookmarkStart w:id="18" w:name="_Toc138847409"/>
      <w:bookmarkStart w:id="19" w:name="_Toc138856509"/>
      <w:r w:rsidRPr="00B41CA8">
        <w:rPr>
          <w:lang w:eastAsia="en-US"/>
        </w:rPr>
        <w:lastRenderedPageBreak/>
        <w:t>List of Recommendations</w:t>
      </w:r>
      <w:bookmarkEnd w:id="18"/>
      <w:bookmarkEnd w:id="19"/>
    </w:p>
    <w:p w14:paraId="054AB60B" w14:textId="77777777" w:rsidR="000E63D2" w:rsidRDefault="000E63D2" w:rsidP="000E63D2">
      <w:pPr>
        <w:pStyle w:val="Recommendation"/>
        <w:numPr>
          <w:ilvl w:val="0"/>
          <w:numId w:val="29"/>
        </w:numPr>
      </w:pPr>
      <w:r>
        <w:t>That the Transport Standards be amended to</w:t>
      </w:r>
      <w:r>
        <w:rPr>
          <w:lang w:val="en-US"/>
        </w:rPr>
        <w:t xml:space="preserve"> p</w:t>
      </w:r>
      <w:r w:rsidRPr="00995D20">
        <w:rPr>
          <w:lang w:val="en-US"/>
        </w:rPr>
        <w:t xml:space="preserve">rovide examples of premises covered under the </w:t>
      </w:r>
      <w:r>
        <w:rPr>
          <w:lang w:val="en-US"/>
        </w:rPr>
        <w:t>Premises Standards and</w:t>
      </w:r>
      <w:r w:rsidRPr="00995D20">
        <w:rPr>
          <w:lang w:val="en-US"/>
        </w:rPr>
        <w:t xml:space="preserve"> explain why they are exempt from the Transport Standards</w:t>
      </w:r>
      <w:r>
        <w:rPr>
          <w:lang w:val="en-US"/>
        </w:rPr>
        <w:t>.</w:t>
      </w:r>
    </w:p>
    <w:p w14:paraId="1E367F1E" w14:textId="77777777" w:rsidR="000E63D2" w:rsidRDefault="000E63D2" w:rsidP="000E63D2">
      <w:pPr>
        <w:pStyle w:val="Recommendation"/>
        <w:numPr>
          <w:ilvl w:val="0"/>
          <w:numId w:val="29"/>
        </w:numPr>
      </w:pPr>
      <w:r>
        <w:t xml:space="preserve">That </w:t>
      </w:r>
      <w:r w:rsidRPr="00AF12F0">
        <w:rPr>
          <w:b/>
          <w:bCs/>
        </w:rPr>
        <w:t xml:space="preserve">sections </w:t>
      </w:r>
      <w:r w:rsidRPr="00100DB7">
        <w:rPr>
          <w:b/>
          <w:bCs/>
          <w:lang w:val="en-US"/>
        </w:rPr>
        <w:t>9.10 and 16.1</w:t>
      </w:r>
      <w:r>
        <w:rPr>
          <w:lang w:val="en-US"/>
        </w:rPr>
        <w:t xml:space="preserve"> of the Transport Standards be amended to incorporate the updated </w:t>
      </w:r>
      <w:r w:rsidRPr="00F8393E">
        <w:rPr>
          <w:b/>
          <w:bCs/>
          <w:lang w:val="en-US"/>
        </w:rPr>
        <w:t>AS1428.1 2009</w:t>
      </w:r>
      <w:r>
        <w:rPr>
          <w:lang w:val="en-US"/>
        </w:rPr>
        <w:t xml:space="preserve"> Standard</w:t>
      </w:r>
      <w:r>
        <w:t>.</w:t>
      </w:r>
    </w:p>
    <w:p w14:paraId="2BB76170" w14:textId="77777777" w:rsidR="000E63D2" w:rsidRPr="00D0363F" w:rsidRDefault="000E63D2" w:rsidP="000E63D2">
      <w:pPr>
        <w:pStyle w:val="Recommendation"/>
        <w:numPr>
          <w:ilvl w:val="0"/>
          <w:numId w:val="29"/>
        </w:numPr>
      </w:pPr>
      <w:r>
        <w:t xml:space="preserve">That </w:t>
      </w:r>
      <w:r w:rsidRPr="00473726">
        <w:rPr>
          <w:b/>
          <w:bCs/>
        </w:rPr>
        <w:t>section 16.2</w:t>
      </w:r>
      <w:r>
        <w:t xml:space="preserve"> of the Transport Standards be amended to </w:t>
      </w:r>
      <w:r>
        <w:rPr>
          <w:lang w:val="en-US"/>
        </w:rPr>
        <w:t xml:space="preserve">replace references to </w:t>
      </w:r>
      <w:r w:rsidRPr="00E53C04">
        <w:rPr>
          <w:b/>
          <w:bCs/>
          <w:lang w:val="en-US"/>
        </w:rPr>
        <w:t>AS2899.1 (1986),</w:t>
      </w:r>
      <w:r w:rsidRPr="00E53C04">
        <w:rPr>
          <w:lang w:val="en-US"/>
        </w:rPr>
        <w:t xml:space="preserve"> with a current Standard on illustrations and symbols</w:t>
      </w:r>
      <w:r>
        <w:rPr>
          <w:lang w:val="en-US"/>
        </w:rPr>
        <w:t>.</w:t>
      </w:r>
    </w:p>
    <w:p w14:paraId="3521E0BA" w14:textId="5116D51F" w:rsidR="000E63D2" w:rsidRPr="00BA3B14" w:rsidRDefault="000E63D2" w:rsidP="000E63D2">
      <w:pPr>
        <w:pStyle w:val="Recommendation"/>
        <w:numPr>
          <w:ilvl w:val="0"/>
          <w:numId w:val="29"/>
        </w:numPr>
      </w:pPr>
      <w:r>
        <w:t xml:space="preserve">That </w:t>
      </w:r>
      <w:r w:rsidRPr="00BA3B14">
        <w:rPr>
          <w:b/>
          <w:bCs/>
        </w:rPr>
        <w:t>section 19.2</w:t>
      </w:r>
      <w:r>
        <w:t xml:space="preserve"> of the Transport Standards </w:t>
      </w:r>
      <w:r w:rsidR="00224CF6">
        <w:t xml:space="preserve">be amended to </w:t>
      </w:r>
      <w:r w:rsidR="00224CF6">
        <w:rPr>
          <w:rFonts w:cstheme="minorHAnsi"/>
        </w:rPr>
        <w:t>prescribe specific requirements</w:t>
      </w:r>
      <w:r w:rsidR="00224CF6" w:rsidRPr="003F0165">
        <w:rPr>
          <w:rFonts w:cstheme="minorHAnsi"/>
        </w:rPr>
        <w:t xml:space="preserve"> </w:t>
      </w:r>
      <w:r w:rsidR="00BC430C">
        <w:rPr>
          <w:rFonts w:cstheme="minorHAnsi"/>
        </w:rPr>
        <w:t xml:space="preserve">for </w:t>
      </w:r>
      <w:r w:rsidR="00224CF6" w:rsidRPr="003F0165">
        <w:rPr>
          <w:rFonts w:cstheme="minorHAnsi"/>
        </w:rPr>
        <w:t xml:space="preserve">people with vision impairment </w:t>
      </w:r>
      <w:r w:rsidR="00BC430C">
        <w:rPr>
          <w:rFonts w:cstheme="minorHAnsi"/>
        </w:rPr>
        <w:t>to be</w:t>
      </w:r>
      <w:r w:rsidR="00224CF6" w:rsidRPr="003F0165">
        <w:rPr>
          <w:rFonts w:cstheme="minorHAnsi"/>
        </w:rPr>
        <w:t xml:space="preserve"> provided with the necessary and appropriate support to locate the exit path in the event of an emergency</w:t>
      </w:r>
      <w:r w:rsidR="00224CF6">
        <w:rPr>
          <w:rFonts w:cstheme="minorHAnsi"/>
        </w:rPr>
        <w:t xml:space="preserve">.  </w:t>
      </w:r>
    </w:p>
    <w:p w14:paraId="6FB70DA5" w14:textId="24EDA41C" w:rsidR="000E63D2" w:rsidRPr="00100DB7" w:rsidRDefault="000E63D2" w:rsidP="000E63D2">
      <w:pPr>
        <w:pStyle w:val="Recommendation"/>
        <w:numPr>
          <w:ilvl w:val="0"/>
          <w:numId w:val="29"/>
        </w:numPr>
      </w:pPr>
      <w:r>
        <w:t xml:space="preserve">That </w:t>
      </w:r>
      <w:r w:rsidRPr="00100DB7">
        <w:rPr>
          <w:b/>
          <w:bCs/>
        </w:rPr>
        <w:t>section 27.1</w:t>
      </w:r>
      <w:r>
        <w:t xml:space="preserve"> of the Transport Standards be amended to</w:t>
      </w:r>
      <w:r w:rsidR="00E8440B">
        <w:t xml:space="preserve"> </w:t>
      </w:r>
      <w:r w:rsidRPr="00100DB7">
        <w:t xml:space="preserve">provide information on transport services </w:t>
      </w:r>
      <w:r>
        <w:t xml:space="preserve">in a range of </w:t>
      </w:r>
      <w:r w:rsidRPr="00100DB7">
        <w:t>accessible formats</w:t>
      </w:r>
      <w:r>
        <w:t>.</w:t>
      </w:r>
    </w:p>
    <w:p w14:paraId="5C93571E" w14:textId="77777777" w:rsidR="000E63D2" w:rsidRDefault="000E63D2" w:rsidP="000E63D2">
      <w:pPr>
        <w:pStyle w:val="Recommendation"/>
        <w:numPr>
          <w:ilvl w:val="0"/>
          <w:numId w:val="0"/>
        </w:numPr>
        <w:ind w:left="851"/>
      </w:pPr>
    </w:p>
    <w:p w14:paraId="47EAC074" w14:textId="77777777" w:rsidR="00756F51" w:rsidRDefault="00756F51" w:rsidP="00756F51">
      <w:pPr>
        <w:rPr>
          <w:lang w:eastAsia="en-US"/>
        </w:rPr>
      </w:pPr>
    </w:p>
    <w:p w14:paraId="13E5F730" w14:textId="4CE49DEF" w:rsidR="003573DB" w:rsidRPr="003573DB" w:rsidRDefault="00CE79B2" w:rsidP="00756F51">
      <w:pPr>
        <w:rPr>
          <w:lang w:eastAsia="en-US"/>
        </w:rPr>
      </w:pPr>
      <w:r>
        <w:rPr>
          <w:lang w:eastAsia="en-US"/>
        </w:rPr>
        <w:br w:type="page"/>
      </w:r>
    </w:p>
    <w:p w14:paraId="7848A621" w14:textId="030AC404" w:rsidR="003573DB" w:rsidRDefault="00BB3535" w:rsidP="000D5171">
      <w:pPr>
        <w:pStyle w:val="Heading1"/>
        <w:rPr>
          <w:lang w:val="en-US" w:eastAsia="en-US"/>
        </w:rPr>
      </w:pPr>
      <w:bookmarkStart w:id="20" w:name="_Toc138847410"/>
      <w:bookmarkStart w:id="21" w:name="_Toc138856510"/>
      <w:bookmarkStart w:id="22" w:name="_Toc99975405"/>
      <w:bookmarkStart w:id="23" w:name="_Toc99975456"/>
      <w:bookmarkStart w:id="24" w:name="_Toc99975573"/>
      <w:r>
        <w:rPr>
          <w:lang w:val="en-US" w:eastAsia="en-US"/>
        </w:rPr>
        <w:lastRenderedPageBreak/>
        <w:t>Key Issues</w:t>
      </w:r>
      <w:bookmarkEnd w:id="20"/>
      <w:bookmarkEnd w:id="21"/>
      <w:r>
        <w:rPr>
          <w:lang w:val="en-US" w:eastAsia="en-US"/>
        </w:rPr>
        <w:t xml:space="preserve"> </w:t>
      </w:r>
      <w:bookmarkEnd w:id="22"/>
      <w:bookmarkEnd w:id="23"/>
      <w:bookmarkEnd w:id="24"/>
    </w:p>
    <w:p w14:paraId="7AA8B9CE" w14:textId="2F3F73E6" w:rsidR="00483FA3" w:rsidRPr="00483FA3" w:rsidRDefault="00CB6E74" w:rsidP="00483FA3">
      <w:pPr>
        <w:pStyle w:val="Heading2"/>
        <w:rPr>
          <w:lang w:val="en-US" w:eastAsia="en-US"/>
        </w:rPr>
      </w:pPr>
      <w:r w:rsidRPr="00CB6E74">
        <w:rPr>
          <w:lang w:val="en-US" w:eastAsia="en-US"/>
        </w:rPr>
        <w:t>Exempt Premises from Transport Standards</w:t>
      </w:r>
    </w:p>
    <w:p w14:paraId="17CEA319" w14:textId="0D83C5C3" w:rsidR="006552AD" w:rsidRPr="0035491F" w:rsidRDefault="006552AD" w:rsidP="006552AD">
      <w:pPr>
        <w:rPr>
          <w:lang w:val="en-US"/>
        </w:rPr>
      </w:pPr>
      <w:r>
        <w:t xml:space="preserve">Section 1.21 of the Transport Standards, outlines the premises to which the </w:t>
      </w:r>
      <w:r w:rsidR="00852CAC">
        <w:rPr>
          <w:lang w:val="en-US"/>
        </w:rPr>
        <w:t xml:space="preserve">Premises Standards </w:t>
      </w:r>
      <w:r>
        <w:t xml:space="preserve">apply, and </w:t>
      </w:r>
      <w:r w:rsidRPr="00F441C3">
        <w:t xml:space="preserve">Part H2 of the </w:t>
      </w:r>
      <w:r>
        <w:t xml:space="preserve">Building </w:t>
      </w:r>
      <w:r w:rsidRPr="00F441C3">
        <w:t>Access Code</w:t>
      </w:r>
      <w:r>
        <w:t>.</w:t>
      </w:r>
      <w:r>
        <w:rPr>
          <w:rStyle w:val="FootnoteReference"/>
        </w:rPr>
        <w:footnoteReference w:id="5"/>
      </w:r>
      <w:r>
        <w:t xml:space="preserve"> </w:t>
      </w:r>
      <w:r w:rsidR="00F868B2">
        <w:t>P</w:t>
      </w:r>
      <w:r>
        <w:t>remises are</w:t>
      </w:r>
      <w:r w:rsidR="00F868B2">
        <w:t xml:space="preserve"> defined as</w:t>
      </w:r>
      <w:r>
        <w:t>:</w:t>
      </w:r>
    </w:p>
    <w:p w14:paraId="6D53A429" w14:textId="5A806D88" w:rsidR="006552AD" w:rsidRPr="0052434C" w:rsidRDefault="006552AD" w:rsidP="006552AD">
      <w:pPr>
        <w:autoSpaceDE w:val="0"/>
        <w:autoSpaceDN w:val="0"/>
        <w:adjustRightInd w:val="0"/>
        <w:spacing w:after="0" w:line="240" w:lineRule="auto"/>
        <w:ind w:left="720"/>
        <w:rPr>
          <w:rFonts w:cstheme="minorHAnsi"/>
        </w:rPr>
      </w:pPr>
      <w:r w:rsidRPr="006552AD">
        <w:rPr>
          <w:rFonts w:cstheme="minorHAnsi"/>
          <w:b/>
          <w:bCs/>
        </w:rPr>
        <w:t>(</w:t>
      </w:r>
      <w:r w:rsidR="00DC22B0">
        <w:rPr>
          <w:rFonts w:cstheme="minorHAnsi"/>
          <w:b/>
          <w:bCs/>
        </w:rPr>
        <w:t>1</w:t>
      </w:r>
      <w:r w:rsidRPr="006552AD">
        <w:rPr>
          <w:rFonts w:cstheme="minorHAnsi"/>
          <w:b/>
          <w:bCs/>
        </w:rPr>
        <w:t>)</w:t>
      </w:r>
      <w:r w:rsidRPr="0052434C">
        <w:rPr>
          <w:rFonts w:cstheme="minorHAnsi"/>
        </w:rPr>
        <w:t xml:space="preserve"> a new building, or a new part or an affected part of a building, within</w:t>
      </w:r>
    </w:p>
    <w:p w14:paraId="3CCDADEF" w14:textId="1912FE00" w:rsidR="006552AD" w:rsidRPr="0052434C" w:rsidRDefault="006552AD" w:rsidP="006552AD">
      <w:pPr>
        <w:autoSpaceDE w:val="0"/>
        <w:autoSpaceDN w:val="0"/>
        <w:adjustRightInd w:val="0"/>
        <w:spacing w:after="0" w:line="240" w:lineRule="auto"/>
        <w:ind w:left="720"/>
        <w:rPr>
          <w:rFonts w:cstheme="minorHAnsi"/>
        </w:rPr>
      </w:pPr>
      <w:r w:rsidRPr="0052434C">
        <w:rPr>
          <w:rFonts w:cstheme="minorHAnsi"/>
        </w:rPr>
        <w:t>the meaning of the Premises Standards; or</w:t>
      </w:r>
    </w:p>
    <w:p w14:paraId="3996792D" w14:textId="7B035278" w:rsidR="006552AD" w:rsidRPr="0052434C" w:rsidRDefault="006552AD" w:rsidP="006552AD">
      <w:pPr>
        <w:autoSpaceDE w:val="0"/>
        <w:autoSpaceDN w:val="0"/>
        <w:adjustRightInd w:val="0"/>
        <w:spacing w:after="0" w:line="240" w:lineRule="auto"/>
        <w:ind w:left="720"/>
        <w:rPr>
          <w:rFonts w:cstheme="minorHAnsi"/>
        </w:rPr>
      </w:pPr>
      <w:r w:rsidRPr="006552AD">
        <w:rPr>
          <w:rFonts w:cstheme="minorHAnsi"/>
          <w:b/>
          <w:bCs/>
        </w:rPr>
        <w:t>(</w:t>
      </w:r>
      <w:r w:rsidR="00DC22B0">
        <w:rPr>
          <w:rFonts w:cstheme="minorHAnsi"/>
          <w:b/>
          <w:bCs/>
        </w:rPr>
        <w:t>2</w:t>
      </w:r>
      <w:r w:rsidRPr="006552AD">
        <w:rPr>
          <w:rFonts w:cstheme="minorHAnsi"/>
          <w:b/>
          <w:bCs/>
        </w:rPr>
        <w:t>)</w:t>
      </w:r>
      <w:r w:rsidRPr="0052434C">
        <w:rPr>
          <w:rFonts w:cstheme="minorHAnsi"/>
        </w:rPr>
        <w:t xml:space="preserve"> for a provision in Schedule 1 — an existing public transport building,</w:t>
      </w:r>
    </w:p>
    <w:p w14:paraId="5CB37489" w14:textId="77777777" w:rsidR="006552AD" w:rsidRPr="0052434C" w:rsidRDefault="006552AD" w:rsidP="006552AD">
      <w:pPr>
        <w:autoSpaceDE w:val="0"/>
        <w:autoSpaceDN w:val="0"/>
        <w:adjustRightInd w:val="0"/>
        <w:spacing w:after="0" w:line="240" w:lineRule="auto"/>
        <w:ind w:left="720"/>
        <w:rPr>
          <w:rFonts w:cstheme="minorHAnsi"/>
        </w:rPr>
      </w:pPr>
      <w:r w:rsidRPr="0052434C">
        <w:rPr>
          <w:rFonts w:cstheme="minorHAnsi"/>
        </w:rPr>
        <w:t>within the meaning of the Premises Standards, that is still in use on the</w:t>
      </w:r>
    </w:p>
    <w:p w14:paraId="6B8A86A8" w14:textId="0A450819" w:rsidR="006552AD" w:rsidRPr="0052434C" w:rsidRDefault="006552AD" w:rsidP="006552AD">
      <w:pPr>
        <w:autoSpaceDE w:val="0"/>
        <w:autoSpaceDN w:val="0"/>
        <w:adjustRightInd w:val="0"/>
        <w:spacing w:after="0" w:line="240" w:lineRule="auto"/>
        <w:ind w:left="720"/>
        <w:rPr>
          <w:rFonts w:cstheme="minorHAnsi"/>
        </w:rPr>
      </w:pPr>
      <w:r w:rsidRPr="0052434C">
        <w:rPr>
          <w:rFonts w:cstheme="minorHAnsi"/>
        </w:rPr>
        <w:t>target date mentioned in an item in the table in section 3.1 of the Premises Standards.</w:t>
      </w:r>
      <w:r w:rsidR="00036072">
        <w:rPr>
          <w:rStyle w:val="FootnoteReference"/>
          <w:rFonts w:cstheme="minorHAnsi"/>
        </w:rPr>
        <w:footnoteReference w:id="6"/>
      </w:r>
    </w:p>
    <w:p w14:paraId="3C5CC189" w14:textId="77777777" w:rsidR="006552AD" w:rsidRPr="00F2375D" w:rsidRDefault="006552AD" w:rsidP="006552AD">
      <w:pPr>
        <w:autoSpaceDE w:val="0"/>
        <w:autoSpaceDN w:val="0"/>
        <w:adjustRightInd w:val="0"/>
        <w:spacing w:after="0" w:line="240" w:lineRule="auto"/>
        <w:rPr>
          <w:rFonts w:ascii="Times New Roman" w:hAnsi="Times New Roman" w:cs="Times New Roman"/>
          <w:sz w:val="24"/>
          <w:szCs w:val="24"/>
        </w:rPr>
      </w:pPr>
    </w:p>
    <w:p w14:paraId="46041A7C" w14:textId="0A62DCE6" w:rsidR="006552AD" w:rsidRDefault="006552AD" w:rsidP="00A86969">
      <w:pPr>
        <w:spacing w:after="160" w:line="259" w:lineRule="auto"/>
      </w:pPr>
      <w:r>
        <w:t>Various parts and sections of the Transport Standards include exemptions for premises that fall under the Premises Standards. Some of these cover digital inclusion aspects, including:</w:t>
      </w:r>
    </w:p>
    <w:p w14:paraId="2678EE3A" w14:textId="77777777" w:rsidR="006552AD" w:rsidRDefault="006552AD" w:rsidP="00A86969">
      <w:pPr>
        <w:pStyle w:val="Bulletlist1"/>
      </w:pPr>
      <w:r w:rsidRPr="00A86969">
        <w:t>Part 16 Symbols</w:t>
      </w:r>
    </w:p>
    <w:p w14:paraId="0857DF1F" w14:textId="4D334A65" w:rsidR="006552AD" w:rsidRPr="004252D9" w:rsidRDefault="006552AD" w:rsidP="00A86969">
      <w:pPr>
        <w:pStyle w:val="Bulletlist2"/>
      </w:pPr>
      <w:r w:rsidRPr="004252D9">
        <w:t>16.1 International symbols for accessibility and deafness</w:t>
      </w:r>
    </w:p>
    <w:p w14:paraId="2E1756A5" w14:textId="63CE3823" w:rsidR="006552AD" w:rsidRPr="004252D9" w:rsidRDefault="006552AD" w:rsidP="00A86969">
      <w:pPr>
        <w:pStyle w:val="Bulletlist2"/>
      </w:pPr>
      <w:r w:rsidRPr="004252D9">
        <w:t xml:space="preserve">16.2 Compliance with </w:t>
      </w:r>
      <w:r w:rsidRPr="00BB753F">
        <w:rPr>
          <w:b/>
          <w:bCs/>
        </w:rPr>
        <w:t>AS2899.1 (1986)</w:t>
      </w:r>
    </w:p>
    <w:p w14:paraId="5063BC20" w14:textId="43B9ED11" w:rsidR="006552AD" w:rsidRPr="004252D9" w:rsidRDefault="006552AD" w:rsidP="00A86969">
      <w:pPr>
        <w:pStyle w:val="Bulletlist2"/>
      </w:pPr>
      <w:r w:rsidRPr="004252D9">
        <w:t>16.3 Accessibility symbols to incorporate directional arrows</w:t>
      </w:r>
    </w:p>
    <w:p w14:paraId="1D34FCB5" w14:textId="77777777" w:rsidR="006552AD" w:rsidRPr="00A86969" w:rsidRDefault="006552AD" w:rsidP="00A86969">
      <w:pPr>
        <w:pStyle w:val="Bulletlist1"/>
      </w:pPr>
      <w:r w:rsidRPr="00A86969">
        <w:t>Part 17 Signs</w:t>
      </w:r>
    </w:p>
    <w:p w14:paraId="14CF6082" w14:textId="177A5854" w:rsidR="006552AD" w:rsidRPr="004252D9" w:rsidRDefault="006552AD" w:rsidP="00A86969">
      <w:pPr>
        <w:pStyle w:val="Bulletlist2"/>
      </w:pPr>
      <w:r w:rsidRPr="004252D9">
        <w:t>17.1 Height and illumination</w:t>
      </w:r>
    </w:p>
    <w:p w14:paraId="72B609E7" w14:textId="7FF92A29" w:rsidR="006552AD" w:rsidRPr="004252D9" w:rsidRDefault="006552AD" w:rsidP="00A86969">
      <w:pPr>
        <w:pStyle w:val="Bulletlist2"/>
      </w:pPr>
      <w:r w:rsidRPr="004252D9">
        <w:t>17.2 Location — premises and infrastructure</w:t>
      </w:r>
    </w:p>
    <w:p w14:paraId="4CA6E957" w14:textId="77777777" w:rsidR="006552AD" w:rsidRPr="00A86969" w:rsidRDefault="006552AD" w:rsidP="00A86969">
      <w:pPr>
        <w:pStyle w:val="Bulletlist1"/>
      </w:pPr>
      <w:r w:rsidRPr="00A86969">
        <w:t>Part 18 Tactile ground surface indicators</w:t>
      </w:r>
    </w:p>
    <w:p w14:paraId="3A52835A" w14:textId="27B654F4" w:rsidR="006552AD" w:rsidRPr="00E17001" w:rsidRDefault="006552AD" w:rsidP="00A86969">
      <w:pPr>
        <w:pStyle w:val="Bulletlist2"/>
      </w:pPr>
      <w:r w:rsidRPr="00E17001">
        <w:t>18.1 Location</w:t>
      </w:r>
    </w:p>
    <w:p w14:paraId="0A85D7E2" w14:textId="1CB2A073" w:rsidR="006552AD" w:rsidRPr="00E17001" w:rsidRDefault="006552AD" w:rsidP="00A86969">
      <w:pPr>
        <w:pStyle w:val="Bulletlist2"/>
      </w:pPr>
      <w:r w:rsidRPr="00E17001">
        <w:t>18.2 Style and dimensions</w:t>
      </w:r>
    </w:p>
    <w:p w14:paraId="4BB7B7D1" w14:textId="77777777" w:rsidR="006552AD" w:rsidRPr="00A86969" w:rsidRDefault="006552AD" w:rsidP="00A86969">
      <w:pPr>
        <w:pStyle w:val="Bulletlist1"/>
      </w:pPr>
      <w:r w:rsidRPr="00A86969">
        <w:t>Part 19 Alarms</w:t>
      </w:r>
    </w:p>
    <w:p w14:paraId="6213A809" w14:textId="267E9C80" w:rsidR="006552AD" w:rsidRPr="00E17001" w:rsidRDefault="006552AD" w:rsidP="00A86969">
      <w:pPr>
        <w:pStyle w:val="Bulletlist2"/>
      </w:pPr>
      <w:r w:rsidRPr="00E17001">
        <w:t>19.1 Emergency warning systems</w:t>
      </w:r>
    </w:p>
    <w:p w14:paraId="27225CAE" w14:textId="77777777" w:rsidR="006552AD" w:rsidRPr="00A86969" w:rsidRDefault="006552AD" w:rsidP="00A86969">
      <w:pPr>
        <w:pStyle w:val="Bulletlist1"/>
      </w:pPr>
      <w:r w:rsidRPr="00A86969">
        <w:t>Part 20 Lighting</w:t>
      </w:r>
    </w:p>
    <w:p w14:paraId="6C4A38E7" w14:textId="0BC21E2B" w:rsidR="006552AD" w:rsidRPr="00E17001" w:rsidRDefault="006552AD" w:rsidP="00A86969">
      <w:pPr>
        <w:pStyle w:val="Bulletlist2"/>
      </w:pPr>
      <w:r w:rsidRPr="00E17001">
        <w:t>20.1 Illumination levels — premises and infrastructure</w:t>
      </w:r>
    </w:p>
    <w:p w14:paraId="7675F0DF" w14:textId="310C088D" w:rsidR="006552AD" w:rsidRPr="00A86969" w:rsidRDefault="006552AD" w:rsidP="00A86969">
      <w:pPr>
        <w:pStyle w:val="Bulletlist1"/>
      </w:pPr>
      <w:r w:rsidRPr="00A86969">
        <w:t xml:space="preserve">Part 26 Hearing augmentation–listening </w:t>
      </w:r>
      <w:r w:rsidR="00D358E3" w:rsidRPr="00A86969">
        <w:t>systems</w:t>
      </w:r>
    </w:p>
    <w:p w14:paraId="040A99D1" w14:textId="03CC7C3E" w:rsidR="006552AD" w:rsidRDefault="006552AD" w:rsidP="00A86969">
      <w:pPr>
        <w:pStyle w:val="Bulletlist2"/>
      </w:pPr>
      <w:r w:rsidRPr="00E17001">
        <w:t>26.1 Public address systems — premises and infrastructure</w:t>
      </w:r>
      <w:r w:rsidR="002B061E">
        <w:rPr>
          <w:rStyle w:val="FootnoteReference"/>
        </w:rPr>
        <w:footnoteReference w:id="7"/>
      </w:r>
    </w:p>
    <w:p w14:paraId="6215A18F" w14:textId="02A3EB5F" w:rsidR="00793D27" w:rsidRDefault="00131AA8" w:rsidP="00A14B10">
      <w:pPr>
        <w:spacing w:after="160" w:line="259" w:lineRule="auto"/>
      </w:pPr>
      <w:r>
        <w:t>Part</w:t>
      </w:r>
      <w:r w:rsidR="001F6319">
        <w:t>s</w:t>
      </w:r>
      <w:r>
        <w:t xml:space="preserve"> 4</w:t>
      </w:r>
      <w:r w:rsidR="001F6319">
        <w:t xml:space="preserve"> and 5</w:t>
      </w:r>
      <w:r>
        <w:t xml:space="preserve"> of the Premises Standard</w:t>
      </w:r>
      <w:r w:rsidR="00255A95">
        <w:t>s</w:t>
      </w:r>
      <w:r w:rsidR="00793D27">
        <w:t xml:space="preserve"> </w:t>
      </w:r>
      <w:r w:rsidR="00124373">
        <w:t xml:space="preserve">provide </w:t>
      </w:r>
      <w:r w:rsidR="00793D27">
        <w:t xml:space="preserve">exemptions </w:t>
      </w:r>
      <w:r w:rsidR="007E6942">
        <w:t>and concessions for compliance with the Standard</w:t>
      </w:r>
      <w:r w:rsidR="002420BA">
        <w:t xml:space="preserve"> if</w:t>
      </w:r>
      <w:r w:rsidR="004D1DF3">
        <w:t>:</w:t>
      </w:r>
      <w:r w:rsidR="00DD42F2">
        <w:rPr>
          <w:rStyle w:val="FootnoteReference"/>
        </w:rPr>
        <w:footnoteReference w:id="8"/>
      </w:r>
    </w:p>
    <w:p w14:paraId="095B287F" w14:textId="436678C1" w:rsidR="004D1DF3" w:rsidRDefault="002420BA" w:rsidP="004D1DF3">
      <w:pPr>
        <w:pStyle w:val="Bulletlist1"/>
      </w:pPr>
      <w:r>
        <w:t>C</w:t>
      </w:r>
      <w:r w:rsidR="004D1DF3">
        <w:t xml:space="preserve">ompliance </w:t>
      </w:r>
      <w:r w:rsidR="0037173E">
        <w:t>imposes an unjustifiable hardship on a person</w:t>
      </w:r>
    </w:p>
    <w:p w14:paraId="44C1AD1A" w14:textId="24B80A0E" w:rsidR="0037173E" w:rsidRDefault="002420BA" w:rsidP="004D1DF3">
      <w:pPr>
        <w:pStyle w:val="Bulletlist1"/>
      </w:pPr>
      <w:r>
        <w:t>The</w:t>
      </w:r>
      <w:r w:rsidR="001F40F5" w:rsidRPr="001F40F5">
        <w:t xml:space="preserve"> lessee of a new part of a building </w:t>
      </w:r>
      <w:r w:rsidR="00C934D5">
        <w:t xml:space="preserve">applies </w:t>
      </w:r>
      <w:r w:rsidR="001F40F5" w:rsidRPr="001F40F5">
        <w:t xml:space="preserve">for approval </w:t>
      </w:r>
      <w:r w:rsidR="00C934D5">
        <w:t>of</w:t>
      </w:r>
      <w:r w:rsidR="001F40F5" w:rsidRPr="001F40F5">
        <w:t xml:space="preserve"> building work</w:t>
      </w:r>
      <w:r w:rsidR="00093C14">
        <w:t xml:space="preserve"> (except if the building is leased to one person)</w:t>
      </w:r>
    </w:p>
    <w:p w14:paraId="0D08DEB8" w14:textId="070A1466" w:rsidR="00365851" w:rsidRDefault="000D7882" w:rsidP="004D1DF3">
      <w:pPr>
        <w:pStyle w:val="Bulletlist1"/>
      </w:pPr>
      <w:r>
        <w:t xml:space="preserve">Acts of </w:t>
      </w:r>
      <w:r w:rsidR="00124373">
        <w:t>statutory</w:t>
      </w:r>
      <w:r>
        <w:t xml:space="preserve"> authority ar</w:t>
      </w:r>
      <w:r w:rsidR="00124373">
        <w:t xml:space="preserve">e </w:t>
      </w:r>
      <w:r w:rsidR="004B6989">
        <w:t>done</w:t>
      </w:r>
      <w:r w:rsidR="00124373">
        <w:t xml:space="preserve"> under section 47 of the </w:t>
      </w:r>
      <w:r w:rsidR="00124373">
        <w:rPr>
          <w:i/>
          <w:iCs/>
        </w:rPr>
        <w:t xml:space="preserve">Disability Discrimination Act 1992 </w:t>
      </w:r>
      <w:r w:rsidR="00124373">
        <w:t>(C</w:t>
      </w:r>
      <w:r w:rsidR="00B656D3">
        <w:t>th</w:t>
      </w:r>
      <w:r w:rsidR="00124373">
        <w:t>)</w:t>
      </w:r>
    </w:p>
    <w:p w14:paraId="1889E701" w14:textId="6A3639A7" w:rsidR="00313B52" w:rsidRDefault="00313B52" w:rsidP="004D1DF3">
      <w:pPr>
        <w:pStyle w:val="Bulletlist1"/>
      </w:pPr>
      <w:r>
        <w:lastRenderedPageBreak/>
        <w:t xml:space="preserve">A lift travels more than </w:t>
      </w:r>
      <w:r w:rsidRPr="00313B52">
        <w:t xml:space="preserve">12 m; </w:t>
      </w:r>
      <w:r w:rsidR="00981F06">
        <w:t xml:space="preserve">and </w:t>
      </w:r>
      <w:r w:rsidR="00981F06" w:rsidRPr="00981F06">
        <w:t>has a lift floor that is not less than 1 100 mm by 1 400 mm</w:t>
      </w:r>
    </w:p>
    <w:p w14:paraId="72A383BA" w14:textId="61DEADD2" w:rsidR="00981F06" w:rsidRDefault="00426616" w:rsidP="004D1DF3">
      <w:pPr>
        <w:pStyle w:val="Bulletlist1"/>
      </w:pPr>
      <w:r>
        <w:t>E</w:t>
      </w:r>
      <w:r w:rsidR="006A1F0A">
        <w:t xml:space="preserve">xisting </w:t>
      </w:r>
      <w:r w:rsidR="00E01D2B">
        <w:t>sanitary</w:t>
      </w:r>
      <w:r w:rsidR="006A1F0A">
        <w:t xml:space="preserve"> </w:t>
      </w:r>
      <w:r w:rsidR="00EF6F12" w:rsidRPr="00EF6F12">
        <w:t>compartments</w:t>
      </w:r>
      <w:r w:rsidR="00EF6F12">
        <w:t xml:space="preserve">, including those suitable for use by people with disability, are located in </w:t>
      </w:r>
      <w:r w:rsidR="00B215D1">
        <w:t>a new part of a building</w:t>
      </w:r>
    </w:p>
    <w:p w14:paraId="59FDEFC8" w14:textId="3A12F1A1" w:rsidR="00B215D1" w:rsidRDefault="00F51E38" w:rsidP="004D1DF3">
      <w:pPr>
        <w:pStyle w:val="Bulletlist1"/>
      </w:pPr>
      <w:r>
        <w:t>E</w:t>
      </w:r>
      <w:r w:rsidR="00C403FA">
        <w:t>xemptions are granted by the Australian Human Rights Commission</w:t>
      </w:r>
      <w:r w:rsidR="00C403FA">
        <w:rPr>
          <w:rStyle w:val="FootnoteReference"/>
        </w:rPr>
        <w:footnoteReference w:id="9"/>
      </w:r>
    </w:p>
    <w:p w14:paraId="161A3AF3" w14:textId="2CF69453" w:rsidR="003573DB" w:rsidRDefault="002558B4" w:rsidP="00A14B10">
      <w:pPr>
        <w:spacing w:after="160" w:line="259" w:lineRule="auto"/>
      </w:pPr>
      <w:r>
        <w:t>T</w:t>
      </w:r>
      <w:r w:rsidR="00C31D37" w:rsidRPr="001D0071">
        <w:t>he Transport Standards shoul</w:t>
      </w:r>
      <w:r w:rsidR="00C446BB">
        <w:t>d</w:t>
      </w:r>
      <w:r w:rsidR="00C31D37" w:rsidRPr="001D0071">
        <w:t xml:space="preserve"> </w:t>
      </w:r>
      <w:r>
        <w:t xml:space="preserve">therefore </w:t>
      </w:r>
      <w:r w:rsidR="002A7397">
        <w:t>clarif</w:t>
      </w:r>
      <w:r w:rsidR="00A875E8">
        <w:t xml:space="preserve">y how the exemptions under the Premises Standards apply to </w:t>
      </w:r>
      <w:r w:rsidR="00C446BB">
        <w:t xml:space="preserve">premises </w:t>
      </w:r>
      <w:r w:rsidR="000B1BDE">
        <w:t>covered by</w:t>
      </w:r>
      <w:r w:rsidR="002F3858">
        <w:t xml:space="preserve"> </w:t>
      </w:r>
      <w:r w:rsidR="00A875E8">
        <w:t>Trans</w:t>
      </w:r>
      <w:r w:rsidR="00207611">
        <w:t>port Standards. As</w:t>
      </w:r>
      <w:r>
        <w:t xml:space="preserve"> such</w:t>
      </w:r>
      <w:r w:rsidR="00207611">
        <w:t xml:space="preserve">, the Transport Standards should be amended </w:t>
      </w:r>
      <w:r w:rsidR="00C31D37" w:rsidRPr="001D0071">
        <w:t xml:space="preserve">provide examples of exempt </w:t>
      </w:r>
      <w:r w:rsidR="00DA0D8A" w:rsidRPr="001D0071">
        <w:t>p</w:t>
      </w:r>
      <w:r w:rsidR="00C31D37" w:rsidRPr="001D0071">
        <w:t xml:space="preserve">remises by referring to parts 4 and 5 of the Premises </w:t>
      </w:r>
      <w:r w:rsidR="001D0071" w:rsidRPr="001D0071">
        <w:t>Standard and</w:t>
      </w:r>
      <w:r w:rsidR="006552AD" w:rsidRPr="001D0071">
        <w:t xml:space="preserve"> explain why these premises are exempt from the Transport Standards.</w:t>
      </w:r>
    </w:p>
    <w:p w14:paraId="4D750533" w14:textId="77777777" w:rsidR="00A43F3C" w:rsidRDefault="00A43F3C" w:rsidP="00A43F3C">
      <w:pPr>
        <w:pStyle w:val="Recommendation"/>
        <w:numPr>
          <w:ilvl w:val="0"/>
          <w:numId w:val="36"/>
        </w:numPr>
      </w:pPr>
      <w:r>
        <w:t>That the Transport Standards be amended to</w:t>
      </w:r>
      <w:r w:rsidRPr="00A43F3C">
        <w:rPr>
          <w:lang w:val="en-US"/>
        </w:rPr>
        <w:t xml:space="preserve"> provide examples of premises covered under the Premises Standards and explain why they are exempt from the Transport Standards.</w:t>
      </w:r>
    </w:p>
    <w:p w14:paraId="093C094E" w14:textId="77777777" w:rsidR="003C02E2" w:rsidRDefault="003C02E2" w:rsidP="00F07C3E">
      <w:pPr>
        <w:pStyle w:val="Heading2"/>
        <w:rPr>
          <w:lang w:val="en-US" w:eastAsia="en-US"/>
        </w:rPr>
      </w:pPr>
    </w:p>
    <w:p w14:paraId="1DAEEF5F" w14:textId="08A6FCC7" w:rsidR="006C2547" w:rsidRDefault="00F508FB" w:rsidP="00F07C3E">
      <w:pPr>
        <w:pStyle w:val="Heading2"/>
        <w:rPr>
          <w:lang w:val="en-US" w:eastAsia="en-US"/>
        </w:rPr>
      </w:pPr>
      <w:r w:rsidRPr="00F508FB">
        <w:rPr>
          <w:lang w:val="en-US" w:eastAsia="en-US"/>
        </w:rPr>
        <w:t>Accessibility signs and symbols</w:t>
      </w:r>
    </w:p>
    <w:p w14:paraId="41466AE1" w14:textId="1123053F" w:rsidR="00F508FB" w:rsidRPr="00F508FB" w:rsidRDefault="009B7197" w:rsidP="009B7197">
      <w:pPr>
        <w:pStyle w:val="Heading3"/>
      </w:pPr>
      <w:r w:rsidRPr="009B7197">
        <w:t>9.10</w:t>
      </w:r>
      <w:r w:rsidRPr="009B7197">
        <w:tab/>
        <w:t>International symbol of accessibility to be displayed</w:t>
      </w:r>
    </w:p>
    <w:p w14:paraId="3951A5E6" w14:textId="4487207B" w:rsidR="00FB0893" w:rsidRPr="00481F38" w:rsidRDefault="00FB0893" w:rsidP="00FB0893">
      <w:pPr>
        <w:rPr>
          <w:rFonts w:cstheme="minorHAnsi"/>
          <w:lang w:val="en-US"/>
        </w:rPr>
      </w:pPr>
      <w:r>
        <w:t xml:space="preserve">Section 9.10 of the Transport Standards focuses on the display of the </w:t>
      </w:r>
      <w:r w:rsidR="008514E2">
        <w:t>international</w:t>
      </w:r>
      <w:r>
        <w:t xml:space="preserve"> symbol of accessibility.</w:t>
      </w:r>
      <w:r>
        <w:rPr>
          <w:rStyle w:val="FootnoteReference"/>
        </w:rPr>
        <w:footnoteReference w:id="10"/>
      </w:r>
      <w:r>
        <w:t xml:space="preserve"> </w:t>
      </w:r>
      <w:r w:rsidRPr="00481F38">
        <w:rPr>
          <w:rFonts w:cstheme="minorHAnsi"/>
          <w:lang w:val="en-US"/>
        </w:rPr>
        <w:t>Section 9.10 requires the following:</w:t>
      </w:r>
    </w:p>
    <w:p w14:paraId="0C563895" w14:textId="3BAD698A" w:rsidR="00FB0893" w:rsidRPr="00744421" w:rsidRDefault="00FB0893" w:rsidP="00FB0893">
      <w:pPr>
        <w:pStyle w:val="R1"/>
        <w:keepNext/>
        <w:rPr>
          <w:rFonts w:asciiTheme="minorHAnsi" w:hAnsiTheme="minorHAnsi" w:cstheme="minorHAnsi"/>
          <w:sz w:val="22"/>
          <w:szCs w:val="22"/>
        </w:rPr>
      </w:pPr>
      <w:r w:rsidRPr="00FB0893">
        <w:rPr>
          <w:rFonts w:asciiTheme="minorHAnsi" w:hAnsiTheme="minorHAnsi" w:cstheme="minorHAnsi"/>
          <w:b/>
          <w:bCs/>
          <w:sz w:val="22"/>
          <w:szCs w:val="22"/>
        </w:rPr>
        <w:t>(1)</w:t>
      </w:r>
      <w:r w:rsidRPr="00744421">
        <w:rPr>
          <w:rFonts w:asciiTheme="minorHAnsi" w:hAnsiTheme="minorHAnsi" w:cstheme="minorHAnsi"/>
          <w:sz w:val="22"/>
          <w:szCs w:val="22"/>
        </w:rPr>
        <w:tab/>
        <w:t>The floor area of an allocated space must:</w:t>
      </w:r>
    </w:p>
    <w:p w14:paraId="62C55F4E" w14:textId="4A5C7CA5" w:rsidR="00FB0893" w:rsidRPr="00744421" w:rsidRDefault="00FB0893" w:rsidP="00FB0893">
      <w:pPr>
        <w:pStyle w:val="P1"/>
        <w:keepNext/>
        <w:rPr>
          <w:rFonts w:asciiTheme="minorHAnsi" w:hAnsiTheme="minorHAnsi" w:cstheme="minorHAnsi"/>
          <w:sz w:val="22"/>
          <w:szCs w:val="22"/>
        </w:rPr>
      </w:pPr>
      <w:r w:rsidRPr="00744421">
        <w:rPr>
          <w:rFonts w:asciiTheme="minorHAnsi" w:hAnsiTheme="minorHAnsi" w:cstheme="minorHAnsi"/>
          <w:sz w:val="22"/>
          <w:szCs w:val="22"/>
        </w:rPr>
        <w:tab/>
        <w:t>(a)</w:t>
      </w:r>
      <w:r w:rsidRPr="00744421">
        <w:rPr>
          <w:rFonts w:asciiTheme="minorHAnsi" w:hAnsiTheme="minorHAnsi" w:cstheme="minorHAnsi"/>
          <w:sz w:val="22"/>
          <w:szCs w:val="22"/>
        </w:rPr>
        <w:tab/>
        <w:t xml:space="preserve">display the </w:t>
      </w:r>
      <w:bookmarkStart w:id="25" w:name="_Hlk127170747"/>
      <w:r w:rsidRPr="00744421">
        <w:rPr>
          <w:rFonts w:asciiTheme="minorHAnsi" w:hAnsiTheme="minorHAnsi" w:cstheme="minorHAnsi"/>
          <w:sz w:val="22"/>
          <w:szCs w:val="22"/>
        </w:rPr>
        <w:t>international symbol of accessibility</w:t>
      </w:r>
      <w:bookmarkEnd w:id="25"/>
      <w:r w:rsidR="00CC0325">
        <w:rPr>
          <w:rFonts w:asciiTheme="minorHAnsi" w:hAnsiTheme="minorHAnsi" w:cstheme="minorHAnsi"/>
          <w:sz w:val="22"/>
          <w:szCs w:val="22"/>
        </w:rPr>
        <w:t>; and</w:t>
      </w:r>
    </w:p>
    <w:p w14:paraId="48E60F7F" w14:textId="6CADC43B" w:rsidR="00FB0893" w:rsidRPr="00744421" w:rsidRDefault="00FB0893" w:rsidP="00FB0893">
      <w:pPr>
        <w:pStyle w:val="P1"/>
        <w:keepNext/>
        <w:rPr>
          <w:rFonts w:asciiTheme="minorHAnsi" w:hAnsiTheme="minorHAnsi" w:cstheme="minorHAnsi"/>
          <w:sz w:val="22"/>
          <w:szCs w:val="22"/>
        </w:rPr>
      </w:pPr>
      <w:r w:rsidRPr="00744421">
        <w:rPr>
          <w:rFonts w:asciiTheme="minorHAnsi" w:hAnsiTheme="minorHAnsi" w:cstheme="minorHAnsi"/>
          <w:sz w:val="22"/>
          <w:szCs w:val="22"/>
        </w:rPr>
        <w:tab/>
        <w:t>(b)</w:t>
      </w:r>
      <w:r w:rsidRPr="00744421">
        <w:rPr>
          <w:rFonts w:asciiTheme="minorHAnsi" w:hAnsiTheme="minorHAnsi" w:cstheme="minorHAnsi"/>
          <w:sz w:val="22"/>
          <w:szCs w:val="22"/>
        </w:rPr>
        <w:tab/>
        <w:t>be outlined in a flush contrasting strip 25 mm wide.</w:t>
      </w:r>
    </w:p>
    <w:p w14:paraId="3CED6503" w14:textId="26E15ECC" w:rsidR="00FB0893" w:rsidRDefault="00FB0893" w:rsidP="00FB0893">
      <w:pPr>
        <w:pStyle w:val="R2"/>
        <w:keepNext/>
        <w:rPr>
          <w:rFonts w:asciiTheme="minorHAnsi" w:hAnsiTheme="minorHAnsi" w:cstheme="minorHAnsi"/>
          <w:sz w:val="22"/>
          <w:szCs w:val="22"/>
        </w:rPr>
      </w:pPr>
      <w:r w:rsidRPr="00FB0893">
        <w:rPr>
          <w:rFonts w:asciiTheme="minorHAnsi" w:hAnsiTheme="minorHAnsi" w:cstheme="minorHAnsi"/>
          <w:b/>
          <w:bCs/>
          <w:sz w:val="22"/>
          <w:szCs w:val="22"/>
        </w:rPr>
        <w:t>(2)</w:t>
      </w:r>
      <w:r w:rsidRPr="00744421">
        <w:rPr>
          <w:rFonts w:asciiTheme="minorHAnsi" w:hAnsiTheme="minorHAnsi" w:cstheme="minorHAnsi"/>
          <w:sz w:val="22"/>
          <w:szCs w:val="22"/>
        </w:rPr>
        <w:tab/>
        <w:t xml:space="preserve">The colours prescribed in </w:t>
      </w:r>
      <w:r w:rsidRPr="00744421">
        <w:rPr>
          <w:rFonts w:asciiTheme="minorHAnsi" w:hAnsiTheme="minorHAnsi" w:cstheme="minorHAnsi"/>
          <w:b/>
          <w:sz w:val="22"/>
          <w:szCs w:val="22"/>
        </w:rPr>
        <w:t>AS1428.1 (2001) Clause 14.2 (c)</w:t>
      </w:r>
      <w:r w:rsidRPr="00744421">
        <w:rPr>
          <w:rFonts w:asciiTheme="minorHAnsi" w:hAnsiTheme="minorHAnsi" w:cstheme="minorHAnsi"/>
          <w:sz w:val="22"/>
          <w:szCs w:val="22"/>
        </w:rPr>
        <w:t xml:space="preserve"> are not mandatory.</w:t>
      </w:r>
    </w:p>
    <w:p w14:paraId="7A48F0D0" w14:textId="77777777" w:rsidR="00FB0893" w:rsidRPr="001C181A" w:rsidRDefault="00FB0893" w:rsidP="00FB0893">
      <w:pPr>
        <w:pStyle w:val="R2"/>
        <w:keepNext/>
        <w:rPr>
          <w:rFonts w:asciiTheme="minorHAnsi" w:hAnsiTheme="minorHAnsi" w:cstheme="minorHAnsi"/>
          <w:sz w:val="22"/>
          <w:szCs w:val="22"/>
        </w:rPr>
      </w:pPr>
      <w:r w:rsidRPr="00744421">
        <w:rPr>
          <w:rFonts w:asciiTheme="minorHAnsi" w:hAnsiTheme="minorHAnsi" w:cstheme="minorHAnsi"/>
          <w:sz w:val="22"/>
          <w:szCs w:val="22"/>
        </w:rPr>
        <w:t xml:space="preserve"> </w:t>
      </w:r>
    </w:p>
    <w:p w14:paraId="281B01EF" w14:textId="77777777" w:rsidR="004D671E" w:rsidRDefault="00FB0893" w:rsidP="00B63A76">
      <w:pPr>
        <w:spacing w:after="160" w:line="259" w:lineRule="auto"/>
        <w:rPr>
          <w:rFonts w:cstheme="minorHAnsi"/>
          <w:lang w:val="en-US"/>
        </w:rPr>
      </w:pPr>
      <w:r w:rsidRPr="00B63A76">
        <w:rPr>
          <w:rFonts w:cstheme="minorHAnsi"/>
          <w:lang w:val="en-US"/>
        </w:rPr>
        <w:t xml:space="preserve">Section 9.10 fails to provide detail on how </w:t>
      </w:r>
      <w:r w:rsidR="00B63A76">
        <w:rPr>
          <w:rFonts w:cstheme="minorHAnsi"/>
          <w:lang w:val="en-US"/>
        </w:rPr>
        <w:t>it</w:t>
      </w:r>
      <w:r w:rsidRPr="00B63A76">
        <w:rPr>
          <w:rFonts w:cstheme="minorHAnsi"/>
          <w:lang w:val="en-US"/>
        </w:rPr>
        <w:t xml:space="preserve"> ensure</w:t>
      </w:r>
      <w:r w:rsidR="00B63A76">
        <w:rPr>
          <w:rFonts w:cstheme="minorHAnsi"/>
          <w:lang w:val="en-US"/>
        </w:rPr>
        <w:t>s</w:t>
      </w:r>
      <w:r w:rsidRPr="00B63A76">
        <w:rPr>
          <w:rFonts w:cstheme="minorHAnsi"/>
          <w:lang w:val="en-US"/>
        </w:rPr>
        <w:t xml:space="preserve"> public transport services adhere to the requirements for displaying the international symbol of accessibility. </w:t>
      </w:r>
      <w:r w:rsidR="004D671E">
        <w:rPr>
          <w:rFonts w:cstheme="minorHAnsi"/>
          <w:lang w:val="en-US"/>
        </w:rPr>
        <w:t>This makes it difficult to enforce the display of the international symbol of accessibility on public transport.</w:t>
      </w:r>
    </w:p>
    <w:p w14:paraId="39D00148" w14:textId="7B9CF4C3" w:rsidR="00EC23FE" w:rsidRDefault="00FB0893" w:rsidP="00B63A76">
      <w:pPr>
        <w:spacing w:after="160" w:line="259" w:lineRule="auto"/>
        <w:rPr>
          <w:rFonts w:cstheme="minorHAnsi"/>
          <w:bCs/>
        </w:rPr>
      </w:pPr>
      <w:r w:rsidRPr="00B63A76">
        <w:rPr>
          <w:rFonts w:cstheme="minorHAnsi"/>
          <w:lang w:val="en-US"/>
        </w:rPr>
        <w:t xml:space="preserve">Additionally, section 9.10 does not provide an explanation for why the </w:t>
      </w:r>
      <w:r w:rsidRPr="00B63A76">
        <w:rPr>
          <w:rFonts w:cstheme="minorHAnsi"/>
        </w:rPr>
        <w:t xml:space="preserve">colours prescribed in </w:t>
      </w:r>
      <w:r w:rsidRPr="00B63A76">
        <w:rPr>
          <w:rFonts w:cstheme="minorHAnsi"/>
          <w:b/>
        </w:rPr>
        <w:t>AS1428.1 (2001) Clause 14.2 (c)</w:t>
      </w:r>
      <w:r w:rsidRPr="00B63A76">
        <w:rPr>
          <w:rFonts w:cstheme="minorHAnsi"/>
        </w:rPr>
        <w:t xml:space="preserve"> are not mandatory, </w:t>
      </w:r>
      <w:bookmarkStart w:id="26" w:name="_Hlk127348918"/>
      <w:r w:rsidRPr="00B63A76">
        <w:rPr>
          <w:rFonts w:cstheme="minorHAnsi"/>
        </w:rPr>
        <w:t>and what alternative colours can be used.</w:t>
      </w:r>
      <w:bookmarkEnd w:id="26"/>
      <w:r w:rsidR="004D671E">
        <w:rPr>
          <w:rFonts w:cstheme="minorHAnsi"/>
        </w:rPr>
        <w:t xml:space="preserve"> </w:t>
      </w:r>
      <w:r w:rsidRPr="00B63A76">
        <w:rPr>
          <w:rFonts w:cstheme="minorHAnsi"/>
        </w:rPr>
        <w:t xml:space="preserve">Further, </w:t>
      </w:r>
      <w:bookmarkStart w:id="27" w:name="_Hlk127279029"/>
      <w:r w:rsidRPr="00B63A76">
        <w:rPr>
          <w:rFonts w:cstheme="minorHAnsi"/>
          <w:b/>
        </w:rPr>
        <w:t xml:space="preserve">AS1428.1 </w:t>
      </w:r>
      <w:bookmarkEnd w:id="27"/>
      <w:r w:rsidRPr="00B63A76">
        <w:rPr>
          <w:rFonts w:cstheme="minorHAnsi"/>
          <w:b/>
        </w:rPr>
        <w:t xml:space="preserve">(2001) </w:t>
      </w:r>
      <w:r w:rsidRPr="00B63A76">
        <w:rPr>
          <w:rFonts w:cstheme="minorHAnsi"/>
          <w:bCs/>
        </w:rPr>
        <w:t>was superseded by an updated Standard in 2009.</w:t>
      </w:r>
      <w:r>
        <w:rPr>
          <w:rStyle w:val="FootnoteReference"/>
          <w:rFonts w:cstheme="minorHAnsi"/>
          <w:bCs/>
        </w:rPr>
        <w:footnoteReference w:id="11"/>
      </w:r>
      <w:r w:rsidRPr="00B63A76">
        <w:rPr>
          <w:rFonts w:cstheme="minorHAnsi"/>
          <w:bCs/>
        </w:rPr>
        <w:t xml:space="preserve"> The updated Standard has not been acknowledged or incorporated into the Transport Standards.</w:t>
      </w:r>
      <w:r w:rsidR="00B63A76" w:rsidRPr="00B63A76">
        <w:rPr>
          <w:rFonts w:cstheme="minorHAnsi"/>
          <w:bCs/>
        </w:rPr>
        <w:t xml:space="preserve"> </w:t>
      </w:r>
      <w:r w:rsidR="00EC23FE">
        <w:rPr>
          <w:rFonts w:cstheme="minorHAnsi"/>
          <w:bCs/>
        </w:rPr>
        <w:t xml:space="preserve"> </w:t>
      </w:r>
    </w:p>
    <w:p w14:paraId="337A2A42" w14:textId="67058903" w:rsidR="008028B5" w:rsidRPr="00E76B32" w:rsidRDefault="00FB0893" w:rsidP="00E76B32">
      <w:pPr>
        <w:spacing w:after="160" w:line="259" w:lineRule="auto"/>
        <w:rPr>
          <w:rFonts w:cstheme="minorHAnsi"/>
          <w:bCs/>
        </w:rPr>
      </w:pPr>
      <w:r w:rsidRPr="00B63A76">
        <w:rPr>
          <w:rFonts w:cstheme="minorHAnsi"/>
        </w:rPr>
        <w:lastRenderedPageBreak/>
        <w:t>Section 9.1</w:t>
      </w:r>
      <w:r w:rsidR="005D0E29">
        <w:rPr>
          <w:rFonts w:cstheme="minorHAnsi"/>
        </w:rPr>
        <w:t>0</w:t>
      </w:r>
      <w:r w:rsidRPr="00B63A76">
        <w:rPr>
          <w:rFonts w:cstheme="minorHAnsi"/>
        </w:rPr>
        <w:t xml:space="preserve"> the Transport Standards should therefore be amended to explain how it enforces the display of the international symbol of accessibility on public transport services and what colours can be used to display the symbol by making </w:t>
      </w:r>
      <w:bookmarkStart w:id="28" w:name="_Hlk127354045"/>
      <w:r w:rsidRPr="00B63A76">
        <w:rPr>
          <w:rFonts w:cstheme="minorHAnsi"/>
        </w:rPr>
        <w:t xml:space="preserve">reference to the updated </w:t>
      </w:r>
      <w:r w:rsidRPr="00215060">
        <w:rPr>
          <w:rFonts w:cstheme="minorHAnsi"/>
          <w:b/>
          <w:bCs/>
        </w:rPr>
        <w:t>AS1428.1 2009</w:t>
      </w:r>
      <w:r w:rsidRPr="00B63A76">
        <w:rPr>
          <w:rFonts w:cstheme="minorHAnsi"/>
        </w:rPr>
        <w:t xml:space="preserve"> standard.</w:t>
      </w:r>
      <w:bookmarkEnd w:id="28"/>
    </w:p>
    <w:p w14:paraId="5EBAB362" w14:textId="440CA09B" w:rsidR="00B70D87" w:rsidRDefault="00500BAB" w:rsidP="00500BAB">
      <w:pPr>
        <w:pStyle w:val="Heading3"/>
      </w:pPr>
      <w:r w:rsidRPr="00500BAB">
        <w:t>16.1 International symbols for accessibility and deafness</w:t>
      </w:r>
    </w:p>
    <w:p w14:paraId="72E71818" w14:textId="4A5A680C" w:rsidR="00C77AC7" w:rsidRPr="00C77AC7" w:rsidRDefault="00C77AC7" w:rsidP="00C77AC7">
      <w:pPr>
        <w:rPr>
          <w:rFonts w:cstheme="minorHAnsi"/>
          <w:lang w:val="en-US"/>
        </w:rPr>
      </w:pPr>
      <w:r w:rsidRPr="00326E81">
        <w:rPr>
          <w:rFonts w:cstheme="minorHAnsi"/>
          <w:lang w:val="en-US"/>
        </w:rPr>
        <w:t xml:space="preserve">Section 16.1 of the Transport Standards covers the </w:t>
      </w:r>
      <w:bookmarkStart w:id="29" w:name="_Hlk127354013"/>
      <w:r w:rsidRPr="00326E81">
        <w:rPr>
          <w:rFonts w:cstheme="minorHAnsi"/>
          <w:lang w:val="en-US"/>
        </w:rPr>
        <w:t>international symbols for accessibility and deafness</w:t>
      </w:r>
      <w:bookmarkEnd w:id="29"/>
      <w:r w:rsidRPr="00326E81">
        <w:rPr>
          <w:rFonts w:cstheme="minorHAnsi"/>
          <w:lang w:val="en-US"/>
        </w:rPr>
        <w:t>.</w:t>
      </w:r>
      <w:r>
        <w:rPr>
          <w:rStyle w:val="FootnoteReference"/>
          <w:rFonts w:cstheme="minorHAnsi"/>
          <w:lang w:val="en-US"/>
        </w:rPr>
        <w:footnoteReference w:id="12"/>
      </w:r>
      <w:r w:rsidRPr="00326E81">
        <w:rPr>
          <w:rFonts w:cstheme="minorHAnsi"/>
          <w:lang w:val="en-US"/>
        </w:rPr>
        <w:t xml:space="preserve"> It requires the following:</w:t>
      </w:r>
    </w:p>
    <w:p w14:paraId="2694454F" w14:textId="77777777" w:rsidR="00C77AC7" w:rsidRPr="003C7043" w:rsidRDefault="00C77AC7" w:rsidP="00C77AC7">
      <w:pPr>
        <w:pStyle w:val="ListParagraph"/>
        <w:autoSpaceDE w:val="0"/>
        <w:autoSpaceDN w:val="0"/>
        <w:adjustRightInd w:val="0"/>
        <w:spacing w:after="0" w:line="240" w:lineRule="auto"/>
        <w:ind w:left="360"/>
        <w:rPr>
          <w:rFonts w:cstheme="minorHAnsi"/>
          <w:b/>
          <w:bCs/>
        </w:rPr>
      </w:pPr>
      <w:r w:rsidRPr="003C7043">
        <w:rPr>
          <w:rFonts w:cstheme="minorHAnsi"/>
        </w:rPr>
        <w:t>(1) The international symbols for accessibility and deafness (</w:t>
      </w:r>
      <w:r w:rsidRPr="003C7043">
        <w:rPr>
          <w:rFonts w:cstheme="minorHAnsi"/>
          <w:b/>
          <w:bCs/>
        </w:rPr>
        <w:t>AS1428.1 (2001)</w:t>
      </w:r>
    </w:p>
    <w:p w14:paraId="5778351E" w14:textId="65A1C4EB" w:rsidR="00C77AC7" w:rsidRPr="003C7043" w:rsidRDefault="00C77AC7" w:rsidP="00C77AC7">
      <w:pPr>
        <w:pStyle w:val="ListParagraph"/>
        <w:autoSpaceDE w:val="0"/>
        <w:autoSpaceDN w:val="0"/>
        <w:adjustRightInd w:val="0"/>
        <w:spacing w:after="0" w:line="240" w:lineRule="auto"/>
        <w:ind w:left="360"/>
        <w:rPr>
          <w:rFonts w:cstheme="minorHAnsi"/>
        </w:rPr>
      </w:pPr>
      <w:r w:rsidRPr="003C7043">
        <w:rPr>
          <w:rFonts w:cstheme="minorHAnsi"/>
          <w:b/>
          <w:bCs/>
        </w:rPr>
        <w:t>Clause 14.2</w:t>
      </w:r>
      <w:r w:rsidRPr="003C7043">
        <w:rPr>
          <w:rFonts w:cstheme="minorHAnsi"/>
        </w:rPr>
        <w:t xml:space="preserve">, </w:t>
      </w:r>
      <w:r w:rsidRPr="003C7043">
        <w:rPr>
          <w:rFonts w:cstheme="minorHAnsi"/>
          <w:i/>
          <w:iCs/>
        </w:rPr>
        <w:t xml:space="preserve">International symbol </w:t>
      </w:r>
      <w:r w:rsidRPr="003C7043">
        <w:rPr>
          <w:rFonts w:cstheme="minorHAnsi"/>
        </w:rPr>
        <w:t xml:space="preserve">and </w:t>
      </w:r>
      <w:r w:rsidRPr="003C7043">
        <w:rPr>
          <w:rFonts w:cstheme="minorHAnsi"/>
          <w:b/>
          <w:bCs/>
        </w:rPr>
        <w:t>Clause 14.3</w:t>
      </w:r>
      <w:r w:rsidRPr="003C7043">
        <w:rPr>
          <w:rFonts w:cstheme="minorHAnsi"/>
        </w:rPr>
        <w:t xml:space="preserve">, </w:t>
      </w:r>
      <w:r w:rsidRPr="003C7043">
        <w:rPr>
          <w:rFonts w:cstheme="minorHAnsi"/>
          <w:i/>
          <w:iCs/>
        </w:rPr>
        <w:t>International symbol for deafness</w:t>
      </w:r>
      <w:r w:rsidRPr="003C7043">
        <w:rPr>
          <w:rFonts w:cstheme="minorHAnsi"/>
        </w:rPr>
        <w:t>) must be used to identify an access path and which facilities and boarding points are accessible</w:t>
      </w:r>
      <w:r w:rsidR="00612A73">
        <w:rPr>
          <w:rFonts w:cstheme="minorHAnsi"/>
        </w:rPr>
        <w:t>.</w:t>
      </w:r>
    </w:p>
    <w:p w14:paraId="399AA0C8" w14:textId="24DF5E71" w:rsidR="00C77AC7" w:rsidRDefault="00C77AC7" w:rsidP="00C77AC7">
      <w:pPr>
        <w:pStyle w:val="ListParagraph"/>
        <w:autoSpaceDE w:val="0"/>
        <w:autoSpaceDN w:val="0"/>
        <w:adjustRightInd w:val="0"/>
        <w:spacing w:after="0" w:line="240" w:lineRule="auto"/>
        <w:ind w:left="360"/>
        <w:rPr>
          <w:rFonts w:cstheme="minorHAnsi"/>
        </w:rPr>
      </w:pPr>
      <w:r w:rsidRPr="003C7043">
        <w:rPr>
          <w:rFonts w:cstheme="minorHAnsi"/>
        </w:rPr>
        <w:t xml:space="preserve">(2) The colours prescribed in </w:t>
      </w:r>
      <w:r w:rsidRPr="003C7043">
        <w:rPr>
          <w:rFonts w:cstheme="minorHAnsi"/>
          <w:b/>
          <w:bCs/>
        </w:rPr>
        <w:t xml:space="preserve">AS1428.1 (2001) Clause 14.2 (c) </w:t>
      </w:r>
      <w:r w:rsidRPr="003C7043">
        <w:rPr>
          <w:rFonts w:cstheme="minorHAnsi"/>
        </w:rPr>
        <w:t>are not mandatory.</w:t>
      </w:r>
      <w:r w:rsidR="00036072">
        <w:rPr>
          <w:rStyle w:val="FootnoteReference"/>
          <w:rFonts w:cstheme="minorHAnsi"/>
        </w:rPr>
        <w:footnoteReference w:id="13"/>
      </w:r>
    </w:p>
    <w:p w14:paraId="7C16ED2C" w14:textId="77777777" w:rsidR="00C77AC7" w:rsidRDefault="00C77AC7" w:rsidP="00C77AC7">
      <w:pPr>
        <w:pStyle w:val="ListParagraph"/>
        <w:autoSpaceDE w:val="0"/>
        <w:autoSpaceDN w:val="0"/>
        <w:adjustRightInd w:val="0"/>
        <w:spacing w:after="0" w:line="240" w:lineRule="auto"/>
        <w:ind w:left="360"/>
        <w:rPr>
          <w:rFonts w:cstheme="minorHAnsi"/>
        </w:rPr>
      </w:pPr>
    </w:p>
    <w:p w14:paraId="19033E7E" w14:textId="17B9F8F0" w:rsidR="004E6BB2" w:rsidRDefault="00D67E24" w:rsidP="00EC23FE">
      <w:pPr>
        <w:spacing w:after="160" w:line="259" w:lineRule="auto"/>
        <w:rPr>
          <w:rFonts w:cstheme="minorHAnsi"/>
        </w:rPr>
      </w:pPr>
      <w:r w:rsidRPr="00D67E24">
        <w:rPr>
          <w:rFonts w:cstheme="minorHAnsi"/>
        </w:rPr>
        <w:t>The International Symbol for Deafness (also known as the International Deafness Symbol) identifies places that have functioning hearing augmentation services. The Symbol is a registered trademark in Australia of Deafness Forum Australia.</w:t>
      </w:r>
      <w:r>
        <w:rPr>
          <w:rStyle w:val="FootnoteReference"/>
          <w:rFonts w:cstheme="minorHAnsi"/>
        </w:rPr>
        <w:footnoteReference w:id="14"/>
      </w:r>
    </w:p>
    <w:p w14:paraId="255A32BB" w14:textId="512F274B" w:rsidR="00EC23FE" w:rsidRDefault="00C77AC7" w:rsidP="00EC23FE">
      <w:pPr>
        <w:spacing w:after="160" w:line="259" w:lineRule="auto"/>
        <w:rPr>
          <w:rFonts w:cstheme="minorHAnsi"/>
        </w:rPr>
      </w:pPr>
      <w:r w:rsidRPr="00EC23FE">
        <w:rPr>
          <w:rFonts w:cstheme="minorHAnsi"/>
        </w:rPr>
        <w:t xml:space="preserve">Similar to section 9.10 (2), section 16.1 (2) does not explain why the colours prescribed </w:t>
      </w:r>
      <w:r w:rsidRPr="003D23F3">
        <w:rPr>
          <w:rFonts w:cstheme="minorHAnsi"/>
          <w:b/>
          <w:bCs/>
        </w:rPr>
        <w:t>in AS1428.1 (2001)</w:t>
      </w:r>
      <w:r w:rsidRPr="00EC23FE">
        <w:rPr>
          <w:rFonts w:cstheme="minorHAnsi"/>
        </w:rPr>
        <w:t xml:space="preserve"> Clause 14.2 (c) are not mandatory, and what alternative colours can be used. Further, section 16.1 (2) does not make reference to the updated </w:t>
      </w:r>
      <w:r w:rsidRPr="00EC23FE">
        <w:rPr>
          <w:rFonts w:cstheme="minorHAnsi"/>
          <w:b/>
          <w:bCs/>
        </w:rPr>
        <w:t>AS1428.1 2009</w:t>
      </w:r>
      <w:r w:rsidRPr="00EC23FE">
        <w:rPr>
          <w:rFonts w:cstheme="minorHAnsi"/>
        </w:rPr>
        <w:t xml:space="preserve"> standard. </w:t>
      </w:r>
    </w:p>
    <w:p w14:paraId="071A576E" w14:textId="61A8C946" w:rsidR="00C77AC7" w:rsidRPr="00EC23FE" w:rsidRDefault="00C77AC7" w:rsidP="00EC23FE">
      <w:pPr>
        <w:spacing w:after="160" w:line="259" w:lineRule="auto"/>
        <w:rPr>
          <w:rFonts w:cstheme="minorHAnsi"/>
          <w:lang w:val="en-US"/>
        </w:rPr>
      </w:pPr>
      <w:r w:rsidRPr="00EC23FE">
        <w:rPr>
          <w:rFonts w:cstheme="minorHAnsi"/>
        </w:rPr>
        <w:t xml:space="preserve">Section 16.1 (2) should therefore be amended to explain what colours can be used to display the international symbols for accessibility and deafness and make reference to the updated </w:t>
      </w:r>
      <w:r w:rsidRPr="00250687">
        <w:rPr>
          <w:rFonts w:cstheme="minorHAnsi"/>
          <w:b/>
          <w:bCs/>
        </w:rPr>
        <w:t>AS1428.1 2009</w:t>
      </w:r>
      <w:r w:rsidRPr="00EC23FE">
        <w:rPr>
          <w:rFonts w:cstheme="minorHAnsi"/>
        </w:rPr>
        <w:t xml:space="preserve"> standard</w:t>
      </w:r>
      <w:r w:rsidR="00B638D6">
        <w:rPr>
          <w:rFonts w:cstheme="minorHAnsi"/>
        </w:rPr>
        <w:t>, noting that the colour</w:t>
      </w:r>
      <w:r w:rsidR="00483B86">
        <w:rPr>
          <w:rFonts w:cstheme="minorHAnsi"/>
        </w:rPr>
        <w:t xml:space="preserve">(s) of the </w:t>
      </w:r>
      <w:r w:rsidR="00483B86" w:rsidRPr="00483B86">
        <w:rPr>
          <w:rFonts w:cstheme="minorHAnsi"/>
        </w:rPr>
        <w:t>International Symbol for Deafness may not be changed without the permission of the trademark owner</w:t>
      </w:r>
      <w:r w:rsidR="00CC0C73">
        <w:rPr>
          <w:rFonts w:cstheme="minorHAnsi"/>
        </w:rPr>
        <w:t>.</w:t>
      </w:r>
      <w:r w:rsidR="003C1885">
        <w:rPr>
          <w:rStyle w:val="FootnoteReference"/>
          <w:rFonts w:cstheme="minorHAnsi"/>
        </w:rPr>
        <w:footnoteReference w:id="15"/>
      </w:r>
    </w:p>
    <w:p w14:paraId="325BA80C" w14:textId="5CB9DF49" w:rsidR="00500BAB" w:rsidRDefault="00CD4AAE" w:rsidP="00CD4AAE">
      <w:pPr>
        <w:pStyle w:val="Heading3"/>
      </w:pPr>
      <w:r w:rsidRPr="00CD4AAE">
        <w:t>16.2</w:t>
      </w:r>
      <w:r w:rsidRPr="00CD4AAE">
        <w:tab/>
        <w:t>Compliance with AS2899.1 (1986)</w:t>
      </w:r>
    </w:p>
    <w:p w14:paraId="706F0867" w14:textId="51D15050" w:rsidR="00E37CB4" w:rsidRDefault="00C9698C" w:rsidP="00E37CB4">
      <w:pPr>
        <w:rPr>
          <w:rFonts w:cstheme="minorHAnsi"/>
        </w:rPr>
      </w:pPr>
      <w:r w:rsidRPr="00C9698C">
        <w:rPr>
          <w:rFonts w:cstheme="minorHAnsi"/>
        </w:rPr>
        <w:t xml:space="preserve">Section 16.2 of the Transport standards covers compliance with </w:t>
      </w:r>
      <w:r w:rsidRPr="00C9698C">
        <w:rPr>
          <w:rFonts w:cstheme="minorHAnsi"/>
          <w:b/>
          <w:bCs/>
        </w:rPr>
        <w:t>AS2899.1 (1986</w:t>
      </w:r>
      <w:r w:rsidRPr="00C9698C">
        <w:rPr>
          <w:rFonts w:cstheme="minorHAnsi"/>
          <w:b/>
          <w:bCs/>
          <w:i/>
          <w:iCs/>
        </w:rPr>
        <w:t>)</w:t>
      </w:r>
      <w:r w:rsidRPr="00C9698C">
        <w:rPr>
          <w:rFonts w:cstheme="minorHAnsi"/>
          <w:i/>
          <w:iCs/>
        </w:rPr>
        <w:t xml:space="preserve"> Public information symbol signs - General information signs.</w:t>
      </w:r>
      <w:r w:rsidR="000C5922">
        <w:rPr>
          <w:rStyle w:val="FootnoteReference"/>
          <w:rFonts w:cstheme="minorHAnsi"/>
          <w:i/>
          <w:iCs/>
        </w:rPr>
        <w:footnoteReference w:id="16"/>
      </w:r>
      <w:r w:rsidRPr="00C9698C">
        <w:rPr>
          <w:rFonts w:cstheme="minorHAnsi"/>
          <w:i/>
          <w:iCs/>
        </w:rPr>
        <w:t xml:space="preserve"> </w:t>
      </w:r>
      <w:r w:rsidRPr="00C9698C">
        <w:rPr>
          <w:rFonts w:cstheme="minorHAnsi"/>
        </w:rPr>
        <w:t xml:space="preserve">Section 16.2 states that the illustrations and symbols prescribed in </w:t>
      </w:r>
      <w:r w:rsidRPr="00C9698C">
        <w:rPr>
          <w:rFonts w:cstheme="minorHAnsi"/>
          <w:b/>
          <w:bCs/>
        </w:rPr>
        <w:t>AS2899.1 (1986)</w:t>
      </w:r>
      <w:r w:rsidRPr="00C9698C">
        <w:rPr>
          <w:rFonts w:cstheme="minorHAnsi"/>
        </w:rPr>
        <w:t xml:space="preserve"> must be used if applicable.</w:t>
      </w:r>
      <w:r>
        <w:rPr>
          <w:rStyle w:val="FootnoteReference"/>
          <w:rFonts w:cstheme="minorHAnsi"/>
        </w:rPr>
        <w:footnoteReference w:id="17"/>
      </w:r>
      <w:r w:rsidRPr="00C9698C">
        <w:rPr>
          <w:rFonts w:cstheme="minorHAnsi"/>
        </w:rPr>
        <w:t xml:space="preserve"> </w:t>
      </w:r>
      <w:r w:rsidR="00E37CB4">
        <w:rPr>
          <w:rFonts w:cstheme="minorHAnsi"/>
        </w:rPr>
        <w:t xml:space="preserve"> </w:t>
      </w:r>
      <w:r w:rsidR="00E37CB4" w:rsidRPr="00E37CB4">
        <w:rPr>
          <w:rFonts w:cstheme="minorHAnsi"/>
        </w:rPr>
        <w:t>A</w:t>
      </w:r>
      <w:r w:rsidRPr="00E37CB4">
        <w:rPr>
          <w:rFonts w:cstheme="minorHAnsi"/>
        </w:rPr>
        <w:t>ccording to the Standards Australia website, AS2899.1 (1986</w:t>
      </w:r>
      <w:r w:rsidR="00E37CB4" w:rsidRPr="00E37CB4">
        <w:rPr>
          <w:rFonts w:cstheme="minorHAnsi"/>
        </w:rPr>
        <w:t>) has</w:t>
      </w:r>
      <w:r w:rsidRPr="00E37CB4">
        <w:rPr>
          <w:rFonts w:cstheme="minorHAnsi"/>
        </w:rPr>
        <w:t xml:space="preserve"> been withdrawn.</w:t>
      </w:r>
      <w:r>
        <w:rPr>
          <w:rStyle w:val="FootnoteReference"/>
          <w:rFonts w:cstheme="minorHAnsi"/>
        </w:rPr>
        <w:footnoteReference w:id="18"/>
      </w:r>
      <w:r w:rsidRPr="00E37CB4">
        <w:rPr>
          <w:rFonts w:cstheme="minorHAnsi"/>
        </w:rPr>
        <w:t xml:space="preserve"> The SAI Global Standards and Legislation website states, a withdrawn Standard is “one, which is removed from sale, and its unique number can no longer be used. The Standard can be withdrawn and not replaced, or it can be withdrawn and replaced by a Standard with a different number.”</w:t>
      </w:r>
      <w:r>
        <w:rPr>
          <w:rStyle w:val="FootnoteReference"/>
          <w:rFonts w:cstheme="minorHAnsi"/>
        </w:rPr>
        <w:footnoteReference w:id="19"/>
      </w:r>
    </w:p>
    <w:p w14:paraId="41E5BB4F" w14:textId="2D7EEF7D" w:rsidR="003B20C1" w:rsidRDefault="00C9698C" w:rsidP="00E37CB4">
      <w:pPr>
        <w:rPr>
          <w:rFonts w:cstheme="minorHAnsi"/>
        </w:rPr>
      </w:pPr>
      <w:r w:rsidRPr="00E37CB4">
        <w:rPr>
          <w:rFonts w:cstheme="minorHAnsi"/>
        </w:rPr>
        <w:lastRenderedPageBreak/>
        <w:t xml:space="preserve"> As such, section 16.2 needs to be amended to replace the reference to </w:t>
      </w:r>
      <w:r w:rsidRPr="00E37CB4">
        <w:rPr>
          <w:rFonts w:cstheme="minorHAnsi"/>
          <w:b/>
          <w:bCs/>
        </w:rPr>
        <w:t>AS2899.1 (1986)</w:t>
      </w:r>
      <w:r w:rsidRPr="00E37CB4">
        <w:rPr>
          <w:rFonts w:cstheme="minorHAnsi"/>
        </w:rPr>
        <w:t>, with a current Standard on illustrations and symbols.</w:t>
      </w:r>
    </w:p>
    <w:p w14:paraId="7D0087D3" w14:textId="77777777" w:rsidR="00912DC5" w:rsidRDefault="00912DC5" w:rsidP="00912DC5">
      <w:pPr>
        <w:pStyle w:val="Recommendation"/>
      </w:pPr>
      <w:r>
        <w:t>That</w:t>
      </w:r>
      <w:r w:rsidRPr="009C0A9E">
        <w:rPr>
          <w:b/>
          <w:bCs/>
        </w:rPr>
        <w:t xml:space="preserve"> sections</w:t>
      </w:r>
      <w:r>
        <w:t xml:space="preserve"> </w:t>
      </w:r>
      <w:r w:rsidRPr="00100DB7">
        <w:rPr>
          <w:b/>
          <w:bCs/>
          <w:lang w:val="en-US"/>
        </w:rPr>
        <w:t>9.10 and 16.1</w:t>
      </w:r>
      <w:r>
        <w:rPr>
          <w:lang w:val="en-US"/>
        </w:rPr>
        <w:t xml:space="preserve"> of the Transport Standards be amended to incorporate the updated </w:t>
      </w:r>
      <w:r w:rsidRPr="00F8393E">
        <w:rPr>
          <w:b/>
          <w:bCs/>
          <w:lang w:val="en-US"/>
        </w:rPr>
        <w:t>AS1428.1 2009</w:t>
      </w:r>
      <w:r>
        <w:rPr>
          <w:lang w:val="en-US"/>
        </w:rPr>
        <w:t xml:space="preserve"> Standard</w:t>
      </w:r>
      <w:r>
        <w:t>.</w:t>
      </w:r>
    </w:p>
    <w:p w14:paraId="344D925E" w14:textId="45E743F5" w:rsidR="000B6956" w:rsidRDefault="00912DC5" w:rsidP="005F42E2">
      <w:pPr>
        <w:pStyle w:val="Recommendation"/>
      </w:pPr>
      <w:r>
        <w:t xml:space="preserve">That </w:t>
      </w:r>
      <w:r w:rsidRPr="009C0A9E">
        <w:rPr>
          <w:b/>
          <w:bCs/>
        </w:rPr>
        <w:t>section</w:t>
      </w:r>
      <w:r w:rsidRPr="008353F6">
        <w:t xml:space="preserve"> </w:t>
      </w:r>
      <w:r w:rsidRPr="00473726">
        <w:rPr>
          <w:b/>
          <w:bCs/>
        </w:rPr>
        <w:t>16.2</w:t>
      </w:r>
      <w:r>
        <w:t xml:space="preserve"> of the Transport Standards be amended to </w:t>
      </w:r>
      <w:r>
        <w:rPr>
          <w:lang w:val="en-US"/>
        </w:rPr>
        <w:t xml:space="preserve">replace references to </w:t>
      </w:r>
      <w:r w:rsidRPr="00E53C04">
        <w:rPr>
          <w:b/>
          <w:bCs/>
          <w:lang w:val="en-US"/>
        </w:rPr>
        <w:t>AS2899.1 (1986),</w:t>
      </w:r>
      <w:r w:rsidRPr="00E53C04">
        <w:rPr>
          <w:lang w:val="en-US"/>
        </w:rPr>
        <w:t xml:space="preserve"> with a current Standard on illustrations and symbols</w:t>
      </w:r>
      <w:r>
        <w:rPr>
          <w:lang w:val="en-US"/>
        </w:rPr>
        <w:t>.</w:t>
      </w:r>
    </w:p>
    <w:p w14:paraId="10364A79" w14:textId="4B5C7050" w:rsidR="005F42E2" w:rsidRDefault="005F42E2" w:rsidP="005F42E2">
      <w:pPr>
        <w:pStyle w:val="Heading2"/>
      </w:pPr>
      <w:r w:rsidRPr="003B20C1">
        <w:t>Emergency situations</w:t>
      </w:r>
    </w:p>
    <w:p w14:paraId="0DD3B6C3" w14:textId="77777777" w:rsidR="005F42E2" w:rsidRPr="00963209" w:rsidRDefault="005F42E2" w:rsidP="005F42E2">
      <w:pPr>
        <w:pStyle w:val="Heading3"/>
      </w:pPr>
      <w:r w:rsidRPr="00963209">
        <w:t>19.1 Emergency warning systems</w:t>
      </w:r>
    </w:p>
    <w:p w14:paraId="0E17102A" w14:textId="77777777" w:rsidR="005F42E2" w:rsidRPr="00924B0E" w:rsidRDefault="005F42E2" w:rsidP="005F42E2">
      <w:pPr>
        <w:spacing w:after="160" w:line="259" w:lineRule="auto"/>
        <w:rPr>
          <w:rFonts w:cstheme="minorHAnsi"/>
        </w:rPr>
      </w:pPr>
      <w:r w:rsidRPr="00924B0E">
        <w:rPr>
          <w:rFonts w:cstheme="minorHAnsi"/>
        </w:rPr>
        <w:t>Section 19.1 of the Transport Standards focuses on the installation of emergency warning systems.</w:t>
      </w:r>
      <w:r>
        <w:rPr>
          <w:rStyle w:val="FootnoteReference"/>
          <w:rFonts w:cstheme="minorHAnsi"/>
        </w:rPr>
        <w:footnoteReference w:id="20"/>
      </w:r>
      <w:r w:rsidRPr="00924B0E">
        <w:rPr>
          <w:rFonts w:cstheme="minorHAnsi"/>
        </w:rPr>
        <w:t xml:space="preserve"> </w:t>
      </w:r>
      <w:r w:rsidRPr="00924B0E">
        <w:rPr>
          <w:rFonts w:cstheme="minorHAnsi"/>
          <w:lang w:val="en-US"/>
        </w:rPr>
        <w:t>It requires the following:</w:t>
      </w:r>
    </w:p>
    <w:p w14:paraId="25D3CD03" w14:textId="77777777" w:rsidR="005F42E2" w:rsidRPr="00D90062" w:rsidRDefault="005F42E2" w:rsidP="005F42E2">
      <w:pPr>
        <w:pStyle w:val="ListParagraph"/>
        <w:spacing w:after="160" w:line="259" w:lineRule="auto"/>
        <w:ind w:left="360"/>
        <w:rPr>
          <w:rFonts w:cstheme="minorHAnsi"/>
        </w:rPr>
      </w:pPr>
    </w:p>
    <w:p w14:paraId="496CB6F1" w14:textId="4004FD11" w:rsidR="005F42E2" w:rsidRDefault="005F42E2" w:rsidP="005F42E2">
      <w:pPr>
        <w:pStyle w:val="ListParagraph"/>
        <w:ind w:left="360"/>
        <w:rPr>
          <w:rFonts w:cstheme="minorHAnsi"/>
        </w:rPr>
      </w:pPr>
      <w:r w:rsidRPr="00616F2B">
        <w:rPr>
          <w:rFonts w:cstheme="minorHAnsi"/>
        </w:rPr>
        <w:t xml:space="preserve">(1) If installed, emergency warning systems must comply with </w:t>
      </w:r>
      <w:r w:rsidRPr="00616F2B">
        <w:rPr>
          <w:rFonts w:cstheme="minorHAnsi"/>
          <w:b/>
          <w:bCs/>
        </w:rPr>
        <w:t>AS1428.2</w:t>
      </w:r>
      <w:r>
        <w:rPr>
          <w:rFonts w:cstheme="minorHAnsi"/>
          <w:b/>
          <w:bCs/>
        </w:rPr>
        <w:t xml:space="preserve"> </w:t>
      </w:r>
      <w:r w:rsidRPr="00616F2B">
        <w:rPr>
          <w:rFonts w:cstheme="minorHAnsi"/>
          <w:b/>
          <w:bCs/>
        </w:rPr>
        <w:t>(1992) Clause 18.2.1</w:t>
      </w:r>
      <w:r w:rsidRPr="00616F2B">
        <w:rPr>
          <w:rFonts w:cstheme="minorHAnsi"/>
        </w:rPr>
        <w:t xml:space="preserve">, </w:t>
      </w:r>
      <w:r w:rsidRPr="00616F2B">
        <w:rPr>
          <w:rFonts w:cstheme="minorHAnsi"/>
          <w:i/>
          <w:iCs/>
        </w:rPr>
        <w:t>Emergency warning systems</w:t>
      </w:r>
      <w:r w:rsidRPr="00616F2B">
        <w:rPr>
          <w:rFonts w:cstheme="minorHAnsi"/>
        </w:rPr>
        <w:t xml:space="preserve">, </w:t>
      </w:r>
      <w:r w:rsidRPr="00616F2B">
        <w:rPr>
          <w:rFonts w:cstheme="minorHAnsi"/>
          <w:b/>
          <w:bCs/>
        </w:rPr>
        <w:t>Clause 18.2.2</w:t>
      </w:r>
      <w:r w:rsidRPr="00616F2B">
        <w:rPr>
          <w:rFonts w:cstheme="minorHAnsi"/>
        </w:rPr>
        <w:t xml:space="preserve">, </w:t>
      </w:r>
      <w:r w:rsidRPr="00616F2B">
        <w:rPr>
          <w:rFonts w:cstheme="minorHAnsi"/>
          <w:i/>
          <w:iCs/>
        </w:rPr>
        <w:t>Audible alarms</w:t>
      </w:r>
      <w:r w:rsidRPr="00616F2B">
        <w:rPr>
          <w:rFonts w:cstheme="minorHAnsi"/>
        </w:rPr>
        <w:t xml:space="preserve">, and </w:t>
      </w:r>
      <w:r w:rsidRPr="00616F2B">
        <w:rPr>
          <w:rFonts w:cstheme="minorHAnsi"/>
          <w:b/>
          <w:bCs/>
        </w:rPr>
        <w:t>Clause 18.2.3</w:t>
      </w:r>
      <w:r w:rsidRPr="00616F2B">
        <w:rPr>
          <w:rFonts w:cstheme="minorHAnsi"/>
        </w:rPr>
        <w:t xml:space="preserve">, </w:t>
      </w:r>
      <w:r w:rsidRPr="00616F2B">
        <w:rPr>
          <w:rFonts w:cstheme="minorHAnsi"/>
          <w:i/>
          <w:iCs/>
        </w:rPr>
        <w:t>Visual alarms</w:t>
      </w:r>
      <w:r w:rsidRPr="00616F2B">
        <w:rPr>
          <w:rFonts w:cstheme="minorHAnsi"/>
        </w:rPr>
        <w:t>.</w:t>
      </w:r>
    </w:p>
    <w:p w14:paraId="6AB326FF" w14:textId="77777777" w:rsidR="005F42E2" w:rsidRPr="00616F2B" w:rsidRDefault="005F42E2" w:rsidP="005F42E2">
      <w:pPr>
        <w:pStyle w:val="ListParagraph"/>
        <w:ind w:left="360"/>
        <w:rPr>
          <w:rFonts w:cstheme="minorHAnsi"/>
          <w:b/>
          <w:bCs/>
        </w:rPr>
      </w:pPr>
    </w:p>
    <w:p w14:paraId="75EBF09B" w14:textId="07AD6936" w:rsidR="005F42E2" w:rsidRDefault="005F42E2" w:rsidP="005F42E2">
      <w:pPr>
        <w:pStyle w:val="ListParagraph"/>
        <w:ind w:left="360"/>
        <w:rPr>
          <w:rFonts w:cstheme="minorHAnsi"/>
        </w:rPr>
      </w:pPr>
      <w:r w:rsidRPr="00616F2B">
        <w:rPr>
          <w:rFonts w:cstheme="minorHAnsi"/>
        </w:rPr>
        <w:t>(2) Provision must be made for people with vision impairment to locate the exit</w:t>
      </w:r>
      <w:r>
        <w:rPr>
          <w:rFonts w:cstheme="minorHAnsi"/>
        </w:rPr>
        <w:t xml:space="preserve"> </w:t>
      </w:r>
      <w:r w:rsidRPr="00616F2B">
        <w:rPr>
          <w:rFonts w:cstheme="minorHAnsi"/>
        </w:rPr>
        <w:t>path in the event of an emergency.</w:t>
      </w:r>
      <w:r w:rsidR="00CD1D32">
        <w:rPr>
          <w:rStyle w:val="FootnoteReference"/>
          <w:rFonts w:cstheme="minorHAnsi"/>
        </w:rPr>
        <w:footnoteReference w:id="21"/>
      </w:r>
    </w:p>
    <w:p w14:paraId="777A60B1" w14:textId="77777777" w:rsidR="005F42E2" w:rsidRPr="00604875" w:rsidRDefault="005F42E2" w:rsidP="005F42E2">
      <w:pPr>
        <w:pStyle w:val="ListParagraph"/>
        <w:ind w:left="360"/>
        <w:rPr>
          <w:rFonts w:cstheme="minorHAnsi"/>
        </w:rPr>
      </w:pPr>
    </w:p>
    <w:p w14:paraId="2CDC6634" w14:textId="7F9F259B" w:rsidR="005F42E2" w:rsidRDefault="005F42E2" w:rsidP="005F42E2">
      <w:pPr>
        <w:pStyle w:val="ListParagraph"/>
        <w:spacing w:after="160" w:line="259" w:lineRule="auto"/>
        <w:ind w:left="0"/>
        <w:rPr>
          <w:rFonts w:cstheme="minorHAnsi"/>
        </w:rPr>
      </w:pPr>
      <w:r w:rsidRPr="003F0165">
        <w:rPr>
          <w:rFonts w:cstheme="minorHAnsi"/>
        </w:rPr>
        <w:t>Section 19.1</w:t>
      </w:r>
      <w:r w:rsidR="007C0F83">
        <w:rPr>
          <w:rFonts w:cstheme="minorHAnsi"/>
        </w:rPr>
        <w:t xml:space="preserve"> </w:t>
      </w:r>
      <w:r w:rsidRPr="003F0165">
        <w:rPr>
          <w:rFonts w:cstheme="minorHAnsi"/>
        </w:rPr>
        <w:t xml:space="preserve">(2) states </w:t>
      </w:r>
      <w:r>
        <w:rPr>
          <w:rFonts w:cstheme="minorHAnsi"/>
        </w:rPr>
        <w:t>a p</w:t>
      </w:r>
      <w:r w:rsidRPr="003F0165">
        <w:rPr>
          <w:rFonts w:cstheme="minorHAnsi"/>
        </w:rPr>
        <w:t>rovision must be made for people with vision impairment to locate the exit path in the event of an emergency.</w:t>
      </w:r>
      <w:r>
        <w:rPr>
          <w:rStyle w:val="FootnoteReference"/>
          <w:rFonts w:cstheme="minorHAnsi"/>
        </w:rPr>
        <w:footnoteReference w:id="22"/>
      </w:r>
      <w:r>
        <w:rPr>
          <w:rFonts w:cstheme="minorHAnsi"/>
        </w:rPr>
        <w:t xml:space="preserve"> This clause, does not describe how this provision would work in practice </w:t>
      </w:r>
      <w:r w:rsidR="008F5252">
        <w:rPr>
          <w:rFonts w:cstheme="minorHAnsi"/>
        </w:rPr>
        <w:t>or prescribe</w:t>
      </w:r>
      <w:r w:rsidR="00E56308">
        <w:rPr>
          <w:rFonts w:cstheme="minorHAnsi"/>
        </w:rPr>
        <w:t xml:space="preserve"> specific</w:t>
      </w:r>
      <w:r w:rsidR="008F5252">
        <w:rPr>
          <w:rFonts w:cstheme="minorHAnsi"/>
        </w:rPr>
        <w:t xml:space="preserve"> requirements to</w:t>
      </w:r>
      <w:r>
        <w:rPr>
          <w:rFonts w:cstheme="minorHAnsi"/>
        </w:rPr>
        <w:t xml:space="preserve"> support people with vision impairment to locate the exit path. </w:t>
      </w:r>
    </w:p>
    <w:p w14:paraId="1E49B521" w14:textId="77777777" w:rsidR="005F42E2" w:rsidRDefault="005F42E2" w:rsidP="005F42E2">
      <w:pPr>
        <w:pStyle w:val="ListParagraph"/>
        <w:spacing w:after="160" w:line="259" w:lineRule="auto"/>
        <w:ind w:left="0"/>
        <w:rPr>
          <w:rFonts w:cstheme="minorHAnsi"/>
        </w:rPr>
      </w:pPr>
    </w:p>
    <w:p w14:paraId="2542F706" w14:textId="2899BFFD" w:rsidR="009E4B8F" w:rsidRPr="005F42E2" w:rsidRDefault="005F42E2" w:rsidP="005F42E2">
      <w:pPr>
        <w:pStyle w:val="ListParagraph"/>
        <w:spacing w:after="160" w:line="259" w:lineRule="auto"/>
        <w:ind w:left="0"/>
        <w:rPr>
          <w:rFonts w:cstheme="minorHAnsi"/>
        </w:rPr>
      </w:pPr>
      <w:r w:rsidRPr="003F0165">
        <w:rPr>
          <w:rFonts w:cstheme="minorHAnsi"/>
        </w:rPr>
        <w:t xml:space="preserve">As a such, </w:t>
      </w:r>
      <w:r>
        <w:rPr>
          <w:rFonts w:cstheme="minorHAnsi"/>
        </w:rPr>
        <w:t>s</w:t>
      </w:r>
      <w:r w:rsidRPr="003F0165">
        <w:rPr>
          <w:rFonts w:cstheme="minorHAnsi"/>
        </w:rPr>
        <w:t>ection</w:t>
      </w:r>
      <w:r w:rsidRPr="00851682">
        <w:rPr>
          <w:rFonts w:cstheme="minorHAnsi"/>
        </w:rPr>
        <w:t xml:space="preserve"> 19.1 (2) </w:t>
      </w:r>
      <w:r w:rsidRPr="003F0165">
        <w:rPr>
          <w:rFonts w:cstheme="minorHAnsi"/>
        </w:rPr>
        <w:t xml:space="preserve">should be amended to </w:t>
      </w:r>
      <w:r w:rsidR="00F62EFD">
        <w:rPr>
          <w:rFonts w:cstheme="minorHAnsi"/>
        </w:rPr>
        <w:t>prescribe specific requirements</w:t>
      </w:r>
      <w:r w:rsidR="00F62EFD" w:rsidRPr="003F0165">
        <w:rPr>
          <w:rFonts w:cstheme="minorHAnsi"/>
        </w:rPr>
        <w:t xml:space="preserve"> </w:t>
      </w:r>
      <w:r w:rsidR="003D69F9">
        <w:rPr>
          <w:rFonts w:cstheme="minorHAnsi"/>
        </w:rPr>
        <w:t>for</w:t>
      </w:r>
      <w:r w:rsidRPr="003F0165">
        <w:rPr>
          <w:rFonts w:cstheme="minorHAnsi"/>
        </w:rPr>
        <w:t xml:space="preserve"> people with vision impairment </w:t>
      </w:r>
      <w:r w:rsidR="003D69F9">
        <w:rPr>
          <w:rFonts w:cstheme="minorHAnsi"/>
        </w:rPr>
        <w:t>to be</w:t>
      </w:r>
      <w:r w:rsidR="00A14237">
        <w:rPr>
          <w:rFonts w:cstheme="minorHAnsi"/>
        </w:rPr>
        <w:t xml:space="preserve"> </w:t>
      </w:r>
      <w:r w:rsidRPr="003F0165">
        <w:rPr>
          <w:rFonts w:cstheme="minorHAnsi"/>
        </w:rPr>
        <w:t>provided with the necessary and appropriate support to locate the exit path in the event of an emergency</w:t>
      </w:r>
      <w:r>
        <w:rPr>
          <w:rFonts w:cstheme="minorHAnsi"/>
        </w:rPr>
        <w:t>.</w:t>
      </w:r>
      <w:r w:rsidR="00B8557A">
        <w:rPr>
          <w:rFonts w:cstheme="minorHAnsi"/>
        </w:rPr>
        <w:t xml:space="preserve">  This </w:t>
      </w:r>
      <w:r w:rsidR="00F05D5A">
        <w:rPr>
          <w:rFonts w:cstheme="minorHAnsi"/>
        </w:rPr>
        <w:t xml:space="preserve">will also </w:t>
      </w:r>
      <w:r w:rsidR="0088685C">
        <w:rPr>
          <w:rFonts w:cstheme="minorHAnsi"/>
        </w:rPr>
        <w:t>compl</w:t>
      </w:r>
      <w:r w:rsidR="00F05D5A">
        <w:rPr>
          <w:rFonts w:cstheme="minorHAnsi"/>
        </w:rPr>
        <w:t>y</w:t>
      </w:r>
      <w:r w:rsidR="0088685C">
        <w:rPr>
          <w:rFonts w:cstheme="minorHAnsi"/>
        </w:rPr>
        <w:t xml:space="preserve"> with</w:t>
      </w:r>
      <w:r w:rsidR="000330B4">
        <w:rPr>
          <w:rFonts w:cstheme="minorHAnsi"/>
        </w:rPr>
        <w:t xml:space="preserve"> p</w:t>
      </w:r>
      <w:r w:rsidR="006C4BE3">
        <w:rPr>
          <w:rFonts w:cstheme="minorHAnsi"/>
        </w:rPr>
        <w:t>ar</w:t>
      </w:r>
      <w:r w:rsidR="00110959">
        <w:rPr>
          <w:rFonts w:cstheme="minorHAnsi"/>
        </w:rPr>
        <w:t>t</w:t>
      </w:r>
      <w:r w:rsidR="000330B4">
        <w:rPr>
          <w:rFonts w:cstheme="minorHAnsi"/>
        </w:rPr>
        <w:t xml:space="preserve"> H2, </w:t>
      </w:r>
      <w:r w:rsidR="00017C59">
        <w:rPr>
          <w:rFonts w:cstheme="minorHAnsi"/>
        </w:rPr>
        <w:t>s</w:t>
      </w:r>
      <w:r w:rsidR="006C4BE3">
        <w:rPr>
          <w:rFonts w:cstheme="minorHAnsi"/>
        </w:rPr>
        <w:t>ection</w:t>
      </w:r>
      <w:r w:rsidR="000330B4">
        <w:rPr>
          <w:rFonts w:cstheme="minorHAnsi"/>
        </w:rPr>
        <w:t xml:space="preserve"> 2</w:t>
      </w:r>
      <w:r w:rsidR="00E36BA5">
        <w:rPr>
          <w:rFonts w:cstheme="minorHAnsi"/>
        </w:rPr>
        <w:t>.14</w:t>
      </w:r>
      <w:r w:rsidR="00110959">
        <w:rPr>
          <w:rFonts w:cstheme="minorHAnsi"/>
        </w:rPr>
        <w:t xml:space="preserve"> (</w:t>
      </w:r>
      <w:r w:rsidR="00E36BA5">
        <w:rPr>
          <w:rFonts w:cstheme="minorHAnsi"/>
        </w:rPr>
        <w:t xml:space="preserve">2) of the Premises Standards, </w:t>
      </w:r>
      <w:r w:rsidR="00015024">
        <w:rPr>
          <w:rFonts w:cstheme="minorHAnsi"/>
        </w:rPr>
        <w:t xml:space="preserve"> </w:t>
      </w:r>
      <w:r w:rsidR="0088685C">
        <w:rPr>
          <w:rFonts w:cstheme="minorHAnsi"/>
        </w:rPr>
        <w:t xml:space="preserve">which </w:t>
      </w:r>
      <w:r w:rsidR="00831404">
        <w:rPr>
          <w:rFonts w:cstheme="minorHAnsi"/>
        </w:rPr>
        <w:t xml:space="preserve">also </w:t>
      </w:r>
      <w:r w:rsidR="00015024">
        <w:rPr>
          <w:rFonts w:cstheme="minorHAnsi"/>
        </w:rPr>
        <w:t xml:space="preserve">stipulates that </w:t>
      </w:r>
      <w:r w:rsidR="00C35C8B" w:rsidRPr="00015024">
        <w:rPr>
          <w:rFonts w:cstheme="minorHAnsi"/>
        </w:rPr>
        <w:t>in</w:t>
      </w:r>
      <w:r w:rsidR="00015024" w:rsidRPr="00015024">
        <w:rPr>
          <w:rFonts w:cstheme="minorHAnsi"/>
        </w:rPr>
        <w:t xml:space="preserve"> the </w:t>
      </w:r>
      <w:r w:rsidR="00015024">
        <w:rPr>
          <w:rFonts w:cstheme="minorHAnsi"/>
        </w:rPr>
        <w:t>“</w:t>
      </w:r>
      <w:r w:rsidR="00015024" w:rsidRPr="00015024">
        <w:rPr>
          <w:rFonts w:cstheme="minorHAnsi"/>
        </w:rPr>
        <w:t>event of an emergency, provision must be made for people with vision impairment to locate the exit path.</w:t>
      </w:r>
      <w:r w:rsidR="00831404">
        <w:rPr>
          <w:rFonts w:cstheme="minorHAnsi"/>
        </w:rPr>
        <w:t>”</w:t>
      </w:r>
      <w:r w:rsidR="00B12734">
        <w:rPr>
          <w:rStyle w:val="FootnoteReference"/>
          <w:rFonts w:cstheme="minorHAnsi"/>
        </w:rPr>
        <w:footnoteReference w:id="23"/>
      </w:r>
    </w:p>
    <w:p w14:paraId="4622E219" w14:textId="01C1F87A" w:rsidR="00FE6637" w:rsidRPr="00B92CB2" w:rsidRDefault="00247810" w:rsidP="00771E8A">
      <w:pPr>
        <w:pStyle w:val="Recommendation"/>
      </w:pPr>
      <w:r>
        <w:t xml:space="preserve">That </w:t>
      </w:r>
      <w:r w:rsidRPr="00247810">
        <w:rPr>
          <w:b/>
          <w:bCs/>
        </w:rPr>
        <w:t>section 19.2</w:t>
      </w:r>
      <w:r>
        <w:t xml:space="preserve"> of the Transport Standards be amended to </w:t>
      </w:r>
      <w:r w:rsidR="00224CF6">
        <w:rPr>
          <w:rFonts w:cstheme="minorHAnsi"/>
        </w:rPr>
        <w:t>prescribe specific requirements</w:t>
      </w:r>
      <w:r w:rsidR="00224CF6" w:rsidRPr="003F0165">
        <w:rPr>
          <w:rFonts w:cstheme="minorHAnsi"/>
        </w:rPr>
        <w:t xml:space="preserve"> </w:t>
      </w:r>
      <w:r w:rsidR="00C81F47">
        <w:rPr>
          <w:rFonts w:cstheme="minorHAnsi"/>
        </w:rPr>
        <w:t>for</w:t>
      </w:r>
      <w:r w:rsidR="00224CF6" w:rsidRPr="003F0165">
        <w:rPr>
          <w:rFonts w:cstheme="minorHAnsi"/>
        </w:rPr>
        <w:t xml:space="preserve"> people with vision impairment </w:t>
      </w:r>
      <w:r w:rsidR="00C81F47">
        <w:rPr>
          <w:rFonts w:cstheme="minorHAnsi"/>
        </w:rPr>
        <w:t>to be</w:t>
      </w:r>
      <w:r w:rsidR="00A14237">
        <w:rPr>
          <w:rFonts w:cstheme="minorHAnsi"/>
        </w:rPr>
        <w:t xml:space="preserve"> </w:t>
      </w:r>
      <w:r w:rsidR="00224CF6" w:rsidRPr="003F0165">
        <w:rPr>
          <w:rFonts w:cstheme="minorHAnsi"/>
        </w:rPr>
        <w:lastRenderedPageBreak/>
        <w:t>provided with the necessary and appropriate support to locate the exit path in the event of an emergency</w:t>
      </w:r>
      <w:r>
        <w:t>.</w:t>
      </w:r>
    </w:p>
    <w:p w14:paraId="09A217A1" w14:textId="39C4881F" w:rsidR="00E37CB4" w:rsidRPr="006E22D5" w:rsidRDefault="006E22D5" w:rsidP="006E22D5">
      <w:pPr>
        <w:pStyle w:val="Heading2"/>
      </w:pPr>
      <w:r w:rsidRPr="006E22D5">
        <w:t>Access to information</w:t>
      </w:r>
    </w:p>
    <w:p w14:paraId="543D3EBA" w14:textId="49390B6E" w:rsidR="00E37CB4" w:rsidRDefault="008B687F" w:rsidP="008B687F">
      <w:pPr>
        <w:pStyle w:val="Heading3"/>
      </w:pPr>
      <w:r w:rsidRPr="008B687F">
        <w:t>27.1</w:t>
      </w:r>
      <w:r w:rsidRPr="008B687F">
        <w:tab/>
        <w:t>Access to information about transport services</w:t>
      </w:r>
    </w:p>
    <w:p w14:paraId="50853C26" w14:textId="3E0B67F2" w:rsidR="00531230" w:rsidRDefault="00531230" w:rsidP="00531230">
      <w:pPr>
        <w:spacing w:after="160" w:line="259" w:lineRule="auto"/>
        <w:rPr>
          <w:rFonts w:cstheme="minorHAnsi"/>
        </w:rPr>
      </w:pPr>
      <w:r w:rsidRPr="00531230">
        <w:rPr>
          <w:rFonts w:cstheme="minorHAnsi"/>
        </w:rPr>
        <w:t xml:space="preserve">Section 27.1 of the Transport Standards provides </w:t>
      </w:r>
      <w:r w:rsidR="000D622D" w:rsidRPr="00531230">
        <w:rPr>
          <w:rFonts w:cstheme="minorHAnsi"/>
        </w:rPr>
        <w:t xml:space="preserve">that </w:t>
      </w:r>
      <w:r w:rsidR="00E900D5">
        <w:rPr>
          <w:rFonts w:cstheme="minorHAnsi"/>
        </w:rPr>
        <w:t>“</w:t>
      </w:r>
      <w:r w:rsidR="000D622D" w:rsidRPr="00531230">
        <w:rPr>
          <w:rFonts w:cstheme="minorHAnsi"/>
        </w:rPr>
        <w:t>general</w:t>
      </w:r>
      <w:r w:rsidRPr="00531230">
        <w:rPr>
          <w:rFonts w:cstheme="minorHAnsi"/>
        </w:rPr>
        <w:t xml:space="preserve"> information about transport services must be accessible to all passengers</w:t>
      </w:r>
      <w:r w:rsidR="005F0663">
        <w:rPr>
          <w:rFonts w:cstheme="minorHAnsi"/>
        </w:rPr>
        <w:t>”</w:t>
      </w:r>
      <w:r w:rsidRPr="00531230">
        <w:rPr>
          <w:rFonts w:cstheme="minorHAnsi"/>
        </w:rPr>
        <w:t>.</w:t>
      </w:r>
      <w:r>
        <w:rPr>
          <w:rStyle w:val="FootnoteReference"/>
          <w:rFonts w:cstheme="minorHAnsi"/>
        </w:rPr>
        <w:footnoteReference w:id="24"/>
      </w:r>
      <w:r w:rsidRPr="00531230">
        <w:rPr>
          <w:rFonts w:cstheme="minorHAnsi"/>
        </w:rPr>
        <w:t xml:space="preserve"> </w:t>
      </w:r>
      <w:r w:rsidR="00326F72">
        <w:rPr>
          <w:rFonts w:cstheme="minorHAnsi"/>
        </w:rPr>
        <w:t xml:space="preserve"> </w:t>
      </w:r>
      <w:r w:rsidRPr="00531230">
        <w:rPr>
          <w:rFonts w:cstheme="minorHAnsi"/>
        </w:rPr>
        <w:t xml:space="preserve">To </w:t>
      </w:r>
      <w:r w:rsidR="003707FB">
        <w:rPr>
          <w:rFonts w:cstheme="minorHAnsi"/>
        </w:rPr>
        <w:t>accommodate</w:t>
      </w:r>
      <w:r w:rsidRPr="00531230">
        <w:rPr>
          <w:rFonts w:cstheme="minorHAnsi"/>
        </w:rPr>
        <w:t xml:space="preserve"> passengers with communication and sensory needs, this</w:t>
      </w:r>
      <w:r w:rsidR="0040456B">
        <w:rPr>
          <w:rFonts w:cstheme="minorHAnsi"/>
        </w:rPr>
        <w:t xml:space="preserve"> general transport</w:t>
      </w:r>
      <w:r w:rsidRPr="00531230">
        <w:rPr>
          <w:rFonts w:cstheme="minorHAnsi"/>
        </w:rPr>
        <w:t xml:space="preserve"> information </w:t>
      </w:r>
      <w:r w:rsidR="005F0663">
        <w:rPr>
          <w:rFonts w:cstheme="minorHAnsi"/>
        </w:rPr>
        <w:t>must</w:t>
      </w:r>
      <w:r w:rsidRPr="00531230">
        <w:rPr>
          <w:rFonts w:cstheme="minorHAnsi"/>
        </w:rPr>
        <w:t xml:space="preserve"> be provided in </w:t>
      </w:r>
      <w:r w:rsidR="00965E24">
        <w:rPr>
          <w:rFonts w:cstheme="minorHAnsi"/>
        </w:rPr>
        <w:t xml:space="preserve">a range of </w:t>
      </w:r>
      <w:r w:rsidRPr="00531230">
        <w:rPr>
          <w:rFonts w:cstheme="minorHAnsi"/>
        </w:rPr>
        <w:t>accessible formats</w:t>
      </w:r>
      <w:r w:rsidR="00B5704D">
        <w:rPr>
          <w:rFonts w:cstheme="minorHAnsi"/>
        </w:rPr>
        <w:t>. Thes</w:t>
      </w:r>
      <w:r w:rsidR="005F42E2">
        <w:rPr>
          <w:rFonts w:cstheme="minorHAnsi"/>
        </w:rPr>
        <w:t>e include</w:t>
      </w:r>
      <w:r w:rsidR="00B5704D">
        <w:rPr>
          <w:rFonts w:cstheme="minorHAnsi"/>
        </w:rPr>
        <w:t>:</w:t>
      </w:r>
    </w:p>
    <w:p w14:paraId="4D8438AC" w14:textId="0A8BCB94" w:rsidR="00EB6CC2" w:rsidRDefault="00EB6CC2" w:rsidP="00EB6CC2">
      <w:pPr>
        <w:pStyle w:val="Bulletlist1"/>
      </w:pPr>
      <w:r>
        <w:t>Real-time</w:t>
      </w:r>
      <w:r w:rsidR="00B73A2F">
        <w:t xml:space="preserve"> information formats</w:t>
      </w:r>
      <w:r>
        <w:t>, including:</w:t>
      </w:r>
    </w:p>
    <w:p w14:paraId="3AE5C7C9" w14:textId="48541AE5" w:rsidR="00B5704D" w:rsidRDefault="00835D8D" w:rsidP="00EB6CC2">
      <w:pPr>
        <w:pStyle w:val="Bulletlist2"/>
      </w:pPr>
      <w:r>
        <w:t>Clear, r</w:t>
      </w:r>
      <w:r w:rsidR="00676ECD">
        <w:t>eal-time t</w:t>
      </w:r>
      <w:r w:rsidR="00B5704D">
        <w:t>ext-based</w:t>
      </w:r>
      <w:r w:rsidR="00676ECD">
        <w:t xml:space="preserve"> messaging</w:t>
      </w:r>
    </w:p>
    <w:p w14:paraId="34C8BE0B" w14:textId="2539DEE4" w:rsidR="004031B0" w:rsidRDefault="00835D8D" w:rsidP="00EB6CC2">
      <w:pPr>
        <w:pStyle w:val="Bulletlist2"/>
      </w:pPr>
      <w:r>
        <w:t>Clear, r</w:t>
      </w:r>
      <w:r w:rsidR="004031B0">
        <w:t>eal-time electronic</w:t>
      </w:r>
      <w:r>
        <w:t xml:space="preserve"> and visual</w:t>
      </w:r>
      <w:r w:rsidR="004031B0">
        <w:t xml:space="preserve"> signage</w:t>
      </w:r>
    </w:p>
    <w:p w14:paraId="43258363" w14:textId="4F4EF1D3" w:rsidR="00600C39" w:rsidRDefault="002A1A6F" w:rsidP="00EB6CC2">
      <w:pPr>
        <w:pStyle w:val="Bulletlist2"/>
      </w:pPr>
      <w:r>
        <w:t>Hearing loops</w:t>
      </w:r>
      <w:r w:rsidRPr="002A1A6F">
        <w:rPr>
          <w:rStyle w:val="FootnoteReference"/>
        </w:rPr>
        <w:t xml:space="preserve"> </w:t>
      </w:r>
      <w:r>
        <w:rPr>
          <w:rStyle w:val="FootnoteReference"/>
        </w:rPr>
        <w:footnoteReference w:id="25"/>
      </w:r>
    </w:p>
    <w:p w14:paraId="126B110C" w14:textId="2154BD8C" w:rsidR="00EB6CC2" w:rsidRDefault="00EB6CC2" w:rsidP="00B5704D">
      <w:pPr>
        <w:pStyle w:val="Bulletlist1"/>
      </w:pPr>
      <w:r>
        <w:t xml:space="preserve">General </w:t>
      </w:r>
      <w:r w:rsidR="00B73A2F">
        <w:t>information formats</w:t>
      </w:r>
      <w:r>
        <w:t xml:space="preserve"> including:</w:t>
      </w:r>
    </w:p>
    <w:p w14:paraId="04613379" w14:textId="2C344D1C" w:rsidR="00AF1854" w:rsidRDefault="00AF1854" w:rsidP="00EB6CC2">
      <w:pPr>
        <w:pStyle w:val="Bulletlist2"/>
      </w:pPr>
      <w:r>
        <w:t>Auslan</w:t>
      </w:r>
    </w:p>
    <w:p w14:paraId="082BB6B3" w14:textId="5773413F" w:rsidR="00811213" w:rsidRDefault="00AF1854" w:rsidP="00EB6CC2">
      <w:pPr>
        <w:pStyle w:val="Bulletlist2"/>
      </w:pPr>
      <w:r>
        <w:t>Open captions</w:t>
      </w:r>
    </w:p>
    <w:p w14:paraId="23CA3367" w14:textId="173E5D7C" w:rsidR="00B5704D" w:rsidRDefault="00B5704D" w:rsidP="00EB6CC2">
      <w:pPr>
        <w:pStyle w:val="Bulletlist2"/>
      </w:pPr>
      <w:r>
        <w:t>Braille</w:t>
      </w:r>
    </w:p>
    <w:p w14:paraId="57B32BC4" w14:textId="5D98B096" w:rsidR="00B5704D" w:rsidRDefault="00A04393" w:rsidP="00EB6CC2">
      <w:pPr>
        <w:pStyle w:val="Bulletlist2"/>
      </w:pPr>
      <w:r>
        <w:t>Different community languages</w:t>
      </w:r>
    </w:p>
    <w:p w14:paraId="6F873829" w14:textId="7A3063A5" w:rsidR="00A04393" w:rsidRDefault="00A04393" w:rsidP="00EB6CC2">
      <w:pPr>
        <w:pStyle w:val="Bulletlist2"/>
      </w:pPr>
      <w:r>
        <w:t>Plain language</w:t>
      </w:r>
    </w:p>
    <w:p w14:paraId="3F9B27CF" w14:textId="65E7823D" w:rsidR="00A04393" w:rsidRPr="00531230" w:rsidRDefault="00A04393" w:rsidP="00EB6CC2">
      <w:pPr>
        <w:pStyle w:val="Bulletlist2"/>
      </w:pPr>
      <w:r>
        <w:t>Easy-English</w:t>
      </w:r>
    </w:p>
    <w:p w14:paraId="00E64AEA" w14:textId="5F1BFF05" w:rsidR="00F43260" w:rsidRPr="006F37AB" w:rsidRDefault="00531230" w:rsidP="00924B0E">
      <w:pPr>
        <w:spacing w:after="160" w:line="259" w:lineRule="auto"/>
        <w:rPr>
          <w:lang w:val="en-US" w:eastAsia="en-US"/>
        </w:rPr>
      </w:pPr>
      <w:r w:rsidRPr="000D622D">
        <w:rPr>
          <w:rFonts w:cstheme="minorHAnsi"/>
        </w:rPr>
        <w:t>As such, section 27.1</w:t>
      </w:r>
      <w:r w:rsidR="000D622D">
        <w:rPr>
          <w:rFonts w:cstheme="minorHAnsi"/>
        </w:rPr>
        <w:t xml:space="preserve"> of the Transport Standards</w:t>
      </w:r>
      <w:r w:rsidRPr="000D622D">
        <w:rPr>
          <w:rFonts w:cstheme="minorHAnsi"/>
        </w:rPr>
        <w:t>, should be amended</w:t>
      </w:r>
      <w:r w:rsidR="009D1647">
        <w:rPr>
          <w:rFonts w:cstheme="minorHAnsi"/>
        </w:rPr>
        <w:t xml:space="preserve"> to</w:t>
      </w:r>
      <w:r w:rsidR="00A84FCB">
        <w:rPr>
          <w:rFonts w:cstheme="minorHAnsi"/>
        </w:rPr>
        <w:t xml:space="preserve"> </w:t>
      </w:r>
      <w:r w:rsidR="00BA0F42">
        <w:rPr>
          <w:rFonts w:cstheme="minorHAnsi"/>
        </w:rPr>
        <w:t>provide</w:t>
      </w:r>
      <w:r w:rsidRPr="000D622D">
        <w:rPr>
          <w:rFonts w:cstheme="minorHAnsi"/>
        </w:rPr>
        <w:t xml:space="preserve"> information about transport services in </w:t>
      </w:r>
      <w:r w:rsidR="005F42E2">
        <w:rPr>
          <w:rFonts w:cstheme="minorHAnsi"/>
        </w:rPr>
        <w:t xml:space="preserve">a range of </w:t>
      </w:r>
      <w:r w:rsidRPr="000D622D">
        <w:rPr>
          <w:rFonts w:cstheme="minorHAnsi"/>
        </w:rPr>
        <w:t>accessible format</w:t>
      </w:r>
      <w:r w:rsidR="006F37AB">
        <w:rPr>
          <w:rFonts w:cstheme="minorHAnsi"/>
        </w:rPr>
        <w:t>s</w:t>
      </w:r>
      <w:r w:rsidR="000772CD">
        <w:rPr>
          <w:rFonts w:cstheme="minorHAnsi"/>
        </w:rPr>
        <w:t xml:space="preserve">, </w:t>
      </w:r>
      <w:r w:rsidR="009D1647">
        <w:rPr>
          <w:rFonts w:cstheme="minorHAnsi"/>
        </w:rPr>
        <w:t xml:space="preserve">such as those </w:t>
      </w:r>
      <w:r w:rsidR="003A1743">
        <w:rPr>
          <w:rFonts w:cstheme="minorHAnsi"/>
        </w:rPr>
        <w:t>listed above</w:t>
      </w:r>
      <w:r w:rsidR="009D1647">
        <w:rPr>
          <w:rFonts w:cstheme="minorHAnsi"/>
        </w:rPr>
        <w:t xml:space="preserve"> at a minimum</w:t>
      </w:r>
      <w:r w:rsidR="003A1743">
        <w:rPr>
          <w:rFonts w:cstheme="minorHAnsi"/>
        </w:rPr>
        <w:t>.</w:t>
      </w:r>
    </w:p>
    <w:p w14:paraId="1DD4AEF4" w14:textId="77777777" w:rsidR="00F43260" w:rsidRDefault="00F43260" w:rsidP="00F43260"/>
    <w:p w14:paraId="104D9962" w14:textId="273B8AE1" w:rsidR="00F43260" w:rsidRDefault="00B00E0D" w:rsidP="00F43260">
      <w:pPr>
        <w:pStyle w:val="Recommendation"/>
      </w:pPr>
      <w:r>
        <w:t xml:space="preserve">That </w:t>
      </w:r>
      <w:r w:rsidRPr="00B00E0D">
        <w:rPr>
          <w:b/>
          <w:bCs/>
        </w:rPr>
        <w:t>section 27.1</w:t>
      </w:r>
      <w:r>
        <w:t xml:space="preserve"> of the Transport Standards be amended</w:t>
      </w:r>
      <w:r w:rsidR="00C0155C">
        <w:t xml:space="preserve"> to</w:t>
      </w:r>
      <w:r w:rsidR="00A40340">
        <w:t xml:space="preserve"> </w:t>
      </w:r>
      <w:r w:rsidRPr="00100DB7">
        <w:t xml:space="preserve">provide information on transport services </w:t>
      </w:r>
      <w:r>
        <w:t xml:space="preserve">in </w:t>
      </w:r>
      <w:r w:rsidR="008F1BCC">
        <w:t xml:space="preserve">a range of </w:t>
      </w:r>
      <w:r w:rsidRPr="00100DB7">
        <w:t>accessible formats</w:t>
      </w:r>
      <w:r w:rsidR="003A1743">
        <w:t>.</w:t>
      </w:r>
    </w:p>
    <w:p w14:paraId="57701745" w14:textId="4C17FDC1" w:rsidR="0029594B" w:rsidRDefault="00531BE1" w:rsidP="00531BE1">
      <w:pPr>
        <w:pStyle w:val="Heading1"/>
      </w:pPr>
      <w:bookmarkStart w:id="30" w:name="_Toc138847411"/>
      <w:bookmarkStart w:id="31" w:name="_Toc138856511"/>
      <w:r>
        <w:t>Conclus</w:t>
      </w:r>
      <w:r w:rsidR="00E45B93">
        <w:t>ion</w:t>
      </w:r>
      <w:bookmarkEnd w:id="30"/>
      <w:bookmarkEnd w:id="31"/>
    </w:p>
    <w:p w14:paraId="645D16C2" w14:textId="0BF19244" w:rsidR="00E45B93" w:rsidRDefault="00E45B93" w:rsidP="00E45B93">
      <w:r>
        <w:t xml:space="preserve">The Transport Standards play a significant role in ensuring people with disability </w:t>
      </w:r>
      <w:r w:rsidR="00403C7A">
        <w:t>can</w:t>
      </w:r>
      <w:r>
        <w:t xml:space="preserve"> enjoy their right to access transport.</w:t>
      </w:r>
      <w:r w:rsidR="00403C7A">
        <w:t xml:space="preserve"> ACCAN’s submission highlights that the Transport Standards must be amended to ensure people with disability, including those with communication and sensory needs, can access public transport services on an equal and non-discriminatory basis.  </w:t>
      </w:r>
    </w:p>
    <w:p w14:paraId="01083CFF" w14:textId="1301F381" w:rsidR="00403C7A" w:rsidRPr="00E45B93" w:rsidRDefault="00403C7A" w:rsidP="00E45B93">
      <w:r>
        <w:t>ACCAN recommends that the Transport Standards are amended to clarify why certain premises are exempt from the Standards</w:t>
      </w:r>
      <w:r w:rsidR="00F8215B">
        <w:t xml:space="preserve"> and </w:t>
      </w:r>
      <w:r>
        <w:t>to incorporate current Standards on signs, symbols and illustrations</w:t>
      </w:r>
      <w:r w:rsidR="00F8215B">
        <w:t xml:space="preserve">. ACCAN also recommends that </w:t>
      </w:r>
      <w:r w:rsidR="004F4D8D">
        <w:t>the Transport</w:t>
      </w:r>
      <w:r w:rsidR="00C66147" w:rsidRPr="00C66147">
        <w:t xml:space="preserve"> standards are amended to provide guidance on support </w:t>
      </w:r>
      <w:r w:rsidR="00C66147" w:rsidRPr="00C66147">
        <w:lastRenderedPageBreak/>
        <w:t>for people with vision impairment in emergency situations, and to ensure</w:t>
      </w:r>
      <w:r w:rsidR="007A1766">
        <w:t xml:space="preserve"> </w:t>
      </w:r>
      <w:r w:rsidR="00C66147" w:rsidRPr="00C66147">
        <w:t xml:space="preserve">information about transport services </w:t>
      </w:r>
      <w:r w:rsidR="009D1647">
        <w:t xml:space="preserve">is provided </w:t>
      </w:r>
      <w:r w:rsidR="00C66147" w:rsidRPr="00C66147">
        <w:t xml:space="preserve">in </w:t>
      </w:r>
      <w:r w:rsidR="000D79B9">
        <w:t xml:space="preserve">a range of </w:t>
      </w:r>
      <w:r w:rsidR="00C66147" w:rsidRPr="00C66147">
        <w:t>accessible formats.</w:t>
      </w:r>
    </w:p>
    <w:p w14:paraId="464DEAF3" w14:textId="1A399589" w:rsidR="00284F88" w:rsidRDefault="00284F88" w:rsidP="00353C9D">
      <w:r>
        <w:t xml:space="preserve">ACCAN is available to discuss any aspects of our submission. </w:t>
      </w:r>
    </w:p>
    <w:p w14:paraId="36254F19" w14:textId="77777777" w:rsidR="00353C9D" w:rsidRPr="00F43260" w:rsidRDefault="00353C9D" w:rsidP="00353C9D">
      <w:pPr>
        <w:pStyle w:val="FundingAcknowledgement"/>
        <w:rPr>
          <w:bCs/>
        </w:rPr>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p w14:paraId="50585151" w14:textId="77777777" w:rsidR="00353C9D" w:rsidRPr="00353C9D" w:rsidRDefault="00162724" w:rsidP="00162724">
      <w:pPr>
        <w:pStyle w:val="FundingAcknowledgement"/>
      </w:pPr>
      <w:r>
        <w:t xml:space="preserve">ACCAN is committed to reconciliation that acknowledges Australia’s past and values the unique culture and heritage of Aboriginal and Torres Strait Islander peoples.  </w:t>
      </w:r>
      <w:hyperlink r:id="rId23" w:history="1">
        <w:r>
          <w:rPr>
            <w:rStyle w:val="Hyperlink"/>
          </w:rPr>
          <w:t>Read our RAP</w:t>
        </w:r>
      </w:hyperlink>
    </w:p>
    <w:sectPr w:rsidR="00353C9D" w:rsidRPr="00353C9D" w:rsidSect="00472A35">
      <w:headerReference w:type="default" r:id="rId24"/>
      <w:footerReference w:type="default" r:id="rId25"/>
      <w:footerReference w:type="first" r:id="rId26"/>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27FCA" w14:textId="77777777" w:rsidR="00C155AF" w:rsidRDefault="00C155AF">
      <w:pPr>
        <w:spacing w:after="0" w:line="240" w:lineRule="auto"/>
      </w:pPr>
      <w:r>
        <w:separator/>
      </w:r>
    </w:p>
    <w:p w14:paraId="6EBD5088" w14:textId="77777777" w:rsidR="00C155AF" w:rsidRDefault="00C155AF"/>
  </w:endnote>
  <w:endnote w:type="continuationSeparator" w:id="0">
    <w:p w14:paraId="4E61A1D2" w14:textId="77777777" w:rsidR="00C155AF" w:rsidRDefault="00C155AF">
      <w:pPr>
        <w:spacing w:after="0" w:line="240" w:lineRule="auto"/>
      </w:pPr>
      <w:r>
        <w:continuationSeparator/>
      </w:r>
    </w:p>
    <w:p w14:paraId="1289C564" w14:textId="77777777" w:rsidR="00C155AF" w:rsidRDefault="00C155AF"/>
  </w:endnote>
  <w:endnote w:type="continuationNotice" w:id="1">
    <w:p w14:paraId="50D0C4FF" w14:textId="77777777" w:rsidR="00C155AF" w:rsidRDefault="00C155AF">
      <w:pPr>
        <w:spacing w:after="0" w:line="240" w:lineRule="auto"/>
      </w:pPr>
    </w:p>
    <w:p w14:paraId="742254E2" w14:textId="77777777" w:rsidR="00C155AF" w:rsidRDefault="00C155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905D6FC-0075-4BE5-8D92-667A4D0838DD}"/>
    <w:embedBold r:id="rId2" w:fontKey="{07461877-726C-4842-8648-EAC9711A2586}"/>
    <w:embedItalic r:id="rId3" w:fontKey="{E2A9446D-9E7C-4394-8D8B-1D148C6D7BED}"/>
    <w:embedBoldItalic r:id="rId4" w:fontKey="{54640989-2D4D-4A29-B453-9BFB790BC484}"/>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0A276183-EB64-47EF-93ED-EDF26300DB7F}"/>
    <w:embedItalic r:id="rId6" w:fontKey="{E06A7736-BB36-49D8-BD80-42D030317119}"/>
  </w:font>
  <w:font w:name="Tahoma">
    <w:panose1 w:val="020B0604030504040204"/>
    <w:charset w:val="00"/>
    <w:family w:val="swiss"/>
    <w:pitch w:val="variable"/>
    <w:sig w:usb0="E1002EFF" w:usb1="C000605B" w:usb2="00000029" w:usb3="00000000" w:csb0="000101FF" w:csb1="00000000"/>
    <w:embedRegular r:id="rId7" w:fontKey="{DC0D231B-8F3A-44D7-8756-9DCCECAC13E5}"/>
  </w:font>
  <w:font w:name="Verdana">
    <w:panose1 w:val="020B0604030504040204"/>
    <w:charset w:val="00"/>
    <w:family w:val="swiss"/>
    <w:pitch w:val="variable"/>
    <w:sig w:usb0="A00006FF" w:usb1="4000205B" w:usb2="00000010" w:usb3="00000000" w:csb0="0000019F" w:csb1="00000000"/>
    <w:embedRegular r:id="rId8" w:fontKey="{6BD70C4E-B3EC-4F37-98E5-D75EA7DEB723}"/>
    <w:embedBold r:id="rId9" w:fontKey="{706C5CB8-8F9F-496A-96E8-1877FFA7AFA1}"/>
    <w:embedBoldItalic r:id="rId10" w:fontKey="{BAA3BA6D-10F4-4410-A5A4-435CD9B0B3EF}"/>
  </w:font>
  <w:font w:name="Trebuchet MS">
    <w:panose1 w:val="020B0603020202020204"/>
    <w:charset w:val="00"/>
    <w:family w:val="swiss"/>
    <w:pitch w:val="variable"/>
    <w:sig w:usb0="00000687" w:usb1="00000000" w:usb2="00000000" w:usb3="00000000" w:csb0="0000009F" w:csb1="00000000"/>
    <w:embedRegular r:id="rId11" w:fontKey="{5DF16B47-EC30-449F-92F3-A7DCA62605EF}"/>
  </w:font>
  <w:font w:name="Gotham">
    <w:altName w:val="Calibri"/>
    <w:panose1 w:val="02000604040000020004"/>
    <w:charset w:val="00"/>
    <w:family w:val="auto"/>
    <w:pitch w:val="variable"/>
    <w:sig w:usb0="800000A7" w:usb1="00000000" w:usb2="00000000" w:usb3="00000000" w:csb0="00000009" w:csb1="00000000"/>
    <w:embedBold r:id="rId12" w:fontKey="{8F20ABDB-11B2-4B2F-8803-0B3EE1A150B2}"/>
    <w:embedBoldItalic r:id="rId13" w:fontKey="{79BB5C21-CB78-4665-9442-0E8E58E75E44}"/>
  </w:font>
  <w:font w:name="Gotham Black">
    <w:altName w:val="Calibri"/>
    <w:panose1 w:val="02000603040000020004"/>
    <w:charset w:val="00"/>
    <w:family w:val="auto"/>
    <w:pitch w:val="variable"/>
    <w:sig w:usb0="A00000AF" w:usb1="40000048" w:usb2="00000000" w:usb3="00000000" w:csb0="00000111" w:csb1="00000000"/>
    <w:embedRegular r:id="rId14" w:fontKey="{7179CD97-1D8B-40BB-BAC6-D898A595B9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b/>
        <w:bCs/>
        <w:sz w:val="20"/>
        <w:szCs w:val="20"/>
      </w:rPr>
      <w:id w:val="-1113674512"/>
      <w:docPartObj>
        <w:docPartGallery w:val="Page Numbers (Bottom of Page)"/>
        <w:docPartUnique/>
      </w:docPartObj>
    </w:sdtPr>
    <w:sdtEndPr>
      <w:rPr>
        <w:rStyle w:val="Letterhead1Char"/>
        <w:i/>
        <w:spacing w:val="8"/>
        <w:sz w:val="19"/>
        <w14:textOutline w14:w="1270" w14:cap="rnd" w14:cmpd="sng" w14:algn="ctr">
          <w14:solidFill>
            <w14:schemeClr w14:val="tx1"/>
          </w14:solidFill>
          <w14:prstDash w14:val="solid"/>
          <w14:bevel/>
        </w14:textOutline>
      </w:rPr>
    </w:sdtEndPr>
    <w:sdtContent>
      <w:p w14:paraId="0E69CF36" w14:textId="77777777" w:rsidR="00200982" w:rsidRPr="009A314F" w:rsidRDefault="0088720C" w:rsidP="0088720C">
        <w:pPr>
          <w:jc w:val="right"/>
          <w:rPr>
            <w:rStyle w:val="Letterhead1Char"/>
          </w:rPr>
        </w:pPr>
        <w:r w:rsidRPr="009A314F">
          <w:rPr>
            <w:rStyle w:val="Letterhead1Char"/>
          </w:rPr>
          <w:fldChar w:fldCharType="begin"/>
        </w:r>
        <w:r w:rsidRPr="009A314F">
          <w:rPr>
            <w:rStyle w:val="Letterhead1Char"/>
          </w:rPr>
          <w:instrText xml:space="preserve"> PAGE   \* MERGEFORMAT </w:instrText>
        </w:r>
        <w:r w:rsidRPr="009A314F">
          <w:rPr>
            <w:rStyle w:val="Letterhead1Char"/>
          </w:rPr>
          <w:fldChar w:fldCharType="separate"/>
        </w:r>
        <w:r w:rsidRPr="009A314F">
          <w:rPr>
            <w:rStyle w:val="Letterhead1Char"/>
          </w:rPr>
          <w:t>1</w:t>
        </w:r>
        <w:r w:rsidRPr="009A314F">
          <w:rPr>
            <w:rStyle w:val="Letterhead1Char"/>
          </w:rPr>
          <w:fldChar w:fldCharType="end"/>
        </w:r>
      </w:p>
    </w:sdtContent>
  </w:sdt>
  <w:p w14:paraId="0C3F13E7" w14:textId="77777777" w:rsidR="00A75493" w:rsidRPr="009A314F" w:rsidRDefault="00A75493">
    <w:pPr>
      <w:rPr>
        <w:rFonts w:ascii="Verdana" w:hAnsi="Verdan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rPr>
        <w:noProof/>
      </w:rPr>
    </w:sdtEndPr>
    <w:sdtContent>
      <w:p w14:paraId="5AD423E6" w14:textId="77777777" w:rsidR="00D560F9" w:rsidRPr="0088720C" w:rsidRDefault="00D560F9" w:rsidP="00962372">
        <w:pPr>
          <w:pStyle w:val="Letterhead1"/>
        </w:pPr>
        <w:r w:rsidRPr="0088720C">
          <w:fldChar w:fldCharType="begin"/>
        </w:r>
        <w:r w:rsidRPr="0088720C">
          <w:instrText xml:space="preserve"> PAGE   \* MERGEFORMAT </w:instrText>
        </w:r>
        <w:r w:rsidRPr="0088720C">
          <w:fldChar w:fldCharType="separate"/>
        </w:r>
        <w:r w:rsidRPr="0088720C">
          <w:rPr>
            <w:noProof/>
          </w:rPr>
          <w:t>2</w:t>
        </w:r>
        <w:r w:rsidRPr="0088720C">
          <w:rPr>
            <w:noProof/>
          </w:rPr>
          <w:fldChar w:fldCharType="end"/>
        </w:r>
      </w:p>
    </w:sdtContent>
  </w:sdt>
  <w:p w14:paraId="17721D14" w14:textId="77777777" w:rsidR="00A75493" w:rsidRDefault="00A754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326A2" w14:textId="77777777" w:rsidR="00C155AF" w:rsidRDefault="00C155AF">
      <w:pPr>
        <w:spacing w:after="0" w:line="240" w:lineRule="auto"/>
      </w:pPr>
      <w:r>
        <w:separator/>
      </w:r>
    </w:p>
    <w:p w14:paraId="07BDF523" w14:textId="77777777" w:rsidR="00C155AF" w:rsidRDefault="00C155AF"/>
  </w:footnote>
  <w:footnote w:type="continuationSeparator" w:id="0">
    <w:p w14:paraId="39E43572" w14:textId="77777777" w:rsidR="00C155AF" w:rsidRDefault="00C155AF">
      <w:pPr>
        <w:spacing w:after="0" w:line="240" w:lineRule="auto"/>
      </w:pPr>
      <w:r>
        <w:continuationSeparator/>
      </w:r>
    </w:p>
    <w:p w14:paraId="02E31E80" w14:textId="77777777" w:rsidR="00C155AF" w:rsidRDefault="00C155AF"/>
  </w:footnote>
  <w:footnote w:type="continuationNotice" w:id="1">
    <w:p w14:paraId="032464D4" w14:textId="77777777" w:rsidR="00C155AF" w:rsidRDefault="00C155AF">
      <w:pPr>
        <w:spacing w:after="0" w:line="240" w:lineRule="auto"/>
      </w:pPr>
    </w:p>
    <w:p w14:paraId="263CCBD2" w14:textId="77777777" w:rsidR="00C155AF" w:rsidRDefault="00C155AF"/>
  </w:footnote>
  <w:footnote w:id="2">
    <w:p w14:paraId="6C2A4A0F" w14:textId="361FCC40" w:rsidR="00FD44B7" w:rsidRPr="006F37AB" w:rsidRDefault="00FD44B7">
      <w:pPr>
        <w:pStyle w:val="FootnoteText"/>
        <w:rPr>
          <w:lang w:val="en-US"/>
        </w:rPr>
      </w:pPr>
      <w:r>
        <w:rPr>
          <w:rStyle w:val="FootnoteReference"/>
        </w:rPr>
        <w:footnoteRef/>
      </w:r>
      <w:r>
        <w:t xml:space="preserve"> </w:t>
      </w:r>
      <w:r w:rsidR="002C14E4">
        <w:rPr>
          <w:i/>
          <w:iCs/>
        </w:rPr>
        <w:t>T</w:t>
      </w:r>
      <w:r w:rsidR="002C14E4" w:rsidRPr="006570B4">
        <w:rPr>
          <w:i/>
          <w:iCs/>
        </w:rPr>
        <w:t xml:space="preserve">he </w:t>
      </w:r>
      <w:r w:rsidR="002C14E4" w:rsidRPr="006570B4">
        <w:t>Department of Infrastructure, Transport, Regional Development, Communications and the Arts</w:t>
      </w:r>
      <w:r w:rsidR="002C14E4">
        <w:t xml:space="preserve"> 2022, </w:t>
      </w:r>
      <w:r w:rsidR="0062563B" w:rsidRPr="00A10774">
        <w:rPr>
          <w:i/>
          <w:iCs/>
        </w:rPr>
        <w:t xml:space="preserve">2022 </w:t>
      </w:r>
      <w:r w:rsidR="006E1BC9">
        <w:rPr>
          <w:i/>
          <w:iCs/>
        </w:rPr>
        <w:t>R</w:t>
      </w:r>
      <w:r w:rsidR="0062563B" w:rsidRPr="00A10774">
        <w:rPr>
          <w:i/>
          <w:iCs/>
        </w:rPr>
        <w:t>eview of the Disability Standards for Accessible Public Transport 2002</w:t>
      </w:r>
      <w:r w:rsidR="0062563B">
        <w:rPr>
          <w:i/>
          <w:iCs/>
        </w:rPr>
        <w:t xml:space="preserve">, </w:t>
      </w:r>
      <w:r w:rsidR="00B35B5B">
        <w:t>, Available at:</w:t>
      </w:r>
      <w:hyperlink r:id="rId1" w:history="1">
        <w:r w:rsidR="0062563B" w:rsidRPr="00B517CE">
          <w:rPr>
            <w:rStyle w:val="Hyperlink"/>
          </w:rPr>
          <w:t>https://www.infrastructure.gov.au/have-your-say/2022-review-disability-standards-accessible-public-transport-2002</w:t>
        </w:r>
      </w:hyperlink>
      <w:r w:rsidR="006F37AB">
        <w:rPr>
          <w:rStyle w:val="Hyperlink"/>
          <w:u w:val="none"/>
        </w:rPr>
        <w:t>.</w:t>
      </w:r>
    </w:p>
  </w:footnote>
  <w:footnote w:id="3">
    <w:p w14:paraId="5899C004" w14:textId="64EE2BBC" w:rsidR="0014449D" w:rsidRPr="004F62C5" w:rsidRDefault="0014449D" w:rsidP="004F62C5">
      <w:pPr>
        <w:pStyle w:val="FootnoteText"/>
      </w:pPr>
      <w:r>
        <w:rPr>
          <w:rStyle w:val="FootnoteReference"/>
        </w:rPr>
        <w:footnoteRef/>
      </w:r>
      <w:r>
        <w:t xml:space="preserve"> </w:t>
      </w:r>
      <w:r w:rsidR="001E4308">
        <w:t xml:space="preserve">United Nations Department of </w:t>
      </w:r>
      <w:r w:rsidR="004F62C5">
        <w:t>Economic and Social Affairs Disability</w:t>
      </w:r>
      <w:r w:rsidR="0047056A">
        <w:t xml:space="preserve"> 2022</w:t>
      </w:r>
      <w:r w:rsidR="00051FB9">
        <w:t xml:space="preserve">, </w:t>
      </w:r>
      <w:r w:rsidR="00051FB9">
        <w:rPr>
          <w:i/>
          <w:iCs/>
        </w:rPr>
        <w:t>Convention on the Rights of Persons with Disabilities – Article 9-Accessibility</w:t>
      </w:r>
      <w:r w:rsidR="00B35B5B">
        <w:rPr>
          <w:i/>
          <w:iCs/>
        </w:rPr>
        <w:t xml:space="preserve">. </w:t>
      </w:r>
      <w:r w:rsidR="00B35B5B" w:rsidRPr="00820B24">
        <w:t>Available at:</w:t>
      </w:r>
      <w:r w:rsidR="00051FB9">
        <w:rPr>
          <w:i/>
          <w:iCs/>
        </w:rPr>
        <w:t xml:space="preserve"> </w:t>
      </w:r>
      <w:hyperlink r:id="rId2" w:history="1">
        <w:r w:rsidR="00566B11" w:rsidRPr="00566B11">
          <w:rPr>
            <w:rStyle w:val="Hyperlink"/>
          </w:rPr>
          <w:t>https://www.un.org/development/desa/disabilities/convention-on-the-rights-of-persons-with-disabilities/article-9-accessibility.html</w:t>
        </w:r>
      </w:hyperlink>
      <w:r w:rsidR="006F37AB">
        <w:t>.</w:t>
      </w:r>
      <w:r w:rsidR="00566B11">
        <w:rPr>
          <w:i/>
          <w:iCs/>
        </w:rPr>
        <w:t xml:space="preserve"> </w:t>
      </w:r>
      <w:r w:rsidR="00051FB9">
        <w:rPr>
          <w:i/>
          <w:iCs/>
        </w:rPr>
        <w:t xml:space="preserve"> </w:t>
      </w:r>
      <w:r w:rsidR="00051FB9">
        <w:t xml:space="preserve"> </w:t>
      </w:r>
    </w:p>
  </w:footnote>
  <w:footnote w:id="4">
    <w:p w14:paraId="1FB9B564" w14:textId="72831764" w:rsidR="005A72F1" w:rsidRPr="005A72F1" w:rsidRDefault="005A72F1">
      <w:pPr>
        <w:pStyle w:val="FootnoteText"/>
      </w:pPr>
      <w:r>
        <w:rPr>
          <w:rStyle w:val="FootnoteReference"/>
        </w:rPr>
        <w:footnoteRef/>
      </w:r>
      <w:r>
        <w:t xml:space="preserve"> </w:t>
      </w:r>
      <w:r>
        <w:rPr>
          <w:lang w:val="en-US"/>
        </w:rPr>
        <w:t>Ibid.</w:t>
      </w:r>
    </w:p>
  </w:footnote>
  <w:footnote w:id="5">
    <w:p w14:paraId="4EC6D0BC" w14:textId="26078860" w:rsidR="006552AD" w:rsidRPr="005E66B2" w:rsidRDefault="006552AD" w:rsidP="005E66B2">
      <w:pPr>
        <w:pStyle w:val="NoSpacing"/>
        <w:rPr>
          <w:sz w:val="20"/>
          <w:szCs w:val="20"/>
        </w:rPr>
      </w:pPr>
      <w:r w:rsidRPr="005E66B2">
        <w:rPr>
          <w:rStyle w:val="FootnoteReference"/>
          <w:sz w:val="20"/>
          <w:szCs w:val="20"/>
        </w:rPr>
        <w:footnoteRef/>
      </w:r>
      <w:r w:rsidRPr="005E66B2">
        <w:rPr>
          <w:sz w:val="20"/>
          <w:szCs w:val="20"/>
        </w:rPr>
        <w:t xml:space="preserve"> </w:t>
      </w:r>
      <w:r w:rsidR="002741CE" w:rsidRPr="002741CE">
        <w:rPr>
          <w:i/>
          <w:iCs/>
          <w:sz w:val="20"/>
          <w:szCs w:val="20"/>
          <w:lang w:val="en-US" w:eastAsia="en-US"/>
        </w:rPr>
        <w:t>Disability Standards for Accessible Public Transport 2002</w:t>
      </w:r>
      <w:r w:rsidR="002741CE" w:rsidRPr="002741CE">
        <w:rPr>
          <w:sz w:val="20"/>
          <w:szCs w:val="20"/>
          <w:lang w:val="en-US" w:eastAsia="en-US"/>
        </w:rPr>
        <w:t xml:space="preserve"> </w:t>
      </w:r>
      <w:r w:rsidR="00493B0E">
        <w:rPr>
          <w:sz w:val="20"/>
          <w:szCs w:val="20"/>
          <w:lang w:val="en-US" w:eastAsia="en-US"/>
        </w:rPr>
        <w:t xml:space="preserve">(Cth) </w:t>
      </w:r>
      <w:r w:rsidR="002741CE" w:rsidRPr="002741CE">
        <w:rPr>
          <w:sz w:val="20"/>
          <w:szCs w:val="20"/>
          <w:lang w:val="en-US" w:eastAsia="en-US"/>
        </w:rPr>
        <w:t>(</w:t>
      </w:r>
      <w:r w:rsidR="002741CE" w:rsidRPr="002741CE">
        <w:rPr>
          <w:i/>
          <w:iCs/>
          <w:sz w:val="20"/>
          <w:szCs w:val="20"/>
          <w:lang w:val="en-US" w:eastAsia="en-US"/>
        </w:rPr>
        <w:t>the Transport Standards</w:t>
      </w:r>
      <w:r w:rsidR="002741CE" w:rsidRPr="002741CE">
        <w:rPr>
          <w:sz w:val="20"/>
          <w:szCs w:val="20"/>
          <w:lang w:val="en-US" w:eastAsia="en-US"/>
        </w:rPr>
        <w:t>)</w:t>
      </w:r>
      <w:r w:rsidR="00493B0E">
        <w:rPr>
          <w:sz w:val="20"/>
          <w:szCs w:val="20"/>
        </w:rPr>
        <w:t>,</w:t>
      </w:r>
      <w:r w:rsidR="00545109" w:rsidRPr="005E66B2">
        <w:rPr>
          <w:sz w:val="20"/>
          <w:szCs w:val="20"/>
        </w:rPr>
        <w:t xml:space="preserve"> s. 1.21</w:t>
      </w:r>
      <w:r w:rsidR="000156D6">
        <w:rPr>
          <w:sz w:val="20"/>
          <w:szCs w:val="20"/>
        </w:rPr>
        <w:t>.</w:t>
      </w:r>
      <w:r w:rsidR="00545109" w:rsidRPr="005E66B2">
        <w:rPr>
          <w:sz w:val="20"/>
          <w:szCs w:val="20"/>
        </w:rPr>
        <w:t xml:space="preserve"> </w:t>
      </w:r>
      <w:r w:rsidR="00543324">
        <w:rPr>
          <w:sz w:val="20"/>
          <w:szCs w:val="20"/>
        </w:rPr>
        <w:t xml:space="preserve">Available at: </w:t>
      </w:r>
      <w:hyperlink r:id="rId3" w:history="1">
        <w:r w:rsidR="00543324" w:rsidRPr="00543324">
          <w:rPr>
            <w:rStyle w:val="Hyperlink"/>
            <w:sz w:val="20"/>
            <w:szCs w:val="20"/>
          </w:rPr>
          <w:t>https://www.legislation.gov.au/Details/F2011C00213</w:t>
        </w:r>
      </w:hyperlink>
      <w:r w:rsidR="00284F88">
        <w:rPr>
          <w:rStyle w:val="Hyperlink"/>
          <w:sz w:val="20"/>
          <w:szCs w:val="20"/>
          <w:u w:val="none"/>
        </w:rPr>
        <w:t>.</w:t>
      </w:r>
      <w:r w:rsidRPr="005E66B2">
        <w:rPr>
          <w:sz w:val="20"/>
          <w:szCs w:val="20"/>
        </w:rPr>
        <w:t xml:space="preserve"> </w:t>
      </w:r>
    </w:p>
  </w:footnote>
  <w:footnote w:id="6">
    <w:p w14:paraId="15544B93" w14:textId="1A550D69" w:rsidR="00036072" w:rsidRPr="005E66B2" w:rsidRDefault="00036072" w:rsidP="005E66B2">
      <w:pPr>
        <w:pStyle w:val="NoSpacing"/>
        <w:rPr>
          <w:sz w:val="20"/>
          <w:szCs w:val="20"/>
          <w:lang w:val="en-US"/>
        </w:rPr>
      </w:pPr>
      <w:r w:rsidRPr="005E66B2">
        <w:rPr>
          <w:rStyle w:val="FootnoteReference"/>
          <w:sz w:val="20"/>
          <w:szCs w:val="20"/>
        </w:rPr>
        <w:footnoteRef/>
      </w:r>
      <w:r w:rsidRPr="005E66B2">
        <w:rPr>
          <w:sz w:val="20"/>
          <w:szCs w:val="20"/>
        </w:rPr>
        <w:t xml:space="preserve"> </w:t>
      </w:r>
      <w:r w:rsidRPr="005E66B2">
        <w:rPr>
          <w:sz w:val="20"/>
          <w:szCs w:val="20"/>
          <w:lang w:val="en-US"/>
        </w:rPr>
        <w:t>Ibid.</w:t>
      </w:r>
    </w:p>
  </w:footnote>
  <w:footnote w:id="7">
    <w:p w14:paraId="5A563CC1" w14:textId="23BE643F" w:rsidR="002B061E" w:rsidRDefault="002B061E">
      <w:pPr>
        <w:pStyle w:val="FootnoteText"/>
      </w:pPr>
      <w:r>
        <w:rPr>
          <w:rStyle w:val="FootnoteReference"/>
        </w:rPr>
        <w:footnoteRef/>
      </w:r>
      <w:r>
        <w:t xml:space="preserve"> Ibid., see </w:t>
      </w:r>
      <w:r w:rsidR="00A6554D">
        <w:t>parts</w:t>
      </w:r>
      <w:r>
        <w:t xml:space="preserve"> 16-26.</w:t>
      </w:r>
    </w:p>
  </w:footnote>
  <w:footnote w:id="8">
    <w:p w14:paraId="65893BA7" w14:textId="0A079356" w:rsidR="00DD42F2" w:rsidRDefault="00DD42F2">
      <w:pPr>
        <w:pStyle w:val="FootnoteText"/>
      </w:pPr>
      <w:r>
        <w:rPr>
          <w:rStyle w:val="FootnoteReference"/>
        </w:rPr>
        <w:footnoteRef/>
      </w:r>
      <w:r>
        <w:t xml:space="preserve"> </w:t>
      </w:r>
      <w:r w:rsidR="00543324" w:rsidRPr="00F16D94">
        <w:rPr>
          <w:i/>
          <w:iCs/>
        </w:rPr>
        <w:t>Disability (Access to Premises — Buildings) Standards 2010</w:t>
      </w:r>
      <w:r w:rsidR="00543324">
        <w:t xml:space="preserve"> (Cth)</w:t>
      </w:r>
      <w:r w:rsidR="008B2E47">
        <w:t xml:space="preserve"> (</w:t>
      </w:r>
      <w:r w:rsidR="008B2E47" w:rsidRPr="00211B92">
        <w:rPr>
          <w:i/>
          <w:iCs/>
        </w:rPr>
        <w:t>(</w:t>
      </w:r>
      <w:r w:rsidR="008B2E47">
        <w:t xml:space="preserve">the </w:t>
      </w:r>
      <w:r w:rsidR="008B2E47" w:rsidRPr="00211B92">
        <w:rPr>
          <w:i/>
          <w:iCs/>
        </w:rPr>
        <w:t>Premises Standards</w:t>
      </w:r>
      <w:r w:rsidR="008B2E47">
        <w:rPr>
          <w:i/>
          <w:iCs/>
        </w:rPr>
        <w:t>)</w:t>
      </w:r>
      <w:r w:rsidR="000156D6">
        <w:t>.</w:t>
      </w:r>
      <w:r w:rsidR="00543324">
        <w:t xml:space="preserve"> Available at: </w:t>
      </w:r>
      <w:hyperlink r:id="rId4" w:history="1">
        <w:r w:rsidR="00F16D94" w:rsidRPr="00EE1D36">
          <w:rPr>
            <w:rStyle w:val="Hyperlink"/>
          </w:rPr>
          <w:t>https://www.legislation.gov.au/Details/F2020C00976</w:t>
        </w:r>
      </w:hyperlink>
      <w:r w:rsidR="00D8652A">
        <w:t>.</w:t>
      </w:r>
      <w:r w:rsidR="00F16D94">
        <w:t xml:space="preserve"> </w:t>
      </w:r>
    </w:p>
  </w:footnote>
  <w:footnote w:id="9">
    <w:p w14:paraId="4C52C076" w14:textId="26D66752" w:rsidR="00C403FA" w:rsidRPr="00C403FA" w:rsidRDefault="00C403FA">
      <w:pPr>
        <w:pStyle w:val="FootnoteText"/>
        <w:rPr>
          <w:lang w:val="en-US"/>
        </w:rPr>
      </w:pPr>
      <w:r>
        <w:rPr>
          <w:rStyle w:val="FootnoteReference"/>
        </w:rPr>
        <w:footnoteRef/>
      </w:r>
      <w:r w:rsidR="00211B92">
        <w:t xml:space="preserve"> </w:t>
      </w:r>
      <w:r w:rsidR="008B2E47" w:rsidRPr="008B2E47">
        <w:rPr>
          <w:i/>
          <w:iCs/>
        </w:rPr>
        <w:t>T</w:t>
      </w:r>
      <w:r w:rsidR="00493B0E" w:rsidRPr="008B2E47">
        <w:rPr>
          <w:i/>
          <w:iCs/>
        </w:rPr>
        <w:t xml:space="preserve">he </w:t>
      </w:r>
      <w:r w:rsidR="00901845" w:rsidRPr="008B2E47">
        <w:rPr>
          <w:i/>
          <w:iCs/>
        </w:rPr>
        <w:t>Premises Standards</w:t>
      </w:r>
      <w:r w:rsidR="008B2E47">
        <w:rPr>
          <w:i/>
          <w:iCs/>
        </w:rPr>
        <w:t xml:space="preserve"> </w:t>
      </w:r>
      <w:r w:rsidR="008B2E47">
        <w:t>(Cth)</w:t>
      </w:r>
      <w:r w:rsidR="00901845">
        <w:t>, parts 4-5</w:t>
      </w:r>
      <w:r w:rsidR="00C906BD">
        <w:t>.</w:t>
      </w:r>
      <w:r w:rsidR="00901845">
        <w:t xml:space="preserve"> </w:t>
      </w:r>
      <w:r>
        <w:t xml:space="preserve"> </w:t>
      </w:r>
      <w:r w:rsidR="008B2E47">
        <w:t xml:space="preserve">Available at </w:t>
      </w:r>
      <w:hyperlink r:id="rId5" w:history="1">
        <w:r w:rsidR="008B2E47" w:rsidRPr="000860B2">
          <w:rPr>
            <w:rStyle w:val="Hyperlink"/>
          </w:rPr>
          <w:t>https://www.legislation.gov.au/Details/F2020C00976</w:t>
        </w:r>
      </w:hyperlink>
      <w:r w:rsidR="00211B92">
        <w:t>.</w:t>
      </w:r>
    </w:p>
  </w:footnote>
  <w:footnote w:id="10">
    <w:p w14:paraId="389825BC" w14:textId="536037D7" w:rsidR="00FB0893" w:rsidRPr="005E66B2" w:rsidRDefault="00FB0893" w:rsidP="005E66B2">
      <w:pPr>
        <w:pStyle w:val="NoSpacing"/>
        <w:rPr>
          <w:sz w:val="20"/>
          <w:szCs w:val="20"/>
          <w:lang w:val="en-US"/>
        </w:rPr>
      </w:pPr>
      <w:r w:rsidRPr="005E66B2">
        <w:rPr>
          <w:rStyle w:val="FootnoteReference"/>
          <w:sz w:val="20"/>
          <w:szCs w:val="20"/>
        </w:rPr>
        <w:footnoteRef/>
      </w:r>
      <w:r w:rsidRPr="005E66B2">
        <w:rPr>
          <w:sz w:val="20"/>
          <w:szCs w:val="20"/>
        </w:rPr>
        <w:t xml:space="preserve"> </w:t>
      </w:r>
      <w:r w:rsidR="00ED05CA" w:rsidRPr="005E66B2">
        <w:rPr>
          <w:sz w:val="20"/>
          <w:szCs w:val="20"/>
        </w:rPr>
        <w:t>Ibid., s. 9.10.</w:t>
      </w:r>
    </w:p>
  </w:footnote>
  <w:footnote w:id="11">
    <w:p w14:paraId="3FEC647B" w14:textId="622904EC" w:rsidR="00FB0893" w:rsidRPr="0043700B" w:rsidRDefault="00FB0893" w:rsidP="00FB0893">
      <w:pPr>
        <w:pStyle w:val="FootnoteText"/>
        <w:rPr>
          <w:b/>
          <w:bCs/>
        </w:rPr>
      </w:pPr>
      <w:r>
        <w:rPr>
          <w:rStyle w:val="FootnoteReference"/>
        </w:rPr>
        <w:footnoteRef/>
      </w:r>
      <w:r>
        <w:t xml:space="preserve"> SAI Global</w:t>
      </w:r>
      <w:r w:rsidR="00C90A12">
        <w:t xml:space="preserve"> 2009</w:t>
      </w:r>
      <w:r>
        <w:t xml:space="preserve">, </w:t>
      </w:r>
      <w:r w:rsidRPr="005A48A0">
        <w:rPr>
          <w:i/>
          <w:iCs/>
        </w:rPr>
        <w:t>AS 1428.1-2009  Design for access and mobility - General requirements for access - New building work</w:t>
      </w:r>
      <w:r w:rsidR="000156D6">
        <w:t>.</w:t>
      </w:r>
      <w:r>
        <w:t xml:space="preserve"> </w:t>
      </w:r>
      <w:r w:rsidR="00C90A12">
        <w:t>Available at:</w:t>
      </w:r>
      <w:r>
        <w:t xml:space="preserve"> </w:t>
      </w:r>
      <w:hyperlink r:id="rId6" w:history="1">
        <w:r w:rsidRPr="004809B2">
          <w:rPr>
            <w:rStyle w:val="Hyperlink"/>
          </w:rPr>
          <w:t>https://www.simpsonbuildinggroup.com/wp-content/uploads/2011/09/AS-1428.1-2009-Design-for-access-and-mobility-General-requirements-for-access-New-building-work.pdf</w:t>
        </w:r>
      </w:hyperlink>
      <w:r w:rsidR="00F963A7">
        <w:t>.</w:t>
      </w:r>
    </w:p>
  </w:footnote>
  <w:footnote w:id="12">
    <w:p w14:paraId="39AC1013" w14:textId="7D186AE2" w:rsidR="00C77AC7" w:rsidRPr="00F963A7" w:rsidRDefault="00C77AC7" w:rsidP="00C77AC7">
      <w:pPr>
        <w:pStyle w:val="FootnoteText"/>
        <w:rPr>
          <w:lang w:val="en-US"/>
        </w:rPr>
      </w:pPr>
      <w:r>
        <w:rPr>
          <w:rStyle w:val="FootnoteReference"/>
        </w:rPr>
        <w:footnoteRef/>
      </w:r>
      <w:r w:rsidR="00036072">
        <w:t xml:space="preserve"> </w:t>
      </w:r>
      <w:r w:rsidR="00ED05CA" w:rsidRPr="00771E8A">
        <w:rPr>
          <w:i/>
          <w:iCs/>
        </w:rPr>
        <w:t>The Transport Standards 20</w:t>
      </w:r>
      <w:r w:rsidR="008306E6">
        <w:rPr>
          <w:i/>
          <w:iCs/>
        </w:rPr>
        <w:t>02</w:t>
      </w:r>
      <w:r w:rsidR="002741CE">
        <w:t xml:space="preserve"> (Cth)</w:t>
      </w:r>
      <w:r w:rsidR="00ED05CA">
        <w:t>, s. 1</w:t>
      </w:r>
      <w:r w:rsidR="001F4D71">
        <w:t>6.1</w:t>
      </w:r>
      <w:r w:rsidR="000B69B4">
        <w:t xml:space="preserve">. </w:t>
      </w:r>
      <w:r w:rsidR="000B69B4" w:rsidRPr="009D1E35">
        <w:rPr>
          <w:lang w:val="en-US"/>
        </w:rPr>
        <w:t>Available at:</w:t>
      </w:r>
      <w:r w:rsidR="000B69B4">
        <w:rPr>
          <w:i/>
          <w:iCs/>
          <w:lang w:val="en-US"/>
        </w:rPr>
        <w:t xml:space="preserve"> </w:t>
      </w:r>
      <w:r w:rsidR="00F963A7">
        <w:t xml:space="preserve"> </w:t>
      </w:r>
      <w:hyperlink r:id="rId7" w:history="1">
        <w:r w:rsidR="00F963A7" w:rsidRPr="005E66B2">
          <w:rPr>
            <w:rStyle w:val="Hyperlink"/>
          </w:rPr>
          <w:t>https://www.legislation.gov.au/Details/F2011C00213</w:t>
        </w:r>
      </w:hyperlink>
      <w:r w:rsidR="00F963A7">
        <w:rPr>
          <w:rStyle w:val="Hyperlink"/>
          <w:u w:val="none"/>
        </w:rPr>
        <w:t>.</w:t>
      </w:r>
    </w:p>
  </w:footnote>
  <w:footnote w:id="13">
    <w:p w14:paraId="2836EDD8" w14:textId="76E5172B" w:rsidR="00036072" w:rsidRPr="00036072" w:rsidRDefault="00036072">
      <w:pPr>
        <w:pStyle w:val="FootnoteText"/>
        <w:rPr>
          <w:lang w:val="en-US"/>
        </w:rPr>
      </w:pPr>
      <w:r>
        <w:rPr>
          <w:rStyle w:val="FootnoteReference"/>
        </w:rPr>
        <w:footnoteRef/>
      </w:r>
      <w:r>
        <w:t xml:space="preserve"> Ibid.</w:t>
      </w:r>
    </w:p>
  </w:footnote>
  <w:footnote w:id="14">
    <w:p w14:paraId="67732960" w14:textId="4F57F3E5" w:rsidR="00D67E24" w:rsidRPr="001A0660" w:rsidRDefault="00D67E24">
      <w:pPr>
        <w:pStyle w:val="FootnoteText"/>
        <w:rPr>
          <w:lang w:val="en-US"/>
        </w:rPr>
      </w:pPr>
      <w:r>
        <w:rPr>
          <w:rStyle w:val="FootnoteReference"/>
        </w:rPr>
        <w:footnoteRef/>
      </w:r>
      <w:r>
        <w:t xml:space="preserve"> </w:t>
      </w:r>
      <w:r>
        <w:rPr>
          <w:lang w:val="en-US"/>
        </w:rPr>
        <w:t>Deafness Forum of Australia</w:t>
      </w:r>
      <w:r w:rsidR="009D1FC6">
        <w:rPr>
          <w:lang w:val="en-US"/>
        </w:rPr>
        <w:t xml:space="preserve"> 2023</w:t>
      </w:r>
      <w:r>
        <w:rPr>
          <w:lang w:val="en-US"/>
        </w:rPr>
        <w:t xml:space="preserve">, </w:t>
      </w:r>
      <w:r w:rsidR="005309F9" w:rsidRPr="005309F9">
        <w:rPr>
          <w:i/>
          <w:iCs/>
          <w:lang w:val="en-US"/>
        </w:rPr>
        <w:t>International Deafness Symbol</w:t>
      </w:r>
      <w:r w:rsidR="000B69B4">
        <w:rPr>
          <w:i/>
          <w:iCs/>
          <w:lang w:val="en-US"/>
        </w:rPr>
        <w:t xml:space="preserve">. </w:t>
      </w:r>
      <w:r w:rsidR="000B69B4" w:rsidRPr="009D1E35">
        <w:rPr>
          <w:lang w:val="en-US"/>
        </w:rPr>
        <w:t>Available at:</w:t>
      </w:r>
      <w:r w:rsidR="000B69B4">
        <w:rPr>
          <w:i/>
          <w:iCs/>
          <w:lang w:val="en-US"/>
        </w:rPr>
        <w:t xml:space="preserve"> </w:t>
      </w:r>
      <w:r w:rsidR="001A0660">
        <w:rPr>
          <w:i/>
          <w:iCs/>
          <w:lang w:val="en-US"/>
        </w:rPr>
        <w:t xml:space="preserve"> </w:t>
      </w:r>
      <w:hyperlink r:id="rId8" w:history="1">
        <w:r w:rsidR="00CC0C73" w:rsidRPr="001E3EDB">
          <w:rPr>
            <w:rStyle w:val="Hyperlink"/>
            <w:lang w:val="en-US"/>
          </w:rPr>
          <w:t>https://www.deafnessforum.org.au/resources/international-deafness-symbol/</w:t>
        </w:r>
      </w:hyperlink>
      <w:r w:rsidR="001A0660" w:rsidRPr="001A0660">
        <w:rPr>
          <w:lang w:val="en-US"/>
        </w:rPr>
        <w:t>.</w:t>
      </w:r>
      <w:r w:rsidR="001A0660">
        <w:rPr>
          <w:i/>
          <w:iCs/>
          <w:lang w:val="en-US"/>
        </w:rPr>
        <w:t xml:space="preserve"> </w:t>
      </w:r>
    </w:p>
  </w:footnote>
  <w:footnote w:id="15">
    <w:p w14:paraId="233E6DBB" w14:textId="7D4B6D4C" w:rsidR="003C1885" w:rsidRPr="003C1885" w:rsidRDefault="003C1885">
      <w:pPr>
        <w:pStyle w:val="FootnoteText"/>
        <w:rPr>
          <w:lang w:val="en-US"/>
        </w:rPr>
      </w:pPr>
      <w:r>
        <w:rPr>
          <w:rStyle w:val="FootnoteReference"/>
        </w:rPr>
        <w:footnoteRef/>
      </w:r>
      <w:r>
        <w:t xml:space="preserve"> Ibid.</w:t>
      </w:r>
    </w:p>
  </w:footnote>
  <w:footnote w:id="16">
    <w:p w14:paraId="6602E94C" w14:textId="3CA01D0B" w:rsidR="000C5922" w:rsidRDefault="000C5922">
      <w:pPr>
        <w:pStyle w:val="FootnoteText"/>
      </w:pPr>
      <w:r>
        <w:rPr>
          <w:rStyle w:val="FootnoteReference"/>
        </w:rPr>
        <w:footnoteRef/>
      </w:r>
      <w:r>
        <w:t xml:space="preserve"> </w:t>
      </w:r>
      <w:r w:rsidRPr="00771E8A">
        <w:rPr>
          <w:i/>
          <w:iCs/>
        </w:rPr>
        <w:t>The Transport Standards 2002</w:t>
      </w:r>
      <w:r>
        <w:t xml:space="preserve"> </w:t>
      </w:r>
      <w:r w:rsidR="002741CE">
        <w:t xml:space="preserve">(Cth), </w:t>
      </w:r>
      <w:r w:rsidR="008306E6">
        <w:t>s. 16</w:t>
      </w:r>
      <w:r>
        <w:t>.2</w:t>
      </w:r>
      <w:r w:rsidR="000B69B4">
        <w:t xml:space="preserve">. </w:t>
      </w:r>
      <w:r w:rsidR="000B69B4" w:rsidRPr="009D1E35">
        <w:rPr>
          <w:lang w:val="en-US"/>
        </w:rPr>
        <w:t>Available at:</w:t>
      </w:r>
      <w:r w:rsidR="000B69B4">
        <w:rPr>
          <w:i/>
          <w:iCs/>
          <w:lang w:val="en-US"/>
        </w:rPr>
        <w:t xml:space="preserve"> </w:t>
      </w:r>
      <w:r>
        <w:t xml:space="preserve"> </w:t>
      </w:r>
      <w:hyperlink r:id="rId9" w:history="1">
        <w:r w:rsidRPr="005E66B2">
          <w:rPr>
            <w:rStyle w:val="Hyperlink"/>
          </w:rPr>
          <w:t>https://www.legislation.gov.au/Details/F2011C00213</w:t>
        </w:r>
      </w:hyperlink>
      <w:r>
        <w:rPr>
          <w:rStyle w:val="Hyperlink"/>
        </w:rPr>
        <w:t>.</w:t>
      </w:r>
    </w:p>
  </w:footnote>
  <w:footnote w:id="17">
    <w:p w14:paraId="620D07A3" w14:textId="487C1AEF" w:rsidR="00C9698C" w:rsidRPr="00333205" w:rsidRDefault="00C9698C" w:rsidP="00C9698C">
      <w:pPr>
        <w:pStyle w:val="FootnoteText"/>
        <w:rPr>
          <w:lang w:val="en-US"/>
        </w:rPr>
      </w:pPr>
      <w:r>
        <w:rPr>
          <w:rStyle w:val="FootnoteReference"/>
        </w:rPr>
        <w:footnoteRef/>
      </w:r>
      <w:r>
        <w:t xml:space="preserve"> </w:t>
      </w:r>
      <w:r w:rsidR="000C5922">
        <w:t>Ibid.</w:t>
      </w:r>
    </w:p>
  </w:footnote>
  <w:footnote w:id="18">
    <w:p w14:paraId="28EAD534" w14:textId="7B1B5ED9" w:rsidR="00C9698C" w:rsidRPr="00B51866" w:rsidRDefault="00C9698C" w:rsidP="00C9698C">
      <w:pPr>
        <w:pStyle w:val="FootnoteText"/>
        <w:rPr>
          <w:lang w:val="en-US"/>
        </w:rPr>
      </w:pPr>
      <w:r>
        <w:rPr>
          <w:rStyle w:val="FootnoteReference"/>
        </w:rPr>
        <w:footnoteRef/>
      </w:r>
      <w:r>
        <w:t xml:space="preserve"> Standards Australia Store</w:t>
      </w:r>
      <w:r w:rsidR="00F54A3E">
        <w:t xml:space="preserve"> 2023</w:t>
      </w:r>
      <w:r>
        <w:t xml:space="preserve">, </w:t>
      </w:r>
      <w:r w:rsidRPr="001F52EE">
        <w:rPr>
          <w:i/>
          <w:iCs/>
        </w:rPr>
        <w:t>AS 2899.1-198</w:t>
      </w:r>
      <w:r w:rsidR="000B69B4">
        <w:rPr>
          <w:i/>
          <w:iCs/>
        </w:rPr>
        <w:t>.</w:t>
      </w:r>
      <w:r w:rsidR="00685102" w:rsidRPr="00685102">
        <w:rPr>
          <w:lang w:val="en-US"/>
        </w:rPr>
        <w:t xml:space="preserve"> </w:t>
      </w:r>
      <w:r w:rsidR="00685102" w:rsidRPr="009D1E35">
        <w:rPr>
          <w:lang w:val="en-US"/>
        </w:rPr>
        <w:t>Available at:</w:t>
      </w:r>
      <w:r w:rsidR="00685102">
        <w:rPr>
          <w:i/>
          <w:iCs/>
          <w:lang w:val="en-US"/>
        </w:rPr>
        <w:t xml:space="preserve"> </w:t>
      </w:r>
      <w:r>
        <w:t xml:space="preserve"> </w:t>
      </w:r>
      <w:hyperlink r:id="rId10" w:history="1">
        <w:r w:rsidRPr="00B517CE">
          <w:rPr>
            <w:rStyle w:val="Hyperlink"/>
          </w:rPr>
          <w:t>https://store.standards.org.au/product/as-2899-1-1986</w:t>
        </w:r>
      </w:hyperlink>
      <w:r w:rsidR="008028B5" w:rsidRPr="008028B5">
        <w:rPr>
          <w:rStyle w:val="Hyperlink"/>
          <w:color w:val="auto"/>
          <w:u w:val="none"/>
        </w:rPr>
        <w:t>.</w:t>
      </w:r>
      <w:r>
        <w:t xml:space="preserve"> </w:t>
      </w:r>
    </w:p>
  </w:footnote>
  <w:footnote w:id="19">
    <w:p w14:paraId="5401EF53" w14:textId="1898B057" w:rsidR="00C9698C" w:rsidRPr="00980B8B" w:rsidRDefault="00C9698C" w:rsidP="00C9698C">
      <w:pPr>
        <w:pStyle w:val="FootnoteText"/>
        <w:rPr>
          <w:lang w:val="en-US"/>
        </w:rPr>
      </w:pPr>
      <w:r>
        <w:rPr>
          <w:rStyle w:val="FootnoteReference"/>
        </w:rPr>
        <w:footnoteRef/>
      </w:r>
      <w:r>
        <w:t xml:space="preserve"> </w:t>
      </w:r>
      <w:r>
        <w:rPr>
          <w:lang w:val="en-US"/>
        </w:rPr>
        <w:t>Intertek SAI Global Standards Legislation</w:t>
      </w:r>
      <w:r w:rsidR="00685102">
        <w:rPr>
          <w:lang w:val="en-US"/>
        </w:rPr>
        <w:t xml:space="preserve"> 2023</w:t>
      </w:r>
      <w:r>
        <w:rPr>
          <w:lang w:val="en-US"/>
        </w:rPr>
        <w:t xml:space="preserve">, </w:t>
      </w:r>
      <w:r w:rsidRPr="00D93F0A">
        <w:rPr>
          <w:i/>
          <w:iCs/>
          <w:lang w:val="en-US"/>
        </w:rPr>
        <w:t>AS 2899.1-1986</w:t>
      </w:r>
      <w:r w:rsidR="00685102">
        <w:rPr>
          <w:i/>
          <w:iCs/>
          <w:lang w:val="en-US"/>
        </w:rPr>
        <w:t xml:space="preserve">. </w:t>
      </w:r>
      <w:r w:rsidR="00685102" w:rsidRPr="00AD689B">
        <w:rPr>
          <w:lang w:val="en-US"/>
        </w:rPr>
        <w:t>Available at:</w:t>
      </w:r>
      <w:r>
        <w:rPr>
          <w:i/>
          <w:iCs/>
          <w:lang w:val="en-US"/>
        </w:rPr>
        <w:t xml:space="preserve"> </w:t>
      </w:r>
      <w:hyperlink r:id="rId11" w:history="1">
        <w:r w:rsidRPr="00C852FD">
          <w:rPr>
            <w:rStyle w:val="Hyperlink"/>
            <w:lang w:val="en-US"/>
          </w:rPr>
          <w:t>https://infostore.saiglobal.com/en-au/standards/as-2899-1-1986-123527_saig_as_as_259534/</w:t>
        </w:r>
      </w:hyperlink>
      <w:r w:rsidR="008028B5" w:rsidRPr="008028B5">
        <w:rPr>
          <w:rStyle w:val="Hyperlink"/>
          <w:u w:val="none"/>
          <w:lang w:val="en-US"/>
        </w:rPr>
        <w:t>.</w:t>
      </w:r>
      <w:r w:rsidRPr="00C852FD">
        <w:rPr>
          <w:lang w:val="en-US"/>
        </w:rPr>
        <w:t xml:space="preserve"> </w:t>
      </w:r>
    </w:p>
  </w:footnote>
  <w:footnote w:id="20">
    <w:p w14:paraId="4FF82D33" w14:textId="0F38B0F7" w:rsidR="005F42E2" w:rsidRPr="00A62150" w:rsidRDefault="005F42E2" w:rsidP="005F42E2">
      <w:pPr>
        <w:pStyle w:val="NoSpacing"/>
        <w:rPr>
          <w:sz w:val="20"/>
          <w:szCs w:val="20"/>
        </w:rPr>
      </w:pPr>
    </w:p>
  </w:footnote>
  <w:footnote w:id="21">
    <w:p w14:paraId="22A9E3A8" w14:textId="14A7A74D" w:rsidR="00CD1D32" w:rsidRPr="00CD1D32" w:rsidRDefault="00CD1D32">
      <w:pPr>
        <w:pStyle w:val="FootnoteText"/>
        <w:rPr>
          <w:lang w:val="en-US"/>
        </w:rPr>
      </w:pPr>
      <w:r>
        <w:rPr>
          <w:rStyle w:val="FootnoteReference"/>
        </w:rPr>
        <w:footnoteRef/>
      </w:r>
      <w:r>
        <w:t xml:space="preserve"> </w:t>
      </w:r>
      <w:r w:rsidRPr="003D23F3">
        <w:rPr>
          <w:i/>
          <w:iCs/>
        </w:rPr>
        <w:t xml:space="preserve">The Transport Standards 2002 </w:t>
      </w:r>
      <w:r w:rsidRPr="00A62150">
        <w:t>(C</w:t>
      </w:r>
      <w:r>
        <w:t>th)</w:t>
      </w:r>
      <w:r w:rsidRPr="00A62150">
        <w:t>, s. 19.1</w:t>
      </w:r>
      <w:r w:rsidR="00C906BD">
        <w:t>.</w:t>
      </w:r>
      <w:r>
        <w:t xml:space="preserve"> </w:t>
      </w:r>
      <w:r w:rsidRPr="009D1E35">
        <w:rPr>
          <w:lang w:val="en-US"/>
        </w:rPr>
        <w:t>Available at:</w:t>
      </w:r>
      <w:r>
        <w:rPr>
          <w:i/>
          <w:iCs/>
          <w:lang w:val="en-US"/>
        </w:rPr>
        <w:t xml:space="preserve"> </w:t>
      </w:r>
      <w:r w:rsidRPr="00A62150">
        <w:t xml:space="preserve"> </w:t>
      </w:r>
      <w:hyperlink r:id="rId12" w:history="1">
        <w:r w:rsidRPr="00A62150">
          <w:rPr>
            <w:rStyle w:val="Hyperlink"/>
          </w:rPr>
          <w:t>https://www.legislation.gov.au/Details/F2011C00213</w:t>
        </w:r>
      </w:hyperlink>
      <w:r w:rsidRPr="00A62150">
        <w:rPr>
          <w:rStyle w:val="Hyperlink"/>
          <w:u w:val="none"/>
        </w:rPr>
        <w:t>.</w:t>
      </w:r>
    </w:p>
  </w:footnote>
  <w:footnote w:id="22">
    <w:p w14:paraId="09BA1D36" w14:textId="77777777" w:rsidR="005F42E2" w:rsidRPr="00D90062" w:rsidRDefault="005F42E2" w:rsidP="005F42E2">
      <w:pPr>
        <w:pStyle w:val="FootnoteText"/>
        <w:rPr>
          <w:lang w:val="en-US"/>
        </w:rPr>
      </w:pPr>
      <w:r>
        <w:rPr>
          <w:rStyle w:val="FootnoteReference"/>
        </w:rPr>
        <w:footnoteRef/>
      </w:r>
      <w:r>
        <w:t xml:space="preserve"> </w:t>
      </w:r>
      <w:r>
        <w:rPr>
          <w:lang w:val="en-US"/>
        </w:rPr>
        <w:t>Ibid.</w:t>
      </w:r>
    </w:p>
  </w:footnote>
  <w:footnote w:id="23">
    <w:p w14:paraId="0C9516C9" w14:textId="5BB645C0" w:rsidR="00B12734" w:rsidRPr="00CD1D32" w:rsidRDefault="00B12734" w:rsidP="00B12734">
      <w:pPr>
        <w:pStyle w:val="FootnoteText"/>
        <w:rPr>
          <w:lang w:val="en-US"/>
        </w:rPr>
      </w:pPr>
      <w:r>
        <w:rPr>
          <w:rStyle w:val="FootnoteReference"/>
        </w:rPr>
        <w:footnoteRef/>
      </w:r>
      <w:r>
        <w:t xml:space="preserve"> </w:t>
      </w:r>
      <w:r w:rsidRPr="003D23F3">
        <w:rPr>
          <w:i/>
          <w:iCs/>
        </w:rPr>
        <w:t xml:space="preserve">The </w:t>
      </w:r>
      <w:r w:rsidR="00CF0E23">
        <w:rPr>
          <w:i/>
          <w:iCs/>
        </w:rPr>
        <w:t>Premises Standards</w:t>
      </w:r>
      <w:r w:rsidRPr="003D23F3">
        <w:rPr>
          <w:i/>
          <w:iCs/>
        </w:rPr>
        <w:t xml:space="preserve"> </w:t>
      </w:r>
      <w:r w:rsidRPr="00A62150">
        <w:t>(C</w:t>
      </w:r>
      <w:r>
        <w:t>th)</w:t>
      </w:r>
      <w:r w:rsidRPr="00A62150">
        <w:t>,</w:t>
      </w:r>
      <w:r w:rsidR="007654F2" w:rsidRPr="007654F2">
        <w:t xml:space="preserve"> </w:t>
      </w:r>
      <w:r w:rsidR="00051D19">
        <w:t>p</w:t>
      </w:r>
      <w:r w:rsidR="00C906BD">
        <w:t>art</w:t>
      </w:r>
      <w:r w:rsidR="00051D19">
        <w:t xml:space="preserve"> H2</w:t>
      </w:r>
      <w:r w:rsidR="00883249">
        <w:t>,</w:t>
      </w:r>
      <w:r w:rsidR="00CF0E23">
        <w:t xml:space="preserve"> s. 2.14 (2)</w:t>
      </w:r>
      <w:r w:rsidR="00C906BD">
        <w:t>.</w:t>
      </w:r>
      <w:r w:rsidR="00CF0E23">
        <w:t xml:space="preserve"> </w:t>
      </w:r>
      <w:r w:rsidRPr="009D1E35">
        <w:rPr>
          <w:lang w:val="en-US"/>
        </w:rPr>
        <w:t>Available at:</w:t>
      </w:r>
      <w:r>
        <w:rPr>
          <w:i/>
          <w:iCs/>
          <w:lang w:val="en-US"/>
        </w:rPr>
        <w:t xml:space="preserve"> </w:t>
      </w:r>
      <w:r w:rsidRPr="00A62150">
        <w:t xml:space="preserve"> </w:t>
      </w:r>
      <w:hyperlink r:id="rId13" w:history="1">
        <w:r w:rsidR="00B92CB2" w:rsidRPr="00EE1D36">
          <w:rPr>
            <w:rStyle w:val="Hyperlink"/>
          </w:rPr>
          <w:t>https://www.legislation.gov.au/Details/F2020C00976</w:t>
        </w:r>
      </w:hyperlink>
      <w:r w:rsidRPr="00A62150">
        <w:rPr>
          <w:rStyle w:val="Hyperlink"/>
          <w:u w:val="none"/>
        </w:rPr>
        <w:t>.</w:t>
      </w:r>
    </w:p>
    <w:p w14:paraId="428E987C" w14:textId="4E97E7B9" w:rsidR="00B12734" w:rsidRPr="00B12734" w:rsidRDefault="00B12734">
      <w:pPr>
        <w:pStyle w:val="FootnoteText"/>
        <w:rPr>
          <w:lang w:val="en-US"/>
        </w:rPr>
      </w:pPr>
    </w:p>
  </w:footnote>
  <w:footnote w:id="24">
    <w:p w14:paraId="0238EF96" w14:textId="075A5E48" w:rsidR="00531230" w:rsidRPr="00CC458E" w:rsidRDefault="00531230" w:rsidP="00531230">
      <w:pPr>
        <w:pStyle w:val="FootnoteText"/>
        <w:rPr>
          <w:lang w:val="en-US"/>
        </w:rPr>
      </w:pPr>
      <w:r>
        <w:rPr>
          <w:rStyle w:val="FootnoteReference"/>
        </w:rPr>
        <w:footnoteRef/>
      </w:r>
      <w:r>
        <w:t xml:space="preserve"> </w:t>
      </w:r>
      <w:r w:rsidR="002A19B5">
        <w:t>Ibid., s. 27.1.</w:t>
      </w:r>
    </w:p>
  </w:footnote>
  <w:footnote w:id="25">
    <w:p w14:paraId="107D4BC6" w14:textId="4CE5D45C" w:rsidR="002A1A6F" w:rsidRPr="00B664EF" w:rsidRDefault="002A1A6F" w:rsidP="002A1A6F">
      <w:pPr>
        <w:pStyle w:val="FootnoteText"/>
        <w:rPr>
          <w:lang w:val="en-US"/>
        </w:rPr>
      </w:pPr>
      <w:r>
        <w:rPr>
          <w:rStyle w:val="FootnoteReference"/>
        </w:rPr>
        <w:footnoteRef/>
      </w:r>
      <w:r>
        <w:t xml:space="preserve"> Deafness Forum of Australia</w:t>
      </w:r>
      <w:r w:rsidR="003A7F86">
        <w:t xml:space="preserve"> 2022</w:t>
      </w:r>
      <w:r>
        <w:t xml:space="preserve">, </w:t>
      </w:r>
      <w:r w:rsidRPr="00B664EF">
        <w:rPr>
          <w:i/>
          <w:iCs/>
        </w:rPr>
        <w:t>Review of Disability Standards for Accessible Public Transport</w:t>
      </w:r>
      <w:r w:rsidR="00084F8C">
        <w:t>.</w:t>
      </w:r>
      <w:r>
        <w:rPr>
          <w:i/>
          <w:iCs/>
        </w:rPr>
        <w:t xml:space="preserve"> </w:t>
      </w:r>
      <w:r w:rsidR="003A7F86" w:rsidRPr="009D1E35">
        <w:rPr>
          <w:lang w:val="en-US"/>
        </w:rPr>
        <w:t>Available at:</w:t>
      </w:r>
      <w:r w:rsidR="003A7F86">
        <w:rPr>
          <w:i/>
          <w:iCs/>
          <w:lang w:val="en-US"/>
        </w:rPr>
        <w:t xml:space="preserve"> </w:t>
      </w:r>
      <w:hyperlink r:id="rId14" w:history="1">
        <w:r w:rsidRPr="009715DA">
          <w:rPr>
            <w:rStyle w:val="Hyperlink"/>
          </w:rPr>
          <w:t>https://www.deafnessforum.org.au/review-of-disability-standards-for-accessible-public-transport/#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2A2B" w14:textId="77777777" w:rsidR="00A75493" w:rsidRPr="009A314F" w:rsidRDefault="00AD3EFC" w:rsidP="00E42CDF">
    <w:pPr>
      <w:tabs>
        <w:tab w:val="left" w:pos="1843"/>
      </w:tabs>
      <w:ind w:hanging="851"/>
      <w:rPr>
        <w:rFonts w:ascii="Verdana" w:hAnsi="Verdana"/>
      </w:rPr>
    </w:pPr>
    <w:r w:rsidRPr="009A314F">
      <w:rPr>
        <w:rFonts w:ascii="Verdana" w:hAnsi="Verdana"/>
        <w:noProof/>
      </w:rPr>
      <w:drawing>
        <wp:anchor distT="0" distB="0" distL="114300" distR="114300" simplePos="0" relativeHeight="251658240" behindDoc="0" locked="0" layoutInCell="1" allowOverlap="1" wp14:anchorId="177BC58A" wp14:editId="0255FE00">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rsidRPr="009A314F">
      <w:rPr>
        <w:rFonts w:ascii="Verdana" w:hAnsi="Verdana"/>
        <w:b/>
        <w:bCs/>
        <w:i/>
        <w:iCs/>
      </w:rPr>
      <w:t xml:space="preserve">   </w:t>
    </w:r>
    <w:r w:rsidRPr="009A314F">
      <w:rPr>
        <w:rFonts w:ascii="Verdana" w:hAnsi="Verdana"/>
        <w:b/>
        <w:bCs/>
        <w:i/>
        <w:iCs/>
        <w:color w:val="43C7F4" w:themeColor="accent1"/>
      </w:rPr>
      <w:t xml:space="preserve">Your </w:t>
    </w:r>
    <w:r w:rsidRPr="009A314F">
      <w:rPr>
        <w:rStyle w:val="Letterhead2Char"/>
        <w:rFonts w:ascii="Verdana" w:hAnsi="Verdana"/>
      </w:rPr>
      <w:t>consumer</w:t>
    </w:r>
    <w:r w:rsidRPr="009A314F">
      <w:rPr>
        <w:rFonts w:ascii="Verdana" w:hAnsi="Verdana"/>
        <w:b/>
        <w:bCs/>
        <w:i/>
        <w:iCs/>
        <w:color w:val="43C7F4" w:themeColor="accent1"/>
      </w:rPr>
      <w:t xml:space="preserve"> voice on phones and internet</w:t>
    </w:r>
    <w:r w:rsidRPr="009A314F">
      <w:rPr>
        <w:rFonts w:ascii="Verdana" w:hAnsi="Verdana"/>
        <w:noProof/>
      </w:rPr>
      <mc:AlternateContent>
        <mc:Choice Requires="wps">
          <w:drawing>
            <wp:anchor distT="0" distB="0" distL="114300" distR="114300" simplePos="0" relativeHeight="251658241" behindDoc="1" locked="0" layoutInCell="1" allowOverlap="1" wp14:anchorId="37FE08B0" wp14:editId="27A014BE">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F0D2A7"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7223"/>
    <w:multiLevelType w:val="hybridMultilevel"/>
    <w:tmpl w:val="D33411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8C77E7"/>
    <w:multiLevelType w:val="hybridMultilevel"/>
    <w:tmpl w:val="3C98E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CC6C58"/>
    <w:multiLevelType w:val="hybridMultilevel"/>
    <w:tmpl w:val="5CA82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FD1FFF"/>
    <w:multiLevelType w:val="hybridMultilevel"/>
    <w:tmpl w:val="8728A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A76D2C"/>
    <w:multiLevelType w:val="hybridMultilevel"/>
    <w:tmpl w:val="ECFE5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6" w15:restartNumberingAfterBreak="0">
    <w:nsid w:val="337C5FB2"/>
    <w:multiLevelType w:val="multilevel"/>
    <w:tmpl w:val="6AFEEB4C"/>
    <w:numStyleLink w:val="Bullets"/>
  </w:abstractNum>
  <w:abstractNum w:abstractNumId="7" w15:restartNumberingAfterBreak="0">
    <w:nsid w:val="34BC57AE"/>
    <w:multiLevelType w:val="hybridMultilevel"/>
    <w:tmpl w:val="103C35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5F41370"/>
    <w:multiLevelType w:val="multilevel"/>
    <w:tmpl w:val="05CEFB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9" w15:restartNumberingAfterBreak="0">
    <w:nsid w:val="3A784907"/>
    <w:multiLevelType w:val="hybridMultilevel"/>
    <w:tmpl w:val="BDFCECF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E857923"/>
    <w:multiLevelType w:val="multilevel"/>
    <w:tmpl w:val="989E8E90"/>
    <w:styleLink w:val="Appendices"/>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EBB2B10"/>
    <w:multiLevelType w:val="hybridMultilevel"/>
    <w:tmpl w:val="A4F87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963F9D"/>
    <w:multiLevelType w:val="hybridMultilevel"/>
    <w:tmpl w:val="36967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AF7CBA"/>
    <w:multiLevelType w:val="hybridMultilevel"/>
    <w:tmpl w:val="7548C5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A467144"/>
    <w:multiLevelType w:val="multilevel"/>
    <w:tmpl w:val="3FD07300"/>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688F7F0B"/>
    <w:multiLevelType w:val="hybridMultilevel"/>
    <w:tmpl w:val="60783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CAA0FE4"/>
    <w:multiLevelType w:val="multilevel"/>
    <w:tmpl w:val="E2F45A98"/>
    <w:styleLink w:val="Blockquotebullets"/>
    <w:lvl w:ilvl="0">
      <w:start w:val="1"/>
      <w:numFmt w:val="bullet"/>
      <w:lvlText w:val=""/>
      <w:lvlJc w:val="left"/>
      <w:pPr>
        <w:ind w:left="1701" w:hanging="283"/>
      </w:pPr>
      <w:rPr>
        <w:rFonts w:ascii="Symbol" w:hAnsi="Symbol"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77FF45ED"/>
    <w:multiLevelType w:val="multilevel"/>
    <w:tmpl w:val="A7920A6E"/>
    <w:styleLink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num w:numId="1" w16cid:durableId="1572037082">
    <w:abstractNumId w:val="17"/>
  </w:num>
  <w:num w:numId="2" w16cid:durableId="432474946">
    <w:abstractNumId w:val="5"/>
  </w:num>
  <w:num w:numId="3" w16cid:durableId="1224683495">
    <w:abstractNumId w:val="6"/>
  </w:num>
  <w:num w:numId="4" w16cid:durableId="1132165798">
    <w:abstractNumId w:val="10"/>
  </w:num>
  <w:num w:numId="5" w16cid:durableId="1171020225">
    <w:abstractNumId w:val="14"/>
  </w:num>
  <w:num w:numId="6" w16cid:durableId="671227">
    <w:abstractNumId w:val="16"/>
  </w:num>
  <w:num w:numId="7" w16cid:durableId="1993439199">
    <w:abstractNumId w:val="8"/>
    <w:lvlOverride w:ilvl="0">
      <w:lvl w:ilvl="0">
        <w:start w:val="1"/>
        <w:numFmt w:val="decimal"/>
        <w:pStyle w:val="Recommendation"/>
        <w:lvlText w:val="Recommendation %1:"/>
        <w:lvlJc w:val="left"/>
        <w:pPr>
          <w:ind w:left="851" w:firstLine="0"/>
        </w:pPr>
        <w:rPr>
          <w:rFonts w:hint="default"/>
          <w:b/>
          <w:bCs/>
        </w:rPr>
      </w:lvl>
    </w:lvlOverride>
  </w:num>
  <w:num w:numId="8" w16cid:durableId="1867600657">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9" w16cid:durableId="313729236">
    <w:abstractNumId w:val="15"/>
  </w:num>
  <w:num w:numId="10" w16cid:durableId="1509759729">
    <w:abstractNumId w:val="2"/>
  </w:num>
  <w:num w:numId="11" w16cid:durableId="1072309346">
    <w:abstractNumId w:val="9"/>
  </w:num>
  <w:num w:numId="12" w16cid:durableId="810364806">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3" w16cid:durableId="1844663340">
    <w:abstractNumId w:val="8"/>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14" w16cid:durableId="2090424979">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5" w16cid:durableId="2141916877">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6" w16cid:durableId="2119565755">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7" w16cid:durableId="1090809510">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8" w16cid:durableId="1912232019">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9" w16cid:durableId="774058698">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0" w16cid:durableId="1158770200">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1" w16cid:durableId="381249190">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2" w16cid:durableId="1140656652">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3" w16cid:durableId="1002853049">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4" w16cid:durableId="1469009992">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5" w16cid:durableId="1148788633">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6" w16cid:durableId="2112387065">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7" w16cid:durableId="492186319">
    <w:abstractNumId w:val="8"/>
    <w:lvlOverride w:ilvl="0">
      <w:lvl w:ilvl="0">
        <w:start w:val="1"/>
        <w:numFmt w:val="decimal"/>
        <w:pStyle w:val="Recommendation"/>
        <w:lvlText w:val="Recommendation %1:"/>
        <w:lvlJc w:val="left"/>
        <w:pPr>
          <w:ind w:left="851" w:firstLine="0"/>
        </w:pPr>
        <w:rPr>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8" w16cid:durableId="991526398">
    <w:abstractNumId w:val="8"/>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9" w16cid:durableId="2010330835">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0" w16cid:durableId="589044174">
    <w:abstractNumId w:val="8"/>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31" w16cid:durableId="302128450">
    <w:abstractNumId w:val="11"/>
  </w:num>
  <w:num w:numId="32" w16cid:durableId="1972053215">
    <w:abstractNumId w:val="4"/>
  </w:num>
  <w:num w:numId="33" w16cid:durableId="1064526838">
    <w:abstractNumId w:val="3"/>
  </w:num>
  <w:num w:numId="34" w16cid:durableId="1947886134">
    <w:abstractNumId w:val="0"/>
  </w:num>
  <w:num w:numId="35" w16cid:durableId="120610898">
    <w:abstractNumId w:val="1"/>
  </w:num>
  <w:num w:numId="36" w16cid:durableId="553658593">
    <w:abstractNumId w:val="8"/>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37" w16cid:durableId="1020861271">
    <w:abstractNumId w:val="7"/>
  </w:num>
  <w:num w:numId="38" w16cid:durableId="1413510214">
    <w:abstractNumId w:val="13"/>
  </w:num>
  <w:num w:numId="39" w16cid:durableId="1299068545">
    <w:abstractNumId w:val="12"/>
  </w:num>
  <w:num w:numId="40" w16cid:durableId="1205630065">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D57"/>
    <w:rsid w:val="00001455"/>
    <w:rsid w:val="00002592"/>
    <w:rsid w:val="00002A84"/>
    <w:rsid w:val="000039D9"/>
    <w:rsid w:val="00006849"/>
    <w:rsid w:val="00006C00"/>
    <w:rsid w:val="00006C67"/>
    <w:rsid w:val="000130E1"/>
    <w:rsid w:val="00014E08"/>
    <w:rsid w:val="00015024"/>
    <w:rsid w:val="000156D6"/>
    <w:rsid w:val="0001751C"/>
    <w:rsid w:val="00017C59"/>
    <w:rsid w:val="00017FF5"/>
    <w:rsid w:val="00020140"/>
    <w:rsid w:val="0002144A"/>
    <w:rsid w:val="0002178D"/>
    <w:rsid w:val="00021EEE"/>
    <w:rsid w:val="00022392"/>
    <w:rsid w:val="00022D35"/>
    <w:rsid w:val="00023BBD"/>
    <w:rsid w:val="00024E5A"/>
    <w:rsid w:val="00025032"/>
    <w:rsid w:val="00025FC3"/>
    <w:rsid w:val="00031DE1"/>
    <w:rsid w:val="00032441"/>
    <w:rsid w:val="000330B4"/>
    <w:rsid w:val="00034122"/>
    <w:rsid w:val="000341DA"/>
    <w:rsid w:val="000345B4"/>
    <w:rsid w:val="000359EE"/>
    <w:rsid w:val="00036072"/>
    <w:rsid w:val="000362DE"/>
    <w:rsid w:val="00040073"/>
    <w:rsid w:val="00041B14"/>
    <w:rsid w:val="00044434"/>
    <w:rsid w:val="00047413"/>
    <w:rsid w:val="00051D19"/>
    <w:rsid w:val="00051FB9"/>
    <w:rsid w:val="00052737"/>
    <w:rsid w:val="00052D56"/>
    <w:rsid w:val="000530BA"/>
    <w:rsid w:val="000547D7"/>
    <w:rsid w:val="0005648F"/>
    <w:rsid w:val="00056D71"/>
    <w:rsid w:val="000576D9"/>
    <w:rsid w:val="00057A92"/>
    <w:rsid w:val="00061D64"/>
    <w:rsid w:val="00062A46"/>
    <w:rsid w:val="00063DD0"/>
    <w:rsid w:val="00066C39"/>
    <w:rsid w:val="00066CD4"/>
    <w:rsid w:val="000709A8"/>
    <w:rsid w:val="00071F03"/>
    <w:rsid w:val="00072C5D"/>
    <w:rsid w:val="00074521"/>
    <w:rsid w:val="000748FE"/>
    <w:rsid w:val="00075C32"/>
    <w:rsid w:val="00077240"/>
    <w:rsid w:val="000772CD"/>
    <w:rsid w:val="0008068C"/>
    <w:rsid w:val="000840C2"/>
    <w:rsid w:val="00084F8C"/>
    <w:rsid w:val="00086136"/>
    <w:rsid w:val="00086378"/>
    <w:rsid w:val="00087D62"/>
    <w:rsid w:val="00087E6E"/>
    <w:rsid w:val="00090606"/>
    <w:rsid w:val="0009245D"/>
    <w:rsid w:val="00093C14"/>
    <w:rsid w:val="00097934"/>
    <w:rsid w:val="000A0DE3"/>
    <w:rsid w:val="000A2B2D"/>
    <w:rsid w:val="000A2BF2"/>
    <w:rsid w:val="000A31E3"/>
    <w:rsid w:val="000A3806"/>
    <w:rsid w:val="000A3FBC"/>
    <w:rsid w:val="000A41A1"/>
    <w:rsid w:val="000A4520"/>
    <w:rsid w:val="000A55EE"/>
    <w:rsid w:val="000B11EF"/>
    <w:rsid w:val="000B1BDE"/>
    <w:rsid w:val="000B2023"/>
    <w:rsid w:val="000B2C45"/>
    <w:rsid w:val="000B61B3"/>
    <w:rsid w:val="000B6956"/>
    <w:rsid w:val="000B69B4"/>
    <w:rsid w:val="000B7682"/>
    <w:rsid w:val="000C16D8"/>
    <w:rsid w:val="000C231C"/>
    <w:rsid w:val="000C463F"/>
    <w:rsid w:val="000C5922"/>
    <w:rsid w:val="000C5BAA"/>
    <w:rsid w:val="000C7431"/>
    <w:rsid w:val="000D0D3C"/>
    <w:rsid w:val="000D17E4"/>
    <w:rsid w:val="000D18A2"/>
    <w:rsid w:val="000D3021"/>
    <w:rsid w:val="000D3F85"/>
    <w:rsid w:val="000D5171"/>
    <w:rsid w:val="000D622D"/>
    <w:rsid w:val="000D6C9F"/>
    <w:rsid w:val="000D6F2E"/>
    <w:rsid w:val="000D7882"/>
    <w:rsid w:val="000D79B9"/>
    <w:rsid w:val="000E0A5E"/>
    <w:rsid w:val="000E1593"/>
    <w:rsid w:val="000E2A17"/>
    <w:rsid w:val="000E5CAE"/>
    <w:rsid w:val="000E624D"/>
    <w:rsid w:val="000E63D2"/>
    <w:rsid w:val="000F0991"/>
    <w:rsid w:val="000F198D"/>
    <w:rsid w:val="000F21D4"/>
    <w:rsid w:val="000F2E9B"/>
    <w:rsid w:val="000F382F"/>
    <w:rsid w:val="000F3856"/>
    <w:rsid w:val="000F764C"/>
    <w:rsid w:val="00100DB7"/>
    <w:rsid w:val="001024F1"/>
    <w:rsid w:val="00103999"/>
    <w:rsid w:val="00103DAC"/>
    <w:rsid w:val="00104DAD"/>
    <w:rsid w:val="00106AEC"/>
    <w:rsid w:val="00110959"/>
    <w:rsid w:val="00111F02"/>
    <w:rsid w:val="00113465"/>
    <w:rsid w:val="00113AE0"/>
    <w:rsid w:val="001146A1"/>
    <w:rsid w:val="001208E7"/>
    <w:rsid w:val="00120B2C"/>
    <w:rsid w:val="001217E2"/>
    <w:rsid w:val="001217FD"/>
    <w:rsid w:val="00121D47"/>
    <w:rsid w:val="00122DD1"/>
    <w:rsid w:val="00124373"/>
    <w:rsid w:val="00124B04"/>
    <w:rsid w:val="00125060"/>
    <w:rsid w:val="0012556A"/>
    <w:rsid w:val="00126183"/>
    <w:rsid w:val="0012636E"/>
    <w:rsid w:val="0012663D"/>
    <w:rsid w:val="001270D6"/>
    <w:rsid w:val="001275E7"/>
    <w:rsid w:val="001305FD"/>
    <w:rsid w:val="00130E70"/>
    <w:rsid w:val="00131AA8"/>
    <w:rsid w:val="00132365"/>
    <w:rsid w:val="00134BAC"/>
    <w:rsid w:val="00135C01"/>
    <w:rsid w:val="00136D16"/>
    <w:rsid w:val="00136E66"/>
    <w:rsid w:val="00137C51"/>
    <w:rsid w:val="0014449D"/>
    <w:rsid w:val="00145394"/>
    <w:rsid w:val="00150873"/>
    <w:rsid w:val="001514F8"/>
    <w:rsid w:val="0015159F"/>
    <w:rsid w:val="001519AE"/>
    <w:rsid w:val="00151EAB"/>
    <w:rsid w:val="001531E7"/>
    <w:rsid w:val="001537A7"/>
    <w:rsid w:val="00155902"/>
    <w:rsid w:val="0015758F"/>
    <w:rsid w:val="001579C0"/>
    <w:rsid w:val="001605C9"/>
    <w:rsid w:val="001608A7"/>
    <w:rsid w:val="00160E56"/>
    <w:rsid w:val="00161B2B"/>
    <w:rsid w:val="001623E5"/>
    <w:rsid w:val="00162724"/>
    <w:rsid w:val="00163200"/>
    <w:rsid w:val="00163B56"/>
    <w:rsid w:val="00164E46"/>
    <w:rsid w:val="00167714"/>
    <w:rsid w:val="0017083D"/>
    <w:rsid w:val="00171821"/>
    <w:rsid w:val="00171E8F"/>
    <w:rsid w:val="001730E0"/>
    <w:rsid w:val="0017456B"/>
    <w:rsid w:val="001754ED"/>
    <w:rsid w:val="001766A1"/>
    <w:rsid w:val="001828D8"/>
    <w:rsid w:val="0018416B"/>
    <w:rsid w:val="00185442"/>
    <w:rsid w:val="001922F0"/>
    <w:rsid w:val="0019340F"/>
    <w:rsid w:val="00193DB9"/>
    <w:rsid w:val="0019461C"/>
    <w:rsid w:val="0019567C"/>
    <w:rsid w:val="00196FE2"/>
    <w:rsid w:val="001A0171"/>
    <w:rsid w:val="001A0660"/>
    <w:rsid w:val="001A2736"/>
    <w:rsid w:val="001A2BA5"/>
    <w:rsid w:val="001A3380"/>
    <w:rsid w:val="001A5738"/>
    <w:rsid w:val="001A60E4"/>
    <w:rsid w:val="001A772D"/>
    <w:rsid w:val="001B0DED"/>
    <w:rsid w:val="001B1A61"/>
    <w:rsid w:val="001B1EC0"/>
    <w:rsid w:val="001B2A2A"/>
    <w:rsid w:val="001B4F92"/>
    <w:rsid w:val="001B55B3"/>
    <w:rsid w:val="001B5856"/>
    <w:rsid w:val="001B5FB2"/>
    <w:rsid w:val="001B63DD"/>
    <w:rsid w:val="001B6438"/>
    <w:rsid w:val="001C40D8"/>
    <w:rsid w:val="001C4264"/>
    <w:rsid w:val="001C5B99"/>
    <w:rsid w:val="001C672F"/>
    <w:rsid w:val="001D0071"/>
    <w:rsid w:val="001D2405"/>
    <w:rsid w:val="001D4FF2"/>
    <w:rsid w:val="001D569F"/>
    <w:rsid w:val="001D5C22"/>
    <w:rsid w:val="001D6F9E"/>
    <w:rsid w:val="001D7A1B"/>
    <w:rsid w:val="001E1AE7"/>
    <w:rsid w:val="001E2E74"/>
    <w:rsid w:val="001E3CC3"/>
    <w:rsid w:val="001E4308"/>
    <w:rsid w:val="001E51D3"/>
    <w:rsid w:val="001E5F8C"/>
    <w:rsid w:val="001E63AD"/>
    <w:rsid w:val="001E7889"/>
    <w:rsid w:val="001F013B"/>
    <w:rsid w:val="001F1A52"/>
    <w:rsid w:val="001F3911"/>
    <w:rsid w:val="001F40F5"/>
    <w:rsid w:val="001F4D71"/>
    <w:rsid w:val="001F557F"/>
    <w:rsid w:val="001F59D4"/>
    <w:rsid w:val="001F6319"/>
    <w:rsid w:val="001F7374"/>
    <w:rsid w:val="001F77F6"/>
    <w:rsid w:val="00200982"/>
    <w:rsid w:val="00204FC1"/>
    <w:rsid w:val="00207611"/>
    <w:rsid w:val="00207BED"/>
    <w:rsid w:val="00207EC8"/>
    <w:rsid w:val="00210989"/>
    <w:rsid w:val="00211174"/>
    <w:rsid w:val="002118F3"/>
    <w:rsid w:val="00211B92"/>
    <w:rsid w:val="002140FC"/>
    <w:rsid w:val="0021413E"/>
    <w:rsid w:val="00215060"/>
    <w:rsid w:val="0021558D"/>
    <w:rsid w:val="00215D55"/>
    <w:rsid w:val="00224CF6"/>
    <w:rsid w:val="00226503"/>
    <w:rsid w:val="002320DC"/>
    <w:rsid w:val="0023499C"/>
    <w:rsid w:val="00235C17"/>
    <w:rsid w:val="0023641B"/>
    <w:rsid w:val="002366E4"/>
    <w:rsid w:val="002417EF"/>
    <w:rsid w:val="002420BA"/>
    <w:rsid w:val="002446C4"/>
    <w:rsid w:val="00244FE0"/>
    <w:rsid w:val="00245265"/>
    <w:rsid w:val="00245C97"/>
    <w:rsid w:val="00247356"/>
    <w:rsid w:val="00247810"/>
    <w:rsid w:val="00247D67"/>
    <w:rsid w:val="00250687"/>
    <w:rsid w:val="00251782"/>
    <w:rsid w:val="00252148"/>
    <w:rsid w:val="00252D51"/>
    <w:rsid w:val="00254E08"/>
    <w:rsid w:val="002558B4"/>
    <w:rsid w:val="00255A95"/>
    <w:rsid w:val="002567BC"/>
    <w:rsid w:val="0026030A"/>
    <w:rsid w:val="00260397"/>
    <w:rsid w:val="00261BA9"/>
    <w:rsid w:val="0026420E"/>
    <w:rsid w:val="0026652F"/>
    <w:rsid w:val="0027168A"/>
    <w:rsid w:val="002718A5"/>
    <w:rsid w:val="00272512"/>
    <w:rsid w:val="00274126"/>
    <w:rsid w:val="002741CE"/>
    <w:rsid w:val="00274E04"/>
    <w:rsid w:val="002767A3"/>
    <w:rsid w:val="00276F66"/>
    <w:rsid w:val="00277BA3"/>
    <w:rsid w:val="002801B4"/>
    <w:rsid w:val="00280451"/>
    <w:rsid w:val="00281129"/>
    <w:rsid w:val="00281259"/>
    <w:rsid w:val="00281CE2"/>
    <w:rsid w:val="00281FF9"/>
    <w:rsid w:val="00284F88"/>
    <w:rsid w:val="002865CD"/>
    <w:rsid w:val="0029132D"/>
    <w:rsid w:val="002932BE"/>
    <w:rsid w:val="00293E90"/>
    <w:rsid w:val="0029594B"/>
    <w:rsid w:val="00296FA3"/>
    <w:rsid w:val="002A1728"/>
    <w:rsid w:val="002A19B5"/>
    <w:rsid w:val="002A1A6F"/>
    <w:rsid w:val="002A2133"/>
    <w:rsid w:val="002A24BD"/>
    <w:rsid w:val="002A6483"/>
    <w:rsid w:val="002A7397"/>
    <w:rsid w:val="002B061E"/>
    <w:rsid w:val="002B0920"/>
    <w:rsid w:val="002B429F"/>
    <w:rsid w:val="002C14E4"/>
    <w:rsid w:val="002C21D2"/>
    <w:rsid w:val="002C30D3"/>
    <w:rsid w:val="002C3130"/>
    <w:rsid w:val="002C403A"/>
    <w:rsid w:val="002C58B8"/>
    <w:rsid w:val="002C7F9B"/>
    <w:rsid w:val="002D004C"/>
    <w:rsid w:val="002D0309"/>
    <w:rsid w:val="002D0E21"/>
    <w:rsid w:val="002D1707"/>
    <w:rsid w:val="002D18C5"/>
    <w:rsid w:val="002D374C"/>
    <w:rsid w:val="002D7ACE"/>
    <w:rsid w:val="002E225B"/>
    <w:rsid w:val="002E5AFB"/>
    <w:rsid w:val="002F1EFA"/>
    <w:rsid w:val="002F292E"/>
    <w:rsid w:val="002F2ADF"/>
    <w:rsid w:val="002F3858"/>
    <w:rsid w:val="002F48F3"/>
    <w:rsid w:val="002F6719"/>
    <w:rsid w:val="00301A71"/>
    <w:rsid w:val="00301D3A"/>
    <w:rsid w:val="003025AF"/>
    <w:rsid w:val="00302D3C"/>
    <w:rsid w:val="00303124"/>
    <w:rsid w:val="003065DD"/>
    <w:rsid w:val="00310CBD"/>
    <w:rsid w:val="003134D9"/>
    <w:rsid w:val="00313B52"/>
    <w:rsid w:val="003144A6"/>
    <w:rsid w:val="0031654A"/>
    <w:rsid w:val="00317274"/>
    <w:rsid w:val="00317E1B"/>
    <w:rsid w:val="0032136A"/>
    <w:rsid w:val="00325FD7"/>
    <w:rsid w:val="00326D69"/>
    <w:rsid w:val="00326F72"/>
    <w:rsid w:val="003336B2"/>
    <w:rsid w:val="00334983"/>
    <w:rsid w:val="003367F5"/>
    <w:rsid w:val="00336BC3"/>
    <w:rsid w:val="00336F1E"/>
    <w:rsid w:val="003403FD"/>
    <w:rsid w:val="00340770"/>
    <w:rsid w:val="003437B0"/>
    <w:rsid w:val="00343CDD"/>
    <w:rsid w:val="003444A4"/>
    <w:rsid w:val="00345569"/>
    <w:rsid w:val="003456BA"/>
    <w:rsid w:val="00351C15"/>
    <w:rsid w:val="003521C8"/>
    <w:rsid w:val="003532F3"/>
    <w:rsid w:val="00353C9D"/>
    <w:rsid w:val="003573DB"/>
    <w:rsid w:val="00360559"/>
    <w:rsid w:val="00360987"/>
    <w:rsid w:val="00361DA1"/>
    <w:rsid w:val="00364A72"/>
    <w:rsid w:val="00365851"/>
    <w:rsid w:val="003663B7"/>
    <w:rsid w:val="003667B4"/>
    <w:rsid w:val="003707FB"/>
    <w:rsid w:val="00370BF8"/>
    <w:rsid w:val="0037173E"/>
    <w:rsid w:val="00372E04"/>
    <w:rsid w:val="00372F65"/>
    <w:rsid w:val="003742A1"/>
    <w:rsid w:val="003753FF"/>
    <w:rsid w:val="00381C48"/>
    <w:rsid w:val="00383369"/>
    <w:rsid w:val="00386C98"/>
    <w:rsid w:val="0039369B"/>
    <w:rsid w:val="0039416E"/>
    <w:rsid w:val="003943D2"/>
    <w:rsid w:val="003A0471"/>
    <w:rsid w:val="003A0FC6"/>
    <w:rsid w:val="003A11DE"/>
    <w:rsid w:val="003A1743"/>
    <w:rsid w:val="003A2485"/>
    <w:rsid w:val="003A504A"/>
    <w:rsid w:val="003A7F86"/>
    <w:rsid w:val="003B0198"/>
    <w:rsid w:val="003B0596"/>
    <w:rsid w:val="003B20C1"/>
    <w:rsid w:val="003B4F26"/>
    <w:rsid w:val="003B4F60"/>
    <w:rsid w:val="003C02E2"/>
    <w:rsid w:val="003C1118"/>
    <w:rsid w:val="003C1885"/>
    <w:rsid w:val="003C3084"/>
    <w:rsid w:val="003C3558"/>
    <w:rsid w:val="003C3577"/>
    <w:rsid w:val="003C40BE"/>
    <w:rsid w:val="003C6711"/>
    <w:rsid w:val="003D23F3"/>
    <w:rsid w:val="003D441F"/>
    <w:rsid w:val="003D5727"/>
    <w:rsid w:val="003D62B0"/>
    <w:rsid w:val="003D69F9"/>
    <w:rsid w:val="003D7C36"/>
    <w:rsid w:val="003D7DCC"/>
    <w:rsid w:val="003E2DAA"/>
    <w:rsid w:val="003E3D2C"/>
    <w:rsid w:val="003E57DE"/>
    <w:rsid w:val="003E72FD"/>
    <w:rsid w:val="003F0FC3"/>
    <w:rsid w:val="003F1595"/>
    <w:rsid w:val="003F209D"/>
    <w:rsid w:val="003F3FBD"/>
    <w:rsid w:val="003F74E3"/>
    <w:rsid w:val="0040164E"/>
    <w:rsid w:val="00401B9B"/>
    <w:rsid w:val="00401C2C"/>
    <w:rsid w:val="0040204B"/>
    <w:rsid w:val="00403105"/>
    <w:rsid w:val="004031B0"/>
    <w:rsid w:val="00403C7A"/>
    <w:rsid w:val="0040456B"/>
    <w:rsid w:val="00404CFF"/>
    <w:rsid w:val="00405151"/>
    <w:rsid w:val="0040544A"/>
    <w:rsid w:val="0040553A"/>
    <w:rsid w:val="004112F5"/>
    <w:rsid w:val="0041173D"/>
    <w:rsid w:val="0041204E"/>
    <w:rsid w:val="00417C1C"/>
    <w:rsid w:val="004203E8"/>
    <w:rsid w:val="004205D1"/>
    <w:rsid w:val="00426616"/>
    <w:rsid w:val="00426E45"/>
    <w:rsid w:val="00431DB3"/>
    <w:rsid w:val="0043310D"/>
    <w:rsid w:val="00434911"/>
    <w:rsid w:val="00434C0C"/>
    <w:rsid w:val="0043529B"/>
    <w:rsid w:val="004405D5"/>
    <w:rsid w:val="00441073"/>
    <w:rsid w:val="004410B4"/>
    <w:rsid w:val="004418B8"/>
    <w:rsid w:val="004431B1"/>
    <w:rsid w:val="00443D19"/>
    <w:rsid w:val="004459D2"/>
    <w:rsid w:val="00445BB7"/>
    <w:rsid w:val="00445D76"/>
    <w:rsid w:val="00450546"/>
    <w:rsid w:val="00451585"/>
    <w:rsid w:val="004523A4"/>
    <w:rsid w:val="004523C3"/>
    <w:rsid w:val="00452453"/>
    <w:rsid w:val="004528C4"/>
    <w:rsid w:val="00453DC0"/>
    <w:rsid w:val="00455428"/>
    <w:rsid w:val="00456C63"/>
    <w:rsid w:val="00456C80"/>
    <w:rsid w:val="004572B8"/>
    <w:rsid w:val="00457A53"/>
    <w:rsid w:val="00460AB8"/>
    <w:rsid w:val="00461876"/>
    <w:rsid w:val="00461AA6"/>
    <w:rsid w:val="004652AC"/>
    <w:rsid w:val="00465B57"/>
    <w:rsid w:val="00470338"/>
    <w:rsid w:val="0047056A"/>
    <w:rsid w:val="00470B4F"/>
    <w:rsid w:val="00472A35"/>
    <w:rsid w:val="00473726"/>
    <w:rsid w:val="0048163E"/>
    <w:rsid w:val="00483B86"/>
    <w:rsid w:val="00483FA3"/>
    <w:rsid w:val="00484120"/>
    <w:rsid w:val="00487E7D"/>
    <w:rsid w:val="00487EC4"/>
    <w:rsid w:val="00491F05"/>
    <w:rsid w:val="00492DA2"/>
    <w:rsid w:val="00493666"/>
    <w:rsid w:val="004936A4"/>
    <w:rsid w:val="00493B0E"/>
    <w:rsid w:val="0049502E"/>
    <w:rsid w:val="00497F47"/>
    <w:rsid w:val="004A3908"/>
    <w:rsid w:val="004A4B15"/>
    <w:rsid w:val="004A5421"/>
    <w:rsid w:val="004A59D4"/>
    <w:rsid w:val="004A5E82"/>
    <w:rsid w:val="004A631E"/>
    <w:rsid w:val="004A6815"/>
    <w:rsid w:val="004A6866"/>
    <w:rsid w:val="004A6F23"/>
    <w:rsid w:val="004B0BBF"/>
    <w:rsid w:val="004B2773"/>
    <w:rsid w:val="004B53B1"/>
    <w:rsid w:val="004B66AF"/>
    <w:rsid w:val="004B6989"/>
    <w:rsid w:val="004B7A5E"/>
    <w:rsid w:val="004C04CB"/>
    <w:rsid w:val="004C0941"/>
    <w:rsid w:val="004C09B2"/>
    <w:rsid w:val="004C144D"/>
    <w:rsid w:val="004C175A"/>
    <w:rsid w:val="004C49E2"/>
    <w:rsid w:val="004C4B4E"/>
    <w:rsid w:val="004C4CCD"/>
    <w:rsid w:val="004C6001"/>
    <w:rsid w:val="004C644B"/>
    <w:rsid w:val="004D01B3"/>
    <w:rsid w:val="004D1DF3"/>
    <w:rsid w:val="004D1EC9"/>
    <w:rsid w:val="004D34AA"/>
    <w:rsid w:val="004D39C5"/>
    <w:rsid w:val="004D4D1C"/>
    <w:rsid w:val="004D4D32"/>
    <w:rsid w:val="004D4D8A"/>
    <w:rsid w:val="004D671E"/>
    <w:rsid w:val="004E144C"/>
    <w:rsid w:val="004E2FD7"/>
    <w:rsid w:val="004E5143"/>
    <w:rsid w:val="004E54E8"/>
    <w:rsid w:val="004E6BB2"/>
    <w:rsid w:val="004F0512"/>
    <w:rsid w:val="004F16E4"/>
    <w:rsid w:val="004F4BCB"/>
    <w:rsid w:val="004F4D8D"/>
    <w:rsid w:val="004F4E15"/>
    <w:rsid w:val="004F53E8"/>
    <w:rsid w:val="004F5EA9"/>
    <w:rsid w:val="004F62C5"/>
    <w:rsid w:val="004F757D"/>
    <w:rsid w:val="00500BAB"/>
    <w:rsid w:val="00500C39"/>
    <w:rsid w:val="0050401D"/>
    <w:rsid w:val="00507159"/>
    <w:rsid w:val="00510D4B"/>
    <w:rsid w:val="00511326"/>
    <w:rsid w:val="00511465"/>
    <w:rsid w:val="0051223B"/>
    <w:rsid w:val="0051227E"/>
    <w:rsid w:val="00512C16"/>
    <w:rsid w:val="0051315D"/>
    <w:rsid w:val="00517035"/>
    <w:rsid w:val="005172A4"/>
    <w:rsid w:val="005207E9"/>
    <w:rsid w:val="00520D99"/>
    <w:rsid w:val="00523A77"/>
    <w:rsid w:val="00527EE6"/>
    <w:rsid w:val="005309F9"/>
    <w:rsid w:val="00531161"/>
    <w:rsid w:val="00531230"/>
    <w:rsid w:val="00531BE1"/>
    <w:rsid w:val="00533CCD"/>
    <w:rsid w:val="00536415"/>
    <w:rsid w:val="005401FE"/>
    <w:rsid w:val="00540A91"/>
    <w:rsid w:val="005415AD"/>
    <w:rsid w:val="00542492"/>
    <w:rsid w:val="005424F9"/>
    <w:rsid w:val="005428CD"/>
    <w:rsid w:val="00543324"/>
    <w:rsid w:val="00544CE4"/>
    <w:rsid w:val="00545109"/>
    <w:rsid w:val="0054584B"/>
    <w:rsid w:val="00545CB4"/>
    <w:rsid w:val="0055201B"/>
    <w:rsid w:val="00552B60"/>
    <w:rsid w:val="005537B6"/>
    <w:rsid w:val="00554E89"/>
    <w:rsid w:val="005559F4"/>
    <w:rsid w:val="00557D9A"/>
    <w:rsid w:val="00557E99"/>
    <w:rsid w:val="0056134B"/>
    <w:rsid w:val="005623FF"/>
    <w:rsid w:val="005643A3"/>
    <w:rsid w:val="00565E28"/>
    <w:rsid w:val="00566B11"/>
    <w:rsid w:val="00566EB6"/>
    <w:rsid w:val="00567464"/>
    <w:rsid w:val="00571665"/>
    <w:rsid w:val="00571A94"/>
    <w:rsid w:val="00574AFF"/>
    <w:rsid w:val="00576D4A"/>
    <w:rsid w:val="005770BF"/>
    <w:rsid w:val="005774E5"/>
    <w:rsid w:val="0058019C"/>
    <w:rsid w:val="00580EFF"/>
    <w:rsid w:val="00587E39"/>
    <w:rsid w:val="00593AF7"/>
    <w:rsid w:val="005946B9"/>
    <w:rsid w:val="005948E8"/>
    <w:rsid w:val="00594C44"/>
    <w:rsid w:val="005A23CC"/>
    <w:rsid w:val="005A2642"/>
    <w:rsid w:val="005A5745"/>
    <w:rsid w:val="005A5E86"/>
    <w:rsid w:val="005A6986"/>
    <w:rsid w:val="005A72F1"/>
    <w:rsid w:val="005A74A9"/>
    <w:rsid w:val="005A7E55"/>
    <w:rsid w:val="005B091B"/>
    <w:rsid w:val="005B0A64"/>
    <w:rsid w:val="005B3823"/>
    <w:rsid w:val="005B3D95"/>
    <w:rsid w:val="005B7A51"/>
    <w:rsid w:val="005B7B2B"/>
    <w:rsid w:val="005C25C1"/>
    <w:rsid w:val="005C3340"/>
    <w:rsid w:val="005C33DB"/>
    <w:rsid w:val="005C44CB"/>
    <w:rsid w:val="005C6417"/>
    <w:rsid w:val="005C6875"/>
    <w:rsid w:val="005D0532"/>
    <w:rsid w:val="005D0E29"/>
    <w:rsid w:val="005D3A52"/>
    <w:rsid w:val="005D5F31"/>
    <w:rsid w:val="005E0929"/>
    <w:rsid w:val="005E1D01"/>
    <w:rsid w:val="005E2537"/>
    <w:rsid w:val="005E57B7"/>
    <w:rsid w:val="005E66B2"/>
    <w:rsid w:val="005F0663"/>
    <w:rsid w:val="005F42E2"/>
    <w:rsid w:val="005F7467"/>
    <w:rsid w:val="005F7AF4"/>
    <w:rsid w:val="005F7DF4"/>
    <w:rsid w:val="00600C39"/>
    <w:rsid w:val="0060129D"/>
    <w:rsid w:val="00603334"/>
    <w:rsid w:val="00604233"/>
    <w:rsid w:val="006059A8"/>
    <w:rsid w:val="0060609A"/>
    <w:rsid w:val="006066E0"/>
    <w:rsid w:val="006104FE"/>
    <w:rsid w:val="00610888"/>
    <w:rsid w:val="006116A6"/>
    <w:rsid w:val="00612473"/>
    <w:rsid w:val="00612652"/>
    <w:rsid w:val="00612A73"/>
    <w:rsid w:val="00614129"/>
    <w:rsid w:val="0061685B"/>
    <w:rsid w:val="00616D29"/>
    <w:rsid w:val="00616D2F"/>
    <w:rsid w:val="00622BA8"/>
    <w:rsid w:val="0062563B"/>
    <w:rsid w:val="00626BB2"/>
    <w:rsid w:val="0062761A"/>
    <w:rsid w:val="00632978"/>
    <w:rsid w:val="00632ED3"/>
    <w:rsid w:val="006331D4"/>
    <w:rsid w:val="0063541B"/>
    <w:rsid w:val="00636CB2"/>
    <w:rsid w:val="0063714D"/>
    <w:rsid w:val="00637267"/>
    <w:rsid w:val="006375D5"/>
    <w:rsid w:val="0064170A"/>
    <w:rsid w:val="006417CE"/>
    <w:rsid w:val="006422C6"/>
    <w:rsid w:val="0064428D"/>
    <w:rsid w:val="0064568C"/>
    <w:rsid w:val="00646957"/>
    <w:rsid w:val="006501BE"/>
    <w:rsid w:val="006505C6"/>
    <w:rsid w:val="0065393B"/>
    <w:rsid w:val="006545DD"/>
    <w:rsid w:val="00654DC5"/>
    <w:rsid w:val="006552AD"/>
    <w:rsid w:val="00655941"/>
    <w:rsid w:val="00657EAA"/>
    <w:rsid w:val="00657F7C"/>
    <w:rsid w:val="006608AE"/>
    <w:rsid w:val="00662263"/>
    <w:rsid w:val="006628BD"/>
    <w:rsid w:val="00665366"/>
    <w:rsid w:val="0066651C"/>
    <w:rsid w:val="00666B48"/>
    <w:rsid w:val="00667345"/>
    <w:rsid w:val="006674B3"/>
    <w:rsid w:val="0066764F"/>
    <w:rsid w:val="006702C9"/>
    <w:rsid w:val="006714A9"/>
    <w:rsid w:val="00671DFD"/>
    <w:rsid w:val="00672066"/>
    <w:rsid w:val="00672B90"/>
    <w:rsid w:val="006747FE"/>
    <w:rsid w:val="00676ECD"/>
    <w:rsid w:val="0068322A"/>
    <w:rsid w:val="00684876"/>
    <w:rsid w:val="00685102"/>
    <w:rsid w:val="0068607D"/>
    <w:rsid w:val="006860F1"/>
    <w:rsid w:val="00691F58"/>
    <w:rsid w:val="00692275"/>
    <w:rsid w:val="00693CC5"/>
    <w:rsid w:val="0069548A"/>
    <w:rsid w:val="006964C7"/>
    <w:rsid w:val="00696D38"/>
    <w:rsid w:val="0069798D"/>
    <w:rsid w:val="006A0D3D"/>
    <w:rsid w:val="006A1876"/>
    <w:rsid w:val="006A1E4D"/>
    <w:rsid w:val="006A1F0A"/>
    <w:rsid w:val="006A2265"/>
    <w:rsid w:val="006A30FD"/>
    <w:rsid w:val="006A46CD"/>
    <w:rsid w:val="006A4B35"/>
    <w:rsid w:val="006A4D2B"/>
    <w:rsid w:val="006A5C89"/>
    <w:rsid w:val="006A64C5"/>
    <w:rsid w:val="006A7027"/>
    <w:rsid w:val="006B1AE9"/>
    <w:rsid w:val="006B1AEB"/>
    <w:rsid w:val="006B1CBA"/>
    <w:rsid w:val="006B514F"/>
    <w:rsid w:val="006B6387"/>
    <w:rsid w:val="006B71D6"/>
    <w:rsid w:val="006B7377"/>
    <w:rsid w:val="006C0196"/>
    <w:rsid w:val="006C0815"/>
    <w:rsid w:val="006C2547"/>
    <w:rsid w:val="006C4BE3"/>
    <w:rsid w:val="006C5BBE"/>
    <w:rsid w:val="006C74DF"/>
    <w:rsid w:val="006D5F32"/>
    <w:rsid w:val="006D6A6A"/>
    <w:rsid w:val="006D6F63"/>
    <w:rsid w:val="006D75E8"/>
    <w:rsid w:val="006E0712"/>
    <w:rsid w:val="006E08E3"/>
    <w:rsid w:val="006E191F"/>
    <w:rsid w:val="006E1BC9"/>
    <w:rsid w:val="006E22D5"/>
    <w:rsid w:val="006E23C6"/>
    <w:rsid w:val="006E2DE3"/>
    <w:rsid w:val="006E5C2B"/>
    <w:rsid w:val="006F2221"/>
    <w:rsid w:val="006F26D3"/>
    <w:rsid w:val="006F27D4"/>
    <w:rsid w:val="006F37AB"/>
    <w:rsid w:val="006F6156"/>
    <w:rsid w:val="006F712E"/>
    <w:rsid w:val="00702153"/>
    <w:rsid w:val="007039D9"/>
    <w:rsid w:val="00704288"/>
    <w:rsid w:val="00705139"/>
    <w:rsid w:val="007122C9"/>
    <w:rsid w:val="0071236E"/>
    <w:rsid w:val="00714300"/>
    <w:rsid w:val="0071501B"/>
    <w:rsid w:val="007170D3"/>
    <w:rsid w:val="00717B54"/>
    <w:rsid w:val="00717E2E"/>
    <w:rsid w:val="00720AE7"/>
    <w:rsid w:val="0072184D"/>
    <w:rsid w:val="00727AC1"/>
    <w:rsid w:val="007318C0"/>
    <w:rsid w:val="00735194"/>
    <w:rsid w:val="00735EB8"/>
    <w:rsid w:val="00736FBA"/>
    <w:rsid w:val="00740C71"/>
    <w:rsid w:val="00741E8F"/>
    <w:rsid w:val="00743E4F"/>
    <w:rsid w:val="0074488D"/>
    <w:rsid w:val="0074570E"/>
    <w:rsid w:val="0074602B"/>
    <w:rsid w:val="00746385"/>
    <w:rsid w:val="00753C18"/>
    <w:rsid w:val="00756D28"/>
    <w:rsid w:val="00756F51"/>
    <w:rsid w:val="007613E7"/>
    <w:rsid w:val="007654F2"/>
    <w:rsid w:val="0076578C"/>
    <w:rsid w:val="0076606E"/>
    <w:rsid w:val="007665E0"/>
    <w:rsid w:val="00767A6C"/>
    <w:rsid w:val="00767F5D"/>
    <w:rsid w:val="00771AA7"/>
    <w:rsid w:val="00771E8A"/>
    <w:rsid w:val="00773DEE"/>
    <w:rsid w:val="00774248"/>
    <w:rsid w:val="00774BCF"/>
    <w:rsid w:val="00774BD0"/>
    <w:rsid w:val="00775B87"/>
    <w:rsid w:val="00775D10"/>
    <w:rsid w:val="007766CF"/>
    <w:rsid w:val="0078296B"/>
    <w:rsid w:val="0078393C"/>
    <w:rsid w:val="00783EB8"/>
    <w:rsid w:val="00785A4C"/>
    <w:rsid w:val="007879CC"/>
    <w:rsid w:val="00787CB5"/>
    <w:rsid w:val="007908C5"/>
    <w:rsid w:val="007908C9"/>
    <w:rsid w:val="00792D73"/>
    <w:rsid w:val="00793530"/>
    <w:rsid w:val="00793D27"/>
    <w:rsid w:val="007944BC"/>
    <w:rsid w:val="007A009C"/>
    <w:rsid w:val="007A061F"/>
    <w:rsid w:val="007A1766"/>
    <w:rsid w:val="007A1BEB"/>
    <w:rsid w:val="007A1C9E"/>
    <w:rsid w:val="007A2591"/>
    <w:rsid w:val="007A32A1"/>
    <w:rsid w:val="007A4571"/>
    <w:rsid w:val="007A4B52"/>
    <w:rsid w:val="007A5D36"/>
    <w:rsid w:val="007A68A1"/>
    <w:rsid w:val="007A77F8"/>
    <w:rsid w:val="007B1E9D"/>
    <w:rsid w:val="007B33BA"/>
    <w:rsid w:val="007B3B7B"/>
    <w:rsid w:val="007B538B"/>
    <w:rsid w:val="007B66E2"/>
    <w:rsid w:val="007C0B67"/>
    <w:rsid w:val="007C0F83"/>
    <w:rsid w:val="007C1AE7"/>
    <w:rsid w:val="007C1BB5"/>
    <w:rsid w:val="007C4901"/>
    <w:rsid w:val="007C6C91"/>
    <w:rsid w:val="007C7B9D"/>
    <w:rsid w:val="007C7E27"/>
    <w:rsid w:val="007D0749"/>
    <w:rsid w:val="007D16B8"/>
    <w:rsid w:val="007D2D6C"/>
    <w:rsid w:val="007D4463"/>
    <w:rsid w:val="007D4CC8"/>
    <w:rsid w:val="007D5DEF"/>
    <w:rsid w:val="007D608B"/>
    <w:rsid w:val="007D63F6"/>
    <w:rsid w:val="007E015B"/>
    <w:rsid w:val="007E0D57"/>
    <w:rsid w:val="007E0E9D"/>
    <w:rsid w:val="007E1925"/>
    <w:rsid w:val="007E24B6"/>
    <w:rsid w:val="007E35A7"/>
    <w:rsid w:val="007E4A9C"/>
    <w:rsid w:val="007E52CD"/>
    <w:rsid w:val="007E56E3"/>
    <w:rsid w:val="007E63FD"/>
    <w:rsid w:val="007E6942"/>
    <w:rsid w:val="007F0723"/>
    <w:rsid w:val="007F2DE0"/>
    <w:rsid w:val="007F4E7A"/>
    <w:rsid w:val="00802234"/>
    <w:rsid w:val="008028B5"/>
    <w:rsid w:val="0080352B"/>
    <w:rsid w:val="008052C7"/>
    <w:rsid w:val="0080752B"/>
    <w:rsid w:val="008100E9"/>
    <w:rsid w:val="008101F0"/>
    <w:rsid w:val="00810E6A"/>
    <w:rsid w:val="00811213"/>
    <w:rsid w:val="0081223F"/>
    <w:rsid w:val="00812754"/>
    <w:rsid w:val="00812C91"/>
    <w:rsid w:val="00814BC9"/>
    <w:rsid w:val="0081707B"/>
    <w:rsid w:val="00820631"/>
    <w:rsid w:val="00820B24"/>
    <w:rsid w:val="008227D4"/>
    <w:rsid w:val="00824D07"/>
    <w:rsid w:val="008264FA"/>
    <w:rsid w:val="00826E14"/>
    <w:rsid w:val="008303C1"/>
    <w:rsid w:val="008303F2"/>
    <w:rsid w:val="008306E6"/>
    <w:rsid w:val="00831404"/>
    <w:rsid w:val="00832250"/>
    <w:rsid w:val="00832E35"/>
    <w:rsid w:val="00833ECB"/>
    <w:rsid w:val="00834584"/>
    <w:rsid w:val="00834A8D"/>
    <w:rsid w:val="008353F6"/>
    <w:rsid w:val="00835D8D"/>
    <w:rsid w:val="00836216"/>
    <w:rsid w:val="008375E6"/>
    <w:rsid w:val="00837FA3"/>
    <w:rsid w:val="00840080"/>
    <w:rsid w:val="00840BDC"/>
    <w:rsid w:val="00841C1A"/>
    <w:rsid w:val="008514E2"/>
    <w:rsid w:val="00851529"/>
    <w:rsid w:val="008515B6"/>
    <w:rsid w:val="00851682"/>
    <w:rsid w:val="00852CAC"/>
    <w:rsid w:val="00853438"/>
    <w:rsid w:val="00853DCF"/>
    <w:rsid w:val="008547DB"/>
    <w:rsid w:val="00855F03"/>
    <w:rsid w:val="00856867"/>
    <w:rsid w:val="00856F7D"/>
    <w:rsid w:val="00857E8C"/>
    <w:rsid w:val="00861923"/>
    <w:rsid w:val="0086232B"/>
    <w:rsid w:val="00862505"/>
    <w:rsid w:val="00862C0A"/>
    <w:rsid w:val="008633A2"/>
    <w:rsid w:val="008633C1"/>
    <w:rsid w:val="0086493C"/>
    <w:rsid w:val="00864B23"/>
    <w:rsid w:val="00865249"/>
    <w:rsid w:val="0086638F"/>
    <w:rsid w:val="008665D6"/>
    <w:rsid w:val="008667DF"/>
    <w:rsid w:val="00867840"/>
    <w:rsid w:val="00874291"/>
    <w:rsid w:val="00874C05"/>
    <w:rsid w:val="00876875"/>
    <w:rsid w:val="00876AD1"/>
    <w:rsid w:val="00876ED7"/>
    <w:rsid w:val="00877DE4"/>
    <w:rsid w:val="00880915"/>
    <w:rsid w:val="0088179A"/>
    <w:rsid w:val="008822D6"/>
    <w:rsid w:val="00882492"/>
    <w:rsid w:val="00882A26"/>
    <w:rsid w:val="00883249"/>
    <w:rsid w:val="00883444"/>
    <w:rsid w:val="0088458A"/>
    <w:rsid w:val="00884979"/>
    <w:rsid w:val="0088685C"/>
    <w:rsid w:val="00886998"/>
    <w:rsid w:val="00886F38"/>
    <w:rsid w:val="0088720C"/>
    <w:rsid w:val="00887395"/>
    <w:rsid w:val="00890C40"/>
    <w:rsid w:val="00890F30"/>
    <w:rsid w:val="008912FE"/>
    <w:rsid w:val="008952EF"/>
    <w:rsid w:val="00896D78"/>
    <w:rsid w:val="00897497"/>
    <w:rsid w:val="0089767D"/>
    <w:rsid w:val="008A0B80"/>
    <w:rsid w:val="008A2443"/>
    <w:rsid w:val="008A32D2"/>
    <w:rsid w:val="008A7DB4"/>
    <w:rsid w:val="008B0D8F"/>
    <w:rsid w:val="008B11E4"/>
    <w:rsid w:val="008B18F2"/>
    <w:rsid w:val="008B1C8C"/>
    <w:rsid w:val="008B2703"/>
    <w:rsid w:val="008B2E47"/>
    <w:rsid w:val="008B6761"/>
    <w:rsid w:val="008B687F"/>
    <w:rsid w:val="008B6A77"/>
    <w:rsid w:val="008B6F24"/>
    <w:rsid w:val="008D0C92"/>
    <w:rsid w:val="008D1CCE"/>
    <w:rsid w:val="008D28EA"/>
    <w:rsid w:val="008D3059"/>
    <w:rsid w:val="008D3281"/>
    <w:rsid w:val="008D3323"/>
    <w:rsid w:val="008D392C"/>
    <w:rsid w:val="008D4538"/>
    <w:rsid w:val="008D6210"/>
    <w:rsid w:val="008D6A3D"/>
    <w:rsid w:val="008E1EBD"/>
    <w:rsid w:val="008E5AA2"/>
    <w:rsid w:val="008E6279"/>
    <w:rsid w:val="008E77D0"/>
    <w:rsid w:val="008F05C4"/>
    <w:rsid w:val="008F13EC"/>
    <w:rsid w:val="008F1BCC"/>
    <w:rsid w:val="008F24B6"/>
    <w:rsid w:val="008F5219"/>
    <w:rsid w:val="008F5252"/>
    <w:rsid w:val="008F56F4"/>
    <w:rsid w:val="008F5831"/>
    <w:rsid w:val="008F5C97"/>
    <w:rsid w:val="008F7808"/>
    <w:rsid w:val="008F78DC"/>
    <w:rsid w:val="009010D2"/>
    <w:rsid w:val="00901845"/>
    <w:rsid w:val="00902659"/>
    <w:rsid w:val="00905305"/>
    <w:rsid w:val="009107B6"/>
    <w:rsid w:val="00912373"/>
    <w:rsid w:val="00912DC5"/>
    <w:rsid w:val="00916AA4"/>
    <w:rsid w:val="00916BAD"/>
    <w:rsid w:val="00921CCF"/>
    <w:rsid w:val="009235EF"/>
    <w:rsid w:val="00923CA6"/>
    <w:rsid w:val="00923CC1"/>
    <w:rsid w:val="00924089"/>
    <w:rsid w:val="009249BD"/>
    <w:rsid w:val="00924B0E"/>
    <w:rsid w:val="00924C5F"/>
    <w:rsid w:val="009311E3"/>
    <w:rsid w:val="0093282D"/>
    <w:rsid w:val="0093361E"/>
    <w:rsid w:val="0093372D"/>
    <w:rsid w:val="00934A2E"/>
    <w:rsid w:val="00934D3C"/>
    <w:rsid w:val="00936A05"/>
    <w:rsid w:val="00940C92"/>
    <w:rsid w:val="00940CD7"/>
    <w:rsid w:val="00944218"/>
    <w:rsid w:val="009458D5"/>
    <w:rsid w:val="00947F30"/>
    <w:rsid w:val="009518F7"/>
    <w:rsid w:val="00951DFC"/>
    <w:rsid w:val="00952FAD"/>
    <w:rsid w:val="00953026"/>
    <w:rsid w:val="00953837"/>
    <w:rsid w:val="00953E57"/>
    <w:rsid w:val="00955677"/>
    <w:rsid w:val="00957A90"/>
    <w:rsid w:val="0096083B"/>
    <w:rsid w:val="00962372"/>
    <w:rsid w:val="00962D2E"/>
    <w:rsid w:val="00963209"/>
    <w:rsid w:val="00964685"/>
    <w:rsid w:val="00965E24"/>
    <w:rsid w:val="0096714F"/>
    <w:rsid w:val="00970429"/>
    <w:rsid w:val="009762A1"/>
    <w:rsid w:val="00976CF0"/>
    <w:rsid w:val="009774D0"/>
    <w:rsid w:val="00977753"/>
    <w:rsid w:val="009819B7"/>
    <w:rsid w:val="00981F06"/>
    <w:rsid w:val="00981F3D"/>
    <w:rsid w:val="009835FB"/>
    <w:rsid w:val="00983D15"/>
    <w:rsid w:val="00985CFE"/>
    <w:rsid w:val="00991452"/>
    <w:rsid w:val="0099331F"/>
    <w:rsid w:val="00995B6D"/>
    <w:rsid w:val="00997D9E"/>
    <w:rsid w:val="009A314F"/>
    <w:rsid w:val="009A466E"/>
    <w:rsid w:val="009A54BB"/>
    <w:rsid w:val="009A6F9D"/>
    <w:rsid w:val="009A7891"/>
    <w:rsid w:val="009B0CD4"/>
    <w:rsid w:val="009B2B83"/>
    <w:rsid w:val="009B4403"/>
    <w:rsid w:val="009B4C71"/>
    <w:rsid w:val="009B7197"/>
    <w:rsid w:val="009C0537"/>
    <w:rsid w:val="009C094B"/>
    <w:rsid w:val="009C0A9E"/>
    <w:rsid w:val="009C0C6D"/>
    <w:rsid w:val="009C2455"/>
    <w:rsid w:val="009C385D"/>
    <w:rsid w:val="009C3F77"/>
    <w:rsid w:val="009C6CCE"/>
    <w:rsid w:val="009D1647"/>
    <w:rsid w:val="009D1AE9"/>
    <w:rsid w:val="009D1FC6"/>
    <w:rsid w:val="009D2747"/>
    <w:rsid w:val="009D3283"/>
    <w:rsid w:val="009D3634"/>
    <w:rsid w:val="009D76F3"/>
    <w:rsid w:val="009E0B4C"/>
    <w:rsid w:val="009E22EE"/>
    <w:rsid w:val="009E2F5F"/>
    <w:rsid w:val="009E4B8F"/>
    <w:rsid w:val="009F111A"/>
    <w:rsid w:val="009F396B"/>
    <w:rsid w:val="009F4086"/>
    <w:rsid w:val="009F4F86"/>
    <w:rsid w:val="009F524B"/>
    <w:rsid w:val="009F5E7B"/>
    <w:rsid w:val="00A0060F"/>
    <w:rsid w:val="00A03103"/>
    <w:rsid w:val="00A03B0E"/>
    <w:rsid w:val="00A04187"/>
    <w:rsid w:val="00A04393"/>
    <w:rsid w:val="00A04CDF"/>
    <w:rsid w:val="00A0796F"/>
    <w:rsid w:val="00A10851"/>
    <w:rsid w:val="00A10C55"/>
    <w:rsid w:val="00A13212"/>
    <w:rsid w:val="00A13884"/>
    <w:rsid w:val="00A14237"/>
    <w:rsid w:val="00A14A36"/>
    <w:rsid w:val="00A14B10"/>
    <w:rsid w:val="00A166FF"/>
    <w:rsid w:val="00A2058A"/>
    <w:rsid w:val="00A25492"/>
    <w:rsid w:val="00A268B1"/>
    <w:rsid w:val="00A278B5"/>
    <w:rsid w:val="00A30BF5"/>
    <w:rsid w:val="00A323BF"/>
    <w:rsid w:val="00A32945"/>
    <w:rsid w:val="00A33D37"/>
    <w:rsid w:val="00A369C3"/>
    <w:rsid w:val="00A36CF4"/>
    <w:rsid w:val="00A375F8"/>
    <w:rsid w:val="00A376FC"/>
    <w:rsid w:val="00A40340"/>
    <w:rsid w:val="00A4056F"/>
    <w:rsid w:val="00A42142"/>
    <w:rsid w:val="00A43B71"/>
    <w:rsid w:val="00A43E3D"/>
    <w:rsid w:val="00A43F3C"/>
    <w:rsid w:val="00A506AA"/>
    <w:rsid w:val="00A53835"/>
    <w:rsid w:val="00A564A7"/>
    <w:rsid w:val="00A62150"/>
    <w:rsid w:val="00A62CEC"/>
    <w:rsid w:val="00A62E89"/>
    <w:rsid w:val="00A63027"/>
    <w:rsid w:val="00A63DF9"/>
    <w:rsid w:val="00A64D8D"/>
    <w:rsid w:val="00A6554D"/>
    <w:rsid w:val="00A67DEF"/>
    <w:rsid w:val="00A73092"/>
    <w:rsid w:val="00A7334C"/>
    <w:rsid w:val="00A73C9E"/>
    <w:rsid w:val="00A745D5"/>
    <w:rsid w:val="00A753EA"/>
    <w:rsid w:val="00A75493"/>
    <w:rsid w:val="00A761CF"/>
    <w:rsid w:val="00A8050C"/>
    <w:rsid w:val="00A8069C"/>
    <w:rsid w:val="00A8138B"/>
    <w:rsid w:val="00A816AC"/>
    <w:rsid w:val="00A83589"/>
    <w:rsid w:val="00A84FCB"/>
    <w:rsid w:val="00A8659F"/>
    <w:rsid w:val="00A86969"/>
    <w:rsid w:val="00A875E8"/>
    <w:rsid w:val="00A87FCF"/>
    <w:rsid w:val="00A91F46"/>
    <w:rsid w:val="00A9316A"/>
    <w:rsid w:val="00A94DE6"/>
    <w:rsid w:val="00A95CC8"/>
    <w:rsid w:val="00A95E91"/>
    <w:rsid w:val="00A97440"/>
    <w:rsid w:val="00AA1622"/>
    <w:rsid w:val="00AA2000"/>
    <w:rsid w:val="00AA3067"/>
    <w:rsid w:val="00AA321A"/>
    <w:rsid w:val="00AA7049"/>
    <w:rsid w:val="00AA778F"/>
    <w:rsid w:val="00AA7A8D"/>
    <w:rsid w:val="00AB0507"/>
    <w:rsid w:val="00AB21DE"/>
    <w:rsid w:val="00AB2331"/>
    <w:rsid w:val="00AB2EB2"/>
    <w:rsid w:val="00AB3977"/>
    <w:rsid w:val="00AB3E03"/>
    <w:rsid w:val="00AB4466"/>
    <w:rsid w:val="00AB6A8B"/>
    <w:rsid w:val="00AC018F"/>
    <w:rsid w:val="00AC1C2D"/>
    <w:rsid w:val="00AC4994"/>
    <w:rsid w:val="00AC601E"/>
    <w:rsid w:val="00AC633D"/>
    <w:rsid w:val="00AC7448"/>
    <w:rsid w:val="00AD1349"/>
    <w:rsid w:val="00AD2DC0"/>
    <w:rsid w:val="00AD3EFC"/>
    <w:rsid w:val="00AD4DA4"/>
    <w:rsid w:val="00AD689B"/>
    <w:rsid w:val="00AD7546"/>
    <w:rsid w:val="00AE02B9"/>
    <w:rsid w:val="00AE24A6"/>
    <w:rsid w:val="00AE3A9B"/>
    <w:rsid w:val="00AE466D"/>
    <w:rsid w:val="00AE4F32"/>
    <w:rsid w:val="00AE6859"/>
    <w:rsid w:val="00AE71E1"/>
    <w:rsid w:val="00AE75D5"/>
    <w:rsid w:val="00AE76CB"/>
    <w:rsid w:val="00AF0B6D"/>
    <w:rsid w:val="00AF12F0"/>
    <w:rsid w:val="00AF1854"/>
    <w:rsid w:val="00AF24BE"/>
    <w:rsid w:val="00AF2E24"/>
    <w:rsid w:val="00AF49BE"/>
    <w:rsid w:val="00AF53F1"/>
    <w:rsid w:val="00AF675C"/>
    <w:rsid w:val="00AF7D48"/>
    <w:rsid w:val="00B003CF"/>
    <w:rsid w:val="00B00E0D"/>
    <w:rsid w:val="00B01EF1"/>
    <w:rsid w:val="00B03442"/>
    <w:rsid w:val="00B042CB"/>
    <w:rsid w:val="00B04EBB"/>
    <w:rsid w:val="00B05CAC"/>
    <w:rsid w:val="00B0759E"/>
    <w:rsid w:val="00B11940"/>
    <w:rsid w:val="00B12734"/>
    <w:rsid w:val="00B1483D"/>
    <w:rsid w:val="00B17BFA"/>
    <w:rsid w:val="00B203DE"/>
    <w:rsid w:val="00B20561"/>
    <w:rsid w:val="00B2146E"/>
    <w:rsid w:val="00B215D1"/>
    <w:rsid w:val="00B21FC8"/>
    <w:rsid w:val="00B22BCB"/>
    <w:rsid w:val="00B2547C"/>
    <w:rsid w:val="00B26A11"/>
    <w:rsid w:val="00B30C5E"/>
    <w:rsid w:val="00B30CC2"/>
    <w:rsid w:val="00B30ECC"/>
    <w:rsid w:val="00B31ABF"/>
    <w:rsid w:val="00B3271C"/>
    <w:rsid w:val="00B3330E"/>
    <w:rsid w:val="00B33720"/>
    <w:rsid w:val="00B356F6"/>
    <w:rsid w:val="00B35B5B"/>
    <w:rsid w:val="00B419BC"/>
    <w:rsid w:val="00B41CA8"/>
    <w:rsid w:val="00B4329B"/>
    <w:rsid w:val="00B45BE3"/>
    <w:rsid w:val="00B46C24"/>
    <w:rsid w:val="00B47285"/>
    <w:rsid w:val="00B47D72"/>
    <w:rsid w:val="00B503BF"/>
    <w:rsid w:val="00B516F8"/>
    <w:rsid w:val="00B520F1"/>
    <w:rsid w:val="00B53D72"/>
    <w:rsid w:val="00B5704D"/>
    <w:rsid w:val="00B610A5"/>
    <w:rsid w:val="00B633E6"/>
    <w:rsid w:val="00B638D6"/>
    <w:rsid w:val="00B63A76"/>
    <w:rsid w:val="00B63BFB"/>
    <w:rsid w:val="00B640FC"/>
    <w:rsid w:val="00B64A95"/>
    <w:rsid w:val="00B656D3"/>
    <w:rsid w:val="00B65ADE"/>
    <w:rsid w:val="00B664EF"/>
    <w:rsid w:val="00B66B8C"/>
    <w:rsid w:val="00B67B32"/>
    <w:rsid w:val="00B7001B"/>
    <w:rsid w:val="00B70D87"/>
    <w:rsid w:val="00B73665"/>
    <w:rsid w:val="00B73A2F"/>
    <w:rsid w:val="00B73C34"/>
    <w:rsid w:val="00B73EF4"/>
    <w:rsid w:val="00B742DA"/>
    <w:rsid w:val="00B756A9"/>
    <w:rsid w:val="00B76659"/>
    <w:rsid w:val="00B7737A"/>
    <w:rsid w:val="00B773F7"/>
    <w:rsid w:val="00B777AA"/>
    <w:rsid w:val="00B81824"/>
    <w:rsid w:val="00B828ED"/>
    <w:rsid w:val="00B8292F"/>
    <w:rsid w:val="00B82D4F"/>
    <w:rsid w:val="00B84A76"/>
    <w:rsid w:val="00B8557A"/>
    <w:rsid w:val="00B86830"/>
    <w:rsid w:val="00B9041F"/>
    <w:rsid w:val="00B9178F"/>
    <w:rsid w:val="00B91FBC"/>
    <w:rsid w:val="00B92CB2"/>
    <w:rsid w:val="00B9341A"/>
    <w:rsid w:val="00B93782"/>
    <w:rsid w:val="00B9490F"/>
    <w:rsid w:val="00B97128"/>
    <w:rsid w:val="00BA0F42"/>
    <w:rsid w:val="00BA31B0"/>
    <w:rsid w:val="00BA35C0"/>
    <w:rsid w:val="00BA3B14"/>
    <w:rsid w:val="00BA7DA2"/>
    <w:rsid w:val="00BB1641"/>
    <w:rsid w:val="00BB2A36"/>
    <w:rsid w:val="00BB326D"/>
    <w:rsid w:val="00BB3535"/>
    <w:rsid w:val="00BB3EC8"/>
    <w:rsid w:val="00BB4F3E"/>
    <w:rsid w:val="00BB552E"/>
    <w:rsid w:val="00BB5684"/>
    <w:rsid w:val="00BB753F"/>
    <w:rsid w:val="00BB7650"/>
    <w:rsid w:val="00BB7AF2"/>
    <w:rsid w:val="00BC1E7F"/>
    <w:rsid w:val="00BC253D"/>
    <w:rsid w:val="00BC2CB6"/>
    <w:rsid w:val="00BC38F7"/>
    <w:rsid w:val="00BC430C"/>
    <w:rsid w:val="00BC5BEE"/>
    <w:rsid w:val="00BC5E7A"/>
    <w:rsid w:val="00BC7A92"/>
    <w:rsid w:val="00BD15C1"/>
    <w:rsid w:val="00BD2EAB"/>
    <w:rsid w:val="00BD345F"/>
    <w:rsid w:val="00BD42C5"/>
    <w:rsid w:val="00BD4329"/>
    <w:rsid w:val="00BD6678"/>
    <w:rsid w:val="00BD71A1"/>
    <w:rsid w:val="00BE0ED3"/>
    <w:rsid w:val="00BE0F60"/>
    <w:rsid w:val="00BE109F"/>
    <w:rsid w:val="00BE1D4A"/>
    <w:rsid w:val="00BE2D70"/>
    <w:rsid w:val="00BE4682"/>
    <w:rsid w:val="00BE4AA1"/>
    <w:rsid w:val="00BE57BB"/>
    <w:rsid w:val="00BE5EF2"/>
    <w:rsid w:val="00BF1DD0"/>
    <w:rsid w:val="00BF39A8"/>
    <w:rsid w:val="00BF6213"/>
    <w:rsid w:val="00BF6D6F"/>
    <w:rsid w:val="00BF7077"/>
    <w:rsid w:val="00BF79E2"/>
    <w:rsid w:val="00C0155C"/>
    <w:rsid w:val="00C041A3"/>
    <w:rsid w:val="00C05032"/>
    <w:rsid w:val="00C05D9C"/>
    <w:rsid w:val="00C078EA"/>
    <w:rsid w:val="00C10481"/>
    <w:rsid w:val="00C11D28"/>
    <w:rsid w:val="00C1217A"/>
    <w:rsid w:val="00C12544"/>
    <w:rsid w:val="00C14CA4"/>
    <w:rsid w:val="00C14CE3"/>
    <w:rsid w:val="00C14EDF"/>
    <w:rsid w:val="00C155AF"/>
    <w:rsid w:val="00C155FA"/>
    <w:rsid w:val="00C169E4"/>
    <w:rsid w:val="00C1798D"/>
    <w:rsid w:val="00C216CB"/>
    <w:rsid w:val="00C22682"/>
    <w:rsid w:val="00C229D9"/>
    <w:rsid w:val="00C22CAE"/>
    <w:rsid w:val="00C23144"/>
    <w:rsid w:val="00C24A8E"/>
    <w:rsid w:val="00C24D98"/>
    <w:rsid w:val="00C24F4F"/>
    <w:rsid w:val="00C26EDD"/>
    <w:rsid w:val="00C306B4"/>
    <w:rsid w:val="00C30B67"/>
    <w:rsid w:val="00C31D37"/>
    <w:rsid w:val="00C33115"/>
    <w:rsid w:val="00C35C8B"/>
    <w:rsid w:val="00C403FA"/>
    <w:rsid w:val="00C41CCA"/>
    <w:rsid w:val="00C4427A"/>
    <w:rsid w:val="00C446BB"/>
    <w:rsid w:val="00C47BB2"/>
    <w:rsid w:val="00C50B11"/>
    <w:rsid w:val="00C513C2"/>
    <w:rsid w:val="00C51C1A"/>
    <w:rsid w:val="00C52CDF"/>
    <w:rsid w:val="00C53ACD"/>
    <w:rsid w:val="00C54340"/>
    <w:rsid w:val="00C55F05"/>
    <w:rsid w:val="00C609FE"/>
    <w:rsid w:val="00C61DE3"/>
    <w:rsid w:val="00C647A6"/>
    <w:rsid w:val="00C64AAC"/>
    <w:rsid w:val="00C64C9B"/>
    <w:rsid w:val="00C66147"/>
    <w:rsid w:val="00C668A5"/>
    <w:rsid w:val="00C676B2"/>
    <w:rsid w:val="00C6785C"/>
    <w:rsid w:val="00C70BD6"/>
    <w:rsid w:val="00C72A64"/>
    <w:rsid w:val="00C73ADC"/>
    <w:rsid w:val="00C7435F"/>
    <w:rsid w:val="00C74D4D"/>
    <w:rsid w:val="00C758BD"/>
    <w:rsid w:val="00C77AC7"/>
    <w:rsid w:val="00C81175"/>
    <w:rsid w:val="00C81F47"/>
    <w:rsid w:val="00C86392"/>
    <w:rsid w:val="00C906BD"/>
    <w:rsid w:val="00C907C1"/>
    <w:rsid w:val="00C90987"/>
    <w:rsid w:val="00C90A12"/>
    <w:rsid w:val="00C91069"/>
    <w:rsid w:val="00C92155"/>
    <w:rsid w:val="00C92313"/>
    <w:rsid w:val="00C923D4"/>
    <w:rsid w:val="00C934D5"/>
    <w:rsid w:val="00C9358A"/>
    <w:rsid w:val="00C94D36"/>
    <w:rsid w:val="00C965A4"/>
    <w:rsid w:val="00C967DE"/>
    <w:rsid w:val="00C9698C"/>
    <w:rsid w:val="00CA26E4"/>
    <w:rsid w:val="00CA2853"/>
    <w:rsid w:val="00CA3B38"/>
    <w:rsid w:val="00CA4583"/>
    <w:rsid w:val="00CA6773"/>
    <w:rsid w:val="00CA7B0E"/>
    <w:rsid w:val="00CB04D9"/>
    <w:rsid w:val="00CB0C3A"/>
    <w:rsid w:val="00CB1342"/>
    <w:rsid w:val="00CB1EDF"/>
    <w:rsid w:val="00CB2FCD"/>
    <w:rsid w:val="00CB529E"/>
    <w:rsid w:val="00CB6E74"/>
    <w:rsid w:val="00CB6F86"/>
    <w:rsid w:val="00CB7C02"/>
    <w:rsid w:val="00CC01BC"/>
    <w:rsid w:val="00CC0325"/>
    <w:rsid w:val="00CC0C73"/>
    <w:rsid w:val="00CC283B"/>
    <w:rsid w:val="00CC3862"/>
    <w:rsid w:val="00CC5390"/>
    <w:rsid w:val="00CC73A0"/>
    <w:rsid w:val="00CC7F94"/>
    <w:rsid w:val="00CD015B"/>
    <w:rsid w:val="00CD034D"/>
    <w:rsid w:val="00CD0D19"/>
    <w:rsid w:val="00CD1D32"/>
    <w:rsid w:val="00CD4AAE"/>
    <w:rsid w:val="00CD56D3"/>
    <w:rsid w:val="00CD6D13"/>
    <w:rsid w:val="00CE0303"/>
    <w:rsid w:val="00CE20A7"/>
    <w:rsid w:val="00CE3002"/>
    <w:rsid w:val="00CE32A1"/>
    <w:rsid w:val="00CE4EF2"/>
    <w:rsid w:val="00CE644F"/>
    <w:rsid w:val="00CE79B2"/>
    <w:rsid w:val="00CF002D"/>
    <w:rsid w:val="00CF04CF"/>
    <w:rsid w:val="00CF088E"/>
    <w:rsid w:val="00CF0E23"/>
    <w:rsid w:val="00CF1822"/>
    <w:rsid w:val="00CF6428"/>
    <w:rsid w:val="00CF6E51"/>
    <w:rsid w:val="00CF7985"/>
    <w:rsid w:val="00D0043B"/>
    <w:rsid w:val="00D01DB2"/>
    <w:rsid w:val="00D02EBC"/>
    <w:rsid w:val="00D03208"/>
    <w:rsid w:val="00D0323E"/>
    <w:rsid w:val="00D0363F"/>
    <w:rsid w:val="00D0588B"/>
    <w:rsid w:val="00D06041"/>
    <w:rsid w:val="00D07AC9"/>
    <w:rsid w:val="00D1125C"/>
    <w:rsid w:val="00D11408"/>
    <w:rsid w:val="00D128D1"/>
    <w:rsid w:val="00D13843"/>
    <w:rsid w:val="00D15B26"/>
    <w:rsid w:val="00D15F20"/>
    <w:rsid w:val="00D2295D"/>
    <w:rsid w:val="00D23195"/>
    <w:rsid w:val="00D30E5D"/>
    <w:rsid w:val="00D31906"/>
    <w:rsid w:val="00D328E5"/>
    <w:rsid w:val="00D33692"/>
    <w:rsid w:val="00D3584B"/>
    <w:rsid w:val="00D358E3"/>
    <w:rsid w:val="00D377AC"/>
    <w:rsid w:val="00D40603"/>
    <w:rsid w:val="00D4079C"/>
    <w:rsid w:val="00D418F0"/>
    <w:rsid w:val="00D449CF"/>
    <w:rsid w:val="00D46488"/>
    <w:rsid w:val="00D466ED"/>
    <w:rsid w:val="00D47436"/>
    <w:rsid w:val="00D50777"/>
    <w:rsid w:val="00D560F9"/>
    <w:rsid w:val="00D5651E"/>
    <w:rsid w:val="00D57128"/>
    <w:rsid w:val="00D611C0"/>
    <w:rsid w:val="00D61427"/>
    <w:rsid w:val="00D61F75"/>
    <w:rsid w:val="00D632FE"/>
    <w:rsid w:val="00D65181"/>
    <w:rsid w:val="00D67E24"/>
    <w:rsid w:val="00D72AD7"/>
    <w:rsid w:val="00D747CD"/>
    <w:rsid w:val="00D74943"/>
    <w:rsid w:val="00D74C9B"/>
    <w:rsid w:val="00D80B77"/>
    <w:rsid w:val="00D81165"/>
    <w:rsid w:val="00D83A64"/>
    <w:rsid w:val="00D85024"/>
    <w:rsid w:val="00D8652A"/>
    <w:rsid w:val="00D870AE"/>
    <w:rsid w:val="00D876D2"/>
    <w:rsid w:val="00D90062"/>
    <w:rsid w:val="00D90774"/>
    <w:rsid w:val="00D9136A"/>
    <w:rsid w:val="00D92D49"/>
    <w:rsid w:val="00D93A19"/>
    <w:rsid w:val="00D951B6"/>
    <w:rsid w:val="00D95B0C"/>
    <w:rsid w:val="00D96114"/>
    <w:rsid w:val="00D97344"/>
    <w:rsid w:val="00DA0352"/>
    <w:rsid w:val="00DA0D8A"/>
    <w:rsid w:val="00DA1129"/>
    <w:rsid w:val="00DA23F0"/>
    <w:rsid w:val="00DA2614"/>
    <w:rsid w:val="00DA3010"/>
    <w:rsid w:val="00DA6D45"/>
    <w:rsid w:val="00DA7FA9"/>
    <w:rsid w:val="00DB3B39"/>
    <w:rsid w:val="00DB4F7A"/>
    <w:rsid w:val="00DB7E65"/>
    <w:rsid w:val="00DC00C7"/>
    <w:rsid w:val="00DC0E05"/>
    <w:rsid w:val="00DC22B0"/>
    <w:rsid w:val="00DC27A8"/>
    <w:rsid w:val="00DC33DC"/>
    <w:rsid w:val="00DC5330"/>
    <w:rsid w:val="00DC5EDC"/>
    <w:rsid w:val="00DC775D"/>
    <w:rsid w:val="00DC7933"/>
    <w:rsid w:val="00DC7A00"/>
    <w:rsid w:val="00DD316E"/>
    <w:rsid w:val="00DD33C5"/>
    <w:rsid w:val="00DD3656"/>
    <w:rsid w:val="00DD3E93"/>
    <w:rsid w:val="00DD42F2"/>
    <w:rsid w:val="00DD4E1A"/>
    <w:rsid w:val="00DD5568"/>
    <w:rsid w:val="00DD6989"/>
    <w:rsid w:val="00DD7D2A"/>
    <w:rsid w:val="00DE1615"/>
    <w:rsid w:val="00DE3D95"/>
    <w:rsid w:val="00DE4234"/>
    <w:rsid w:val="00DE4C7C"/>
    <w:rsid w:val="00DF2903"/>
    <w:rsid w:val="00DF2A76"/>
    <w:rsid w:val="00DF30CC"/>
    <w:rsid w:val="00DF4638"/>
    <w:rsid w:val="00DF553B"/>
    <w:rsid w:val="00DF6CA7"/>
    <w:rsid w:val="00DF70EB"/>
    <w:rsid w:val="00DF7833"/>
    <w:rsid w:val="00E005ED"/>
    <w:rsid w:val="00E015DF"/>
    <w:rsid w:val="00E01D2B"/>
    <w:rsid w:val="00E022A6"/>
    <w:rsid w:val="00E02886"/>
    <w:rsid w:val="00E02B15"/>
    <w:rsid w:val="00E03C26"/>
    <w:rsid w:val="00E0457B"/>
    <w:rsid w:val="00E05439"/>
    <w:rsid w:val="00E06D7C"/>
    <w:rsid w:val="00E071C0"/>
    <w:rsid w:val="00E10DBC"/>
    <w:rsid w:val="00E1199D"/>
    <w:rsid w:val="00E12419"/>
    <w:rsid w:val="00E146A8"/>
    <w:rsid w:val="00E17DAA"/>
    <w:rsid w:val="00E217A3"/>
    <w:rsid w:val="00E21CE0"/>
    <w:rsid w:val="00E23DBB"/>
    <w:rsid w:val="00E25467"/>
    <w:rsid w:val="00E25A9C"/>
    <w:rsid w:val="00E261B9"/>
    <w:rsid w:val="00E312DB"/>
    <w:rsid w:val="00E31D87"/>
    <w:rsid w:val="00E32D59"/>
    <w:rsid w:val="00E34FAD"/>
    <w:rsid w:val="00E35BA2"/>
    <w:rsid w:val="00E36BA5"/>
    <w:rsid w:val="00E37CB4"/>
    <w:rsid w:val="00E40C2C"/>
    <w:rsid w:val="00E413C8"/>
    <w:rsid w:val="00E42CDF"/>
    <w:rsid w:val="00E43867"/>
    <w:rsid w:val="00E45B93"/>
    <w:rsid w:val="00E46C64"/>
    <w:rsid w:val="00E50048"/>
    <w:rsid w:val="00E53F99"/>
    <w:rsid w:val="00E546A4"/>
    <w:rsid w:val="00E55AF0"/>
    <w:rsid w:val="00E56259"/>
    <w:rsid w:val="00E56308"/>
    <w:rsid w:val="00E56349"/>
    <w:rsid w:val="00E56F3A"/>
    <w:rsid w:val="00E5719C"/>
    <w:rsid w:val="00E62487"/>
    <w:rsid w:val="00E627B6"/>
    <w:rsid w:val="00E6285D"/>
    <w:rsid w:val="00E62DFF"/>
    <w:rsid w:val="00E63612"/>
    <w:rsid w:val="00E65DC5"/>
    <w:rsid w:val="00E70AEE"/>
    <w:rsid w:val="00E71183"/>
    <w:rsid w:val="00E71D9B"/>
    <w:rsid w:val="00E7255A"/>
    <w:rsid w:val="00E762D0"/>
    <w:rsid w:val="00E76B32"/>
    <w:rsid w:val="00E81349"/>
    <w:rsid w:val="00E8317B"/>
    <w:rsid w:val="00E8440B"/>
    <w:rsid w:val="00E84BEE"/>
    <w:rsid w:val="00E84FF3"/>
    <w:rsid w:val="00E8566C"/>
    <w:rsid w:val="00E8765E"/>
    <w:rsid w:val="00E900D5"/>
    <w:rsid w:val="00E9075C"/>
    <w:rsid w:val="00E91ADC"/>
    <w:rsid w:val="00E91CBC"/>
    <w:rsid w:val="00E92252"/>
    <w:rsid w:val="00E93161"/>
    <w:rsid w:val="00E944A1"/>
    <w:rsid w:val="00E95BD5"/>
    <w:rsid w:val="00E95DCC"/>
    <w:rsid w:val="00E95EF3"/>
    <w:rsid w:val="00E9787B"/>
    <w:rsid w:val="00EA3214"/>
    <w:rsid w:val="00EA36BA"/>
    <w:rsid w:val="00EA3A0D"/>
    <w:rsid w:val="00EA64C0"/>
    <w:rsid w:val="00EA691A"/>
    <w:rsid w:val="00EB0736"/>
    <w:rsid w:val="00EB0B3D"/>
    <w:rsid w:val="00EB0FB9"/>
    <w:rsid w:val="00EB32C1"/>
    <w:rsid w:val="00EB344B"/>
    <w:rsid w:val="00EB44F4"/>
    <w:rsid w:val="00EB6CC2"/>
    <w:rsid w:val="00EB6D04"/>
    <w:rsid w:val="00EB7C7A"/>
    <w:rsid w:val="00EC23FE"/>
    <w:rsid w:val="00EC26CB"/>
    <w:rsid w:val="00EC34BC"/>
    <w:rsid w:val="00EC450B"/>
    <w:rsid w:val="00EC4CC7"/>
    <w:rsid w:val="00EC7219"/>
    <w:rsid w:val="00EC7AD7"/>
    <w:rsid w:val="00ED03E7"/>
    <w:rsid w:val="00ED05CA"/>
    <w:rsid w:val="00ED607C"/>
    <w:rsid w:val="00ED72E6"/>
    <w:rsid w:val="00ED7F0F"/>
    <w:rsid w:val="00EE1941"/>
    <w:rsid w:val="00EE233B"/>
    <w:rsid w:val="00EE28B1"/>
    <w:rsid w:val="00EE2AC2"/>
    <w:rsid w:val="00EE37D7"/>
    <w:rsid w:val="00EE709B"/>
    <w:rsid w:val="00EE7A5F"/>
    <w:rsid w:val="00EF0B29"/>
    <w:rsid w:val="00EF1554"/>
    <w:rsid w:val="00EF1D98"/>
    <w:rsid w:val="00EF1E11"/>
    <w:rsid w:val="00EF255F"/>
    <w:rsid w:val="00EF2B1E"/>
    <w:rsid w:val="00EF3A6D"/>
    <w:rsid w:val="00EF54D8"/>
    <w:rsid w:val="00EF57AC"/>
    <w:rsid w:val="00EF5BCF"/>
    <w:rsid w:val="00EF6F12"/>
    <w:rsid w:val="00EF7A5E"/>
    <w:rsid w:val="00EF7B2A"/>
    <w:rsid w:val="00F00795"/>
    <w:rsid w:val="00F05D5A"/>
    <w:rsid w:val="00F0681B"/>
    <w:rsid w:val="00F06869"/>
    <w:rsid w:val="00F07C3E"/>
    <w:rsid w:val="00F13CEA"/>
    <w:rsid w:val="00F155C9"/>
    <w:rsid w:val="00F16099"/>
    <w:rsid w:val="00F16D94"/>
    <w:rsid w:val="00F17485"/>
    <w:rsid w:val="00F17A6A"/>
    <w:rsid w:val="00F17BEA"/>
    <w:rsid w:val="00F20AE5"/>
    <w:rsid w:val="00F20D1C"/>
    <w:rsid w:val="00F2110A"/>
    <w:rsid w:val="00F22D09"/>
    <w:rsid w:val="00F230DD"/>
    <w:rsid w:val="00F23629"/>
    <w:rsid w:val="00F24947"/>
    <w:rsid w:val="00F25434"/>
    <w:rsid w:val="00F27564"/>
    <w:rsid w:val="00F27740"/>
    <w:rsid w:val="00F30F6D"/>
    <w:rsid w:val="00F319BF"/>
    <w:rsid w:val="00F322F0"/>
    <w:rsid w:val="00F323CA"/>
    <w:rsid w:val="00F3257F"/>
    <w:rsid w:val="00F32E57"/>
    <w:rsid w:val="00F4268F"/>
    <w:rsid w:val="00F42AEB"/>
    <w:rsid w:val="00F42FC4"/>
    <w:rsid w:val="00F43260"/>
    <w:rsid w:val="00F441BE"/>
    <w:rsid w:val="00F45BDC"/>
    <w:rsid w:val="00F47A31"/>
    <w:rsid w:val="00F508FB"/>
    <w:rsid w:val="00F51E38"/>
    <w:rsid w:val="00F52FB1"/>
    <w:rsid w:val="00F540C7"/>
    <w:rsid w:val="00F54A3E"/>
    <w:rsid w:val="00F551A5"/>
    <w:rsid w:val="00F614F4"/>
    <w:rsid w:val="00F62EFD"/>
    <w:rsid w:val="00F63872"/>
    <w:rsid w:val="00F64C59"/>
    <w:rsid w:val="00F71C7C"/>
    <w:rsid w:val="00F72F58"/>
    <w:rsid w:val="00F80474"/>
    <w:rsid w:val="00F8115B"/>
    <w:rsid w:val="00F8215B"/>
    <w:rsid w:val="00F8307D"/>
    <w:rsid w:val="00F84AEB"/>
    <w:rsid w:val="00F84BFF"/>
    <w:rsid w:val="00F84D57"/>
    <w:rsid w:val="00F868B2"/>
    <w:rsid w:val="00F86B82"/>
    <w:rsid w:val="00F9170F"/>
    <w:rsid w:val="00F9188F"/>
    <w:rsid w:val="00F91A38"/>
    <w:rsid w:val="00F93362"/>
    <w:rsid w:val="00F9507F"/>
    <w:rsid w:val="00F963A7"/>
    <w:rsid w:val="00F96A16"/>
    <w:rsid w:val="00FA17B2"/>
    <w:rsid w:val="00FA34CC"/>
    <w:rsid w:val="00FA5CF6"/>
    <w:rsid w:val="00FA686F"/>
    <w:rsid w:val="00FB0893"/>
    <w:rsid w:val="00FB2211"/>
    <w:rsid w:val="00FB3FB5"/>
    <w:rsid w:val="00FB5A5C"/>
    <w:rsid w:val="00FB61EF"/>
    <w:rsid w:val="00FB6FA8"/>
    <w:rsid w:val="00FC14F8"/>
    <w:rsid w:val="00FC255F"/>
    <w:rsid w:val="00FC2678"/>
    <w:rsid w:val="00FC501F"/>
    <w:rsid w:val="00FC6EE1"/>
    <w:rsid w:val="00FD18B2"/>
    <w:rsid w:val="00FD3AF2"/>
    <w:rsid w:val="00FD44B7"/>
    <w:rsid w:val="00FD606C"/>
    <w:rsid w:val="00FD6E27"/>
    <w:rsid w:val="00FD7D0C"/>
    <w:rsid w:val="00FE2A3B"/>
    <w:rsid w:val="00FE2BB4"/>
    <w:rsid w:val="00FE2F7F"/>
    <w:rsid w:val="00FE3CC6"/>
    <w:rsid w:val="00FE5691"/>
    <w:rsid w:val="00FE6637"/>
    <w:rsid w:val="00FF2A83"/>
    <w:rsid w:val="00FF5DD5"/>
    <w:rsid w:val="00FF688C"/>
    <w:rsid w:val="00FF7819"/>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E7C71"/>
  <w15:docId w15:val="{CA5B27D1-6445-429E-B63D-6A1E01ED9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41A"/>
    <w:rPr>
      <w:rFonts w:eastAsiaTheme="minorEastAsia"/>
      <w:lang w:eastAsia="en-AU"/>
    </w:rPr>
  </w:style>
  <w:style w:type="paragraph" w:styleId="Heading1">
    <w:name w:val="heading 1"/>
    <w:basedOn w:val="Normal"/>
    <w:next w:val="Normal"/>
    <w:link w:val="Heading1Char"/>
    <w:uiPriority w:val="9"/>
    <w:qFormat/>
    <w:rsid w:val="00E6285D"/>
    <w:pPr>
      <w:outlineLvl w:val="0"/>
    </w:pPr>
    <w:rPr>
      <w:rFonts w:cstheme="minorHAnsi"/>
      <w:sz w:val="32"/>
      <w:szCs w:val="32"/>
    </w:rPr>
  </w:style>
  <w:style w:type="paragraph" w:styleId="Heading2">
    <w:name w:val="heading 2"/>
    <w:basedOn w:val="Normal"/>
    <w:next w:val="Normal"/>
    <w:link w:val="Heading2Char"/>
    <w:unhideWhenUsed/>
    <w:qFormat/>
    <w:rsid w:val="004C4CCD"/>
    <w:pPr>
      <w:outlineLvl w:val="1"/>
    </w:pPr>
    <w:rPr>
      <w:rFonts w:cstheme="minorHAnsi"/>
      <w:sz w:val="28"/>
      <w:szCs w:val="28"/>
    </w:rPr>
  </w:style>
  <w:style w:type="paragraph" w:styleId="Heading3">
    <w:name w:val="heading 3"/>
    <w:basedOn w:val="Normal"/>
    <w:next w:val="Normal"/>
    <w:link w:val="Heading3Char"/>
    <w:unhideWhenUsed/>
    <w:qFormat/>
    <w:rsid w:val="004C4CCD"/>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Normal"/>
    <w:next w:val="Normal"/>
    <w:link w:val="Heading4Char"/>
    <w:uiPriority w:val="9"/>
    <w:unhideWhenUsed/>
    <w:qFormat/>
    <w:rsid w:val="006C0815"/>
    <w:pPr>
      <w:keepNext/>
      <w:keepLines/>
      <w:spacing w:before="100" w:beforeAutospacing="1" w:after="240" w:line="240" w:lineRule="auto"/>
      <w:outlineLvl w:val="3"/>
    </w:pPr>
    <w:rPr>
      <w:rFonts w:ascii="Calibri" w:eastAsia="MS Gothic" w:hAnsi="Calibri" w:cs="Times New Roman"/>
      <w:bCs/>
      <w:i/>
      <w:iCs/>
      <w:color w:val="086F93" w:themeColor="accent1" w:themeShade="80"/>
      <w:sz w:val="24"/>
      <w:lang w:val="en-US" w:eastAsia="en-US"/>
    </w:rPr>
  </w:style>
  <w:style w:type="paragraph" w:styleId="Heading5">
    <w:name w:val="heading 5"/>
    <w:basedOn w:val="Normal"/>
    <w:next w:val="Normal"/>
    <w:link w:val="Heading5Char"/>
    <w:uiPriority w:val="9"/>
    <w:unhideWhenUsed/>
    <w:rsid w:val="006C0815"/>
    <w:pPr>
      <w:keepNext/>
      <w:keepLines/>
      <w:spacing w:before="100" w:beforeAutospacing="1" w:after="240" w:line="240" w:lineRule="auto"/>
      <w:outlineLvl w:val="4"/>
    </w:pPr>
    <w:rPr>
      <w:rFonts w:ascii="Calibri" w:eastAsia="MS Gothic" w:hAnsi="Calibri" w:cs="Times New Roman"/>
      <w:bCs/>
      <w:i/>
      <w:iCs/>
      <w:color w:val="086F93" w:themeColor="accent1" w:themeShade="80"/>
      <w:sz w:val="24"/>
      <w:lang w:val="en-US" w:eastAsia="en-US"/>
    </w:rPr>
  </w:style>
  <w:style w:type="paragraph" w:styleId="Heading6">
    <w:name w:val="heading 6"/>
    <w:basedOn w:val="Normal"/>
    <w:next w:val="Normal"/>
    <w:link w:val="Heading6Char"/>
    <w:uiPriority w:val="9"/>
    <w:semiHidden/>
    <w:unhideWhenUsed/>
    <w:qFormat/>
    <w:rsid w:val="00B41CA8"/>
    <w:pPr>
      <w:keepNext/>
      <w:keepLines/>
      <w:spacing w:before="40" w:after="0"/>
      <w:outlineLvl w:val="5"/>
    </w:pPr>
    <w:rPr>
      <w:rFonts w:ascii="Calibri" w:eastAsia="MS Gothic" w:hAnsi="Calibri" w:cs="Times New Roman"/>
      <w:i/>
      <w:iCs/>
      <w:sz w:val="23"/>
      <w:lang w:eastAsia="en-US"/>
    </w:rPr>
  </w:style>
  <w:style w:type="paragraph" w:styleId="Heading7">
    <w:name w:val="heading 7"/>
    <w:basedOn w:val="Normal"/>
    <w:next w:val="Normal"/>
    <w:link w:val="Heading7Char"/>
    <w:uiPriority w:val="9"/>
    <w:semiHidden/>
    <w:unhideWhenUsed/>
    <w:qFormat/>
    <w:rsid w:val="00B41CA8"/>
    <w:pPr>
      <w:keepNext/>
      <w:keepLines/>
      <w:spacing w:before="40" w:after="0"/>
      <w:outlineLvl w:val="6"/>
    </w:pPr>
    <w:rPr>
      <w:rFonts w:ascii="Cambria" w:eastAsia="MS Gothic" w:hAnsi="Cambria" w:cs="Times New Roman"/>
      <w:i/>
      <w:iCs/>
      <w:color w:val="404040"/>
      <w:sz w:val="23"/>
    </w:rPr>
  </w:style>
  <w:style w:type="paragraph" w:styleId="Heading8">
    <w:name w:val="heading 8"/>
    <w:basedOn w:val="Normal"/>
    <w:next w:val="Normal"/>
    <w:link w:val="Heading8Char"/>
    <w:uiPriority w:val="9"/>
    <w:semiHidden/>
    <w:unhideWhenUsed/>
    <w:qFormat/>
    <w:rsid w:val="00B41CA8"/>
    <w:pPr>
      <w:keepNext/>
      <w:keepLines/>
      <w:spacing w:before="40" w:after="0"/>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B41CA8"/>
    <w:pPr>
      <w:keepNext/>
      <w:keepLines/>
      <w:spacing w:before="40" w:after="0"/>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s">
    <w:name w:val="Footnotes"/>
    <w:basedOn w:val="Normal"/>
    <w:link w:val="FootnotesChar"/>
    <w:qFormat/>
    <w:rsid w:val="001F59D4"/>
    <w:rPr>
      <w:sz w:val="20"/>
      <w:szCs w:val="20"/>
    </w:rPr>
  </w:style>
  <w:style w:type="character" w:customStyle="1" w:styleId="FootnotesChar">
    <w:name w:val="Footnotes Char"/>
    <w:basedOn w:val="DefaultParagraphFont"/>
    <w:link w:val="Footnotes"/>
    <w:rsid w:val="001F59D4"/>
    <w:rPr>
      <w:rFonts w:eastAsiaTheme="minorEastAsia"/>
      <w:sz w:val="20"/>
      <w:szCs w:val="20"/>
      <w:lang w:eastAsia="en-AU"/>
    </w:rPr>
  </w:style>
  <w:style w:type="character" w:styleId="Hyperlink">
    <w:name w:val="Hyperlink"/>
    <w:basedOn w:val="DefaultParagraphFont"/>
    <w:uiPriority w:val="99"/>
    <w:unhideWhenUsed/>
    <w:rsid w:val="007A5D36"/>
    <w:rPr>
      <w:color w:val="0000FF" w:themeColor="hyperlink"/>
      <w:u w:val="single"/>
    </w:rPr>
  </w:style>
  <w:style w:type="paragraph" w:styleId="Title">
    <w:name w:val="Title"/>
    <w:basedOn w:val="Normal"/>
    <w:next w:val="Normal"/>
    <w:link w:val="TitleChar"/>
    <w:rsid w:val="00C81175"/>
    <w:pPr>
      <w:outlineLvl w:val="0"/>
    </w:pPr>
    <w:rPr>
      <w:rFonts w:cstheme="minorHAnsi"/>
      <w:sz w:val="48"/>
      <w:szCs w:val="48"/>
      <w:lang w:val="en-US"/>
    </w:rPr>
  </w:style>
  <w:style w:type="paragraph" w:styleId="ListParagraph">
    <w:name w:val="List Paragraph"/>
    <w:basedOn w:val="Normal"/>
    <w:uiPriority w:val="34"/>
    <w:qFormat/>
    <w:rsid w:val="00BD42C5"/>
    <w:pPr>
      <w:ind w:left="720"/>
      <w:contextualSpacing/>
    </w:pPr>
  </w:style>
  <w:style w:type="paragraph" w:styleId="Subtitle">
    <w:name w:val="Subtitle"/>
    <w:basedOn w:val="Normal"/>
    <w:next w:val="Normal"/>
    <w:link w:val="SubtitleChar"/>
    <w:uiPriority w:val="11"/>
    <w:qFormat/>
    <w:rsid w:val="003C3084"/>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3C3084"/>
    <w:rPr>
      <w:rFonts w:asciiTheme="majorHAnsi" w:eastAsiaTheme="majorEastAsia" w:hAnsiTheme="majorHAnsi" w:cstheme="majorBidi"/>
      <w:i/>
      <w:iCs/>
      <w:color w:val="43C7F4" w:themeColor="accent1"/>
      <w:spacing w:val="15"/>
      <w:sz w:val="24"/>
      <w:szCs w:val="24"/>
      <w:lang w:eastAsia="en-AU"/>
    </w:rPr>
  </w:style>
  <w:style w:type="character" w:customStyle="1" w:styleId="Heading1Char">
    <w:name w:val="Heading 1 Char"/>
    <w:basedOn w:val="DefaultParagraphFont"/>
    <w:link w:val="Heading1"/>
    <w:uiPriority w:val="9"/>
    <w:rsid w:val="00E6285D"/>
    <w:rPr>
      <w:rFonts w:eastAsiaTheme="minorEastAsia" w:cstheme="minorHAnsi"/>
      <w:sz w:val="32"/>
      <w:szCs w:val="32"/>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7B1E9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B1E9D"/>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rsid w:val="004C4CCD"/>
    <w:rPr>
      <w:rFonts w:eastAsiaTheme="minorEastAsia" w:cstheme="minorHAnsi"/>
      <w:sz w:val="28"/>
      <w:szCs w:val="28"/>
      <w:lang w:eastAsia="en-AU"/>
    </w:rPr>
  </w:style>
  <w:style w:type="character" w:customStyle="1" w:styleId="Heading3Char">
    <w:name w:val="Heading 3 Char"/>
    <w:basedOn w:val="DefaultParagraphFont"/>
    <w:link w:val="Heading3"/>
    <w:rsid w:val="004C4CCD"/>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character" w:customStyle="1" w:styleId="TitleChar">
    <w:name w:val="Title Char"/>
    <w:basedOn w:val="DefaultParagraphFont"/>
    <w:link w:val="Title"/>
    <w:rsid w:val="00C81175"/>
    <w:rPr>
      <w:rFonts w:eastAsiaTheme="minorEastAsia" w:cstheme="minorHAnsi"/>
      <w:sz w:val="48"/>
      <w:szCs w:val="48"/>
      <w:lang w:val="en-US" w:eastAsia="en-AU"/>
    </w:r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IntenseQuote"/>
    <w:autoRedefine/>
    <w:qFormat/>
    <w:rsid w:val="00F63872"/>
    <w:pPr>
      <w:pBdr>
        <w:top w:val="single" w:sz="36" w:space="10" w:color="43C7F4" w:themeColor="accent1"/>
        <w:bottom w:val="single" w:sz="36" w:space="10" w:color="43C7F4" w:themeColor="accent1"/>
      </w:pBdr>
      <w:ind w:left="0" w:right="-46"/>
      <w:jc w:val="left"/>
    </w:pPr>
    <w:rPr>
      <w:rFonts w:ascii="Verdana" w:hAnsi="Verdana"/>
      <w:b/>
      <w:color w:val="auto"/>
      <w:sz w:val="16"/>
      <w:lang w:val="en-US"/>
      <w14:textOutline w14:w="1270" w14:cap="rnd" w14:cmpd="sng" w14:algn="ctr">
        <w14:solidFill>
          <w14:schemeClr w14:val="tx1"/>
        </w14:solidFill>
        <w14:prstDash w14:val="solid"/>
        <w14:bevel/>
      </w14:textOutline>
    </w:rPr>
  </w:style>
  <w:style w:type="paragraph" w:styleId="IntenseQuote">
    <w:name w:val="Intense Quote"/>
    <w:basedOn w:val="Normal"/>
    <w:next w:val="Normal"/>
    <w:link w:val="IntenseQuoteChar"/>
    <w:uiPriority w:val="30"/>
    <w:qFormat/>
    <w:rsid w:val="001531E7"/>
    <w:pPr>
      <w:pBdr>
        <w:top w:val="single" w:sz="4" w:space="10" w:color="43C7F4" w:themeColor="accent1"/>
        <w:bottom w:val="single" w:sz="4" w:space="10" w:color="43C7F4" w:themeColor="accent1"/>
      </w:pBdr>
      <w:spacing w:before="360" w:after="360"/>
      <w:ind w:left="864" w:right="864"/>
      <w:jc w:val="center"/>
    </w:pPr>
    <w:rPr>
      <w:i/>
      <w:iCs/>
      <w:color w:val="43C7F4" w:themeColor="accent1"/>
    </w:rPr>
  </w:style>
  <w:style w:type="character" w:customStyle="1" w:styleId="IntenseQuoteChar">
    <w:name w:val="Intense Quote Char"/>
    <w:basedOn w:val="DefaultParagraphFont"/>
    <w:link w:val="IntenseQuote"/>
    <w:uiPriority w:val="30"/>
    <w:rsid w:val="001531E7"/>
    <w:rPr>
      <w:rFonts w:eastAsiaTheme="minorEastAsia"/>
      <w:i/>
      <w:iCs/>
      <w:color w:val="43C7F4" w:themeColor="accent1"/>
      <w:lang w:eastAsia="en-AU"/>
    </w:rPr>
  </w:style>
  <w:style w:type="character" w:customStyle="1" w:styleId="Heading4Char">
    <w:name w:val="Heading 4 Char"/>
    <w:basedOn w:val="DefaultParagraphFont"/>
    <w:link w:val="Heading4"/>
    <w:uiPriority w:val="9"/>
    <w:rsid w:val="006C0815"/>
    <w:rPr>
      <w:rFonts w:ascii="Calibri" w:eastAsia="MS Gothic" w:hAnsi="Calibri" w:cs="Times New Roman"/>
      <w:bCs/>
      <w:i/>
      <w:iCs/>
      <w:color w:val="086F93" w:themeColor="accent1" w:themeShade="80"/>
      <w:sz w:val="24"/>
      <w:lang w:val="en-US"/>
    </w:rPr>
  </w:style>
  <w:style w:type="paragraph" w:customStyle="1" w:styleId="Heading71">
    <w:name w:val="Heading 71"/>
    <w:next w:val="Normal"/>
    <w:uiPriority w:val="9"/>
    <w:semiHidden/>
    <w:unhideWhenUsed/>
    <w:rsid w:val="00B41CA8"/>
    <w:pPr>
      <w:keepNext/>
      <w:keepLines/>
      <w:spacing w:before="200" w:after="0" w:line="240" w:lineRule="auto"/>
      <w:outlineLvl w:val="6"/>
    </w:pPr>
    <w:rPr>
      <w:rFonts w:ascii="Cambria" w:eastAsia="MS Gothic" w:hAnsi="Cambria" w:cs="Times New Roman"/>
      <w:i/>
      <w:iCs/>
      <w:color w:val="404040"/>
      <w:sz w:val="23"/>
      <w:lang w:eastAsia="en-AU"/>
    </w:rPr>
  </w:style>
  <w:style w:type="paragraph" w:customStyle="1" w:styleId="Heading81">
    <w:name w:val="Heading 81"/>
    <w:basedOn w:val="Normal"/>
    <w:next w:val="Normal"/>
    <w:uiPriority w:val="9"/>
    <w:semiHidden/>
    <w:unhideWhenUsed/>
    <w:qFormat/>
    <w:rsid w:val="00B41CA8"/>
    <w:pPr>
      <w:keepNext/>
      <w:keepLines/>
      <w:spacing w:before="200" w:beforeAutospacing="1" w:after="0" w:afterAutospacing="1" w:line="240" w:lineRule="auto"/>
      <w:outlineLvl w:val="7"/>
    </w:pPr>
    <w:rPr>
      <w:rFonts w:ascii="Cambria" w:eastAsia="MS Gothic" w:hAnsi="Cambria" w:cs="Times New Roman"/>
      <w:color w:val="404040"/>
      <w:sz w:val="20"/>
      <w:szCs w:val="20"/>
    </w:rPr>
  </w:style>
  <w:style w:type="paragraph" w:customStyle="1" w:styleId="Heading91">
    <w:name w:val="Heading 91"/>
    <w:basedOn w:val="Normal"/>
    <w:next w:val="Normal"/>
    <w:uiPriority w:val="9"/>
    <w:semiHidden/>
    <w:unhideWhenUsed/>
    <w:qFormat/>
    <w:rsid w:val="00B41CA8"/>
    <w:pPr>
      <w:keepNext/>
      <w:keepLines/>
      <w:spacing w:before="200" w:beforeAutospacing="1" w:after="0" w:afterAutospacing="1" w:line="240" w:lineRule="auto"/>
      <w:outlineLvl w:val="8"/>
    </w:pPr>
    <w:rPr>
      <w:rFonts w:ascii="Cambria" w:eastAsia="MS Gothic" w:hAnsi="Cambria" w:cs="Times New Roman"/>
      <w:i/>
      <w:iCs/>
      <w:color w:val="404040"/>
      <w:sz w:val="20"/>
      <w:szCs w:val="20"/>
    </w:rPr>
  </w:style>
  <w:style w:type="numbering" w:customStyle="1" w:styleId="NoList1">
    <w:name w:val="No List1"/>
    <w:next w:val="NoList"/>
    <w:uiPriority w:val="99"/>
    <w:semiHidden/>
    <w:unhideWhenUsed/>
    <w:rsid w:val="00B41CA8"/>
  </w:style>
  <w:style w:type="character" w:customStyle="1" w:styleId="Heading5Char">
    <w:name w:val="Heading 5 Char"/>
    <w:basedOn w:val="DefaultParagraphFont"/>
    <w:link w:val="Heading5"/>
    <w:uiPriority w:val="9"/>
    <w:rsid w:val="006C0815"/>
    <w:rPr>
      <w:rFonts w:ascii="Calibri" w:eastAsia="MS Gothic" w:hAnsi="Calibri" w:cs="Times New Roman"/>
      <w:bCs/>
      <w:i/>
      <w:iCs/>
      <w:color w:val="086F93" w:themeColor="accent1" w:themeShade="80"/>
      <w:sz w:val="24"/>
      <w:lang w:val="en-US"/>
    </w:rPr>
  </w:style>
  <w:style w:type="character" w:customStyle="1" w:styleId="Heading6Char">
    <w:name w:val="Heading 6 Char"/>
    <w:basedOn w:val="DefaultParagraphFont"/>
    <w:link w:val="Heading6"/>
    <w:uiPriority w:val="9"/>
    <w:rsid w:val="00B41CA8"/>
    <w:rPr>
      <w:rFonts w:ascii="Calibri" w:eastAsia="MS Gothic" w:hAnsi="Calibri" w:cs="Times New Roman"/>
      <w:i/>
      <w:iCs/>
      <w:sz w:val="23"/>
    </w:rPr>
  </w:style>
  <w:style w:type="numbering" w:customStyle="1" w:styleId="Appendices">
    <w:name w:val="Appendices"/>
    <w:uiPriority w:val="99"/>
    <w:rsid w:val="00B41CA8"/>
    <w:pPr>
      <w:numPr>
        <w:numId w:val="4"/>
      </w:numPr>
    </w:pPr>
  </w:style>
  <w:style w:type="character" w:styleId="EndnoteReference">
    <w:name w:val="endnote reference"/>
    <w:basedOn w:val="DefaultParagraphFont"/>
    <w:uiPriority w:val="99"/>
    <w:semiHidden/>
    <w:unhideWhenUsed/>
    <w:rsid w:val="00B41CA8"/>
    <w:rPr>
      <w:vertAlign w:val="superscript"/>
    </w:rPr>
  </w:style>
  <w:style w:type="paragraph" w:customStyle="1" w:styleId="EndnoteText1">
    <w:name w:val="Endnote Text1"/>
    <w:basedOn w:val="Normal"/>
    <w:next w:val="EndnoteText"/>
    <w:link w:val="EndnoteTextChar"/>
    <w:uiPriority w:val="99"/>
    <w:semiHidden/>
    <w:unhideWhenUsed/>
    <w:rsid w:val="00B41CA8"/>
    <w:pPr>
      <w:spacing w:before="100" w:beforeAutospacing="1" w:after="100" w:afterAutospacing="1" w:line="240" w:lineRule="auto"/>
    </w:pPr>
    <w:rPr>
      <w:rFonts w:eastAsiaTheme="minorHAnsi"/>
      <w:sz w:val="20"/>
      <w:szCs w:val="20"/>
      <w:lang w:val="en-GB" w:eastAsia="en-US"/>
    </w:rPr>
  </w:style>
  <w:style w:type="character" w:customStyle="1" w:styleId="EndnoteTextChar">
    <w:name w:val="Endnote Text Char"/>
    <w:basedOn w:val="DefaultParagraphFont"/>
    <w:link w:val="EndnoteText1"/>
    <w:uiPriority w:val="99"/>
    <w:semiHidden/>
    <w:rsid w:val="00B41CA8"/>
    <w:rPr>
      <w:sz w:val="20"/>
      <w:szCs w:val="20"/>
      <w:lang w:val="en-GB"/>
    </w:rPr>
  </w:style>
  <w:style w:type="character" w:styleId="Strong">
    <w:name w:val="Strong"/>
    <w:basedOn w:val="DefaultParagraphFont"/>
    <w:uiPriority w:val="22"/>
    <w:rsid w:val="00B41CA8"/>
    <w:rPr>
      <w:b/>
      <w:bCs/>
    </w:rPr>
  </w:style>
  <w:style w:type="paragraph" w:styleId="NormalWeb">
    <w:name w:val="Normal (Web)"/>
    <w:basedOn w:val="Normal"/>
    <w:uiPriority w:val="99"/>
    <w:semiHidden/>
    <w:unhideWhenUsed/>
    <w:rsid w:val="00B41CA8"/>
    <w:pPr>
      <w:spacing w:before="140" w:beforeAutospacing="1" w:after="140" w:afterAutospacing="1" w:line="240" w:lineRule="auto"/>
    </w:pPr>
    <w:rPr>
      <w:rFonts w:ascii="Trebuchet MS" w:eastAsia="Times New Roman" w:hAnsi="Trebuchet MS" w:cs="Times New Roman"/>
      <w:sz w:val="24"/>
      <w:szCs w:val="24"/>
    </w:rPr>
  </w:style>
  <w:style w:type="table" w:styleId="TableGrid">
    <w:name w:val="Table Grid"/>
    <w:basedOn w:val="TableNormal"/>
    <w:uiPriority w:val="59"/>
    <w:rsid w:val="00B41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CANtable">
    <w:name w:val="ACCAN table"/>
    <w:basedOn w:val="TableNormal"/>
    <w:uiPriority w:val="99"/>
    <w:rsid w:val="00B41CA8"/>
    <w:pPr>
      <w:spacing w:after="0" w:line="240" w:lineRule="auto"/>
    </w:pPr>
    <w:tblPr>
      <w:jc w:val="center"/>
      <w:tblBorders>
        <w:top w:val="single" w:sz="4" w:space="0" w:color="44C8F5"/>
        <w:bottom w:val="single" w:sz="4" w:space="0" w:color="44C8F5"/>
        <w:insideH w:val="single" w:sz="4" w:space="0" w:color="44C8F5"/>
      </w:tblBorders>
      <w:tblCellMar>
        <w:top w:w="108" w:type="dxa"/>
        <w:bottom w:w="108" w:type="dxa"/>
      </w:tblCellMar>
    </w:tblPr>
    <w:trPr>
      <w:jc w:val="center"/>
    </w:trPr>
    <w:tblStylePr w:type="firstRow">
      <w:pPr>
        <w:jc w:val="left"/>
      </w:pPr>
      <w:rPr>
        <w:rFonts w:ascii="Calibri" w:hAnsi="Calibri"/>
        <w:b/>
        <w:color w:val="auto"/>
        <w:sz w:val="22"/>
      </w:rPr>
      <w:tblPr/>
      <w:tcPr>
        <w:shd w:val="clear" w:color="auto" w:fill="44C8F5"/>
      </w:tcPr>
    </w:tblStylePr>
    <w:tblStylePr w:type="lastRow">
      <w:pPr>
        <w:jc w:val="left"/>
      </w:pPr>
    </w:tblStylePr>
  </w:style>
  <w:style w:type="character" w:customStyle="1" w:styleId="Heading7Char">
    <w:name w:val="Heading 7 Char"/>
    <w:basedOn w:val="DefaultParagraphFont"/>
    <w:link w:val="Heading7"/>
    <w:uiPriority w:val="9"/>
    <w:semiHidden/>
    <w:rsid w:val="00B41CA8"/>
    <w:rPr>
      <w:rFonts w:ascii="Cambria" w:eastAsia="MS Gothic" w:hAnsi="Cambria" w:cs="Times New Roman"/>
      <w:i/>
      <w:iCs/>
      <w:color w:val="404040"/>
      <w:sz w:val="23"/>
      <w:lang w:eastAsia="en-AU"/>
    </w:rPr>
  </w:style>
  <w:style w:type="paragraph" w:customStyle="1" w:styleId="Recommendation">
    <w:name w:val="Recommendation"/>
    <w:basedOn w:val="Normal"/>
    <w:link w:val="RecommendationChar"/>
    <w:qFormat/>
    <w:rsid w:val="006A30FD"/>
    <w:pPr>
      <w:numPr>
        <w:numId w:val="7"/>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table" w:customStyle="1" w:styleId="LightShading-Accent11">
    <w:name w:val="Light Shading - Accent 11"/>
    <w:basedOn w:val="TableNormal"/>
    <w:next w:val="LightShading-Accent1"/>
    <w:uiPriority w:val="60"/>
    <w:rsid w:val="00B41CA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RecommendationChar">
    <w:name w:val="Recommendation Char"/>
    <w:basedOn w:val="DefaultParagraphFont"/>
    <w:link w:val="Recommendation"/>
    <w:rsid w:val="006A30FD"/>
    <w:rPr>
      <w:rFonts w:ascii="Calibri" w:eastAsiaTheme="minorEastAsia" w:hAnsi="Calibri"/>
    </w:rPr>
  </w:style>
  <w:style w:type="numbering" w:customStyle="1" w:styleId="Headings">
    <w:name w:val="Headings"/>
    <w:uiPriority w:val="99"/>
    <w:rsid w:val="00B41CA8"/>
    <w:pPr>
      <w:numPr>
        <w:numId w:val="1"/>
      </w:numPr>
    </w:pPr>
  </w:style>
  <w:style w:type="numbering" w:customStyle="1" w:styleId="Bullets">
    <w:name w:val="Bullets"/>
    <w:uiPriority w:val="99"/>
    <w:rsid w:val="00B41CA8"/>
    <w:pPr>
      <w:numPr>
        <w:numId w:val="2"/>
      </w:numPr>
    </w:pPr>
  </w:style>
  <w:style w:type="character" w:customStyle="1" w:styleId="Heading8Char">
    <w:name w:val="Heading 8 Char"/>
    <w:basedOn w:val="DefaultParagraphFont"/>
    <w:link w:val="Heading8"/>
    <w:uiPriority w:val="9"/>
    <w:semiHidden/>
    <w:rsid w:val="00B41CA8"/>
    <w:rPr>
      <w:rFonts w:ascii="Cambria" w:eastAsia="MS Gothic"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B41CA8"/>
    <w:rPr>
      <w:rFonts w:ascii="Cambria" w:eastAsia="MS Gothic" w:hAnsi="Cambria" w:cs="Times New Roman"/>
      <w:i/>
      <w:iCs/>
      <w:color w:val="404040"/>
      <w:sz w:val="20"/>
      <w:szCs w:val="20"/>
      <w:lang w:eastAsia="en-AU"/>
    </w:rPr>
  </w:style>
  <w:style w:type="paragraph" w:customStyle="1" w:styleId="Bulletlist1">
    <w:name w:val="Bullet list 1"/>
    <w:basedOn w:val="Normal"/>
    <w:link w:val="Bulletlist1Char"/>
    <w:qFormat/>
    <w:rsid w:val="00B41CA8"/>
    <w:pPr>
      <w:numPr>
        <w:numId w:val="3"/>
      </w:numPr>
      <w:spacing w:before="100" w:beforeAutospacing="1" w:after="100" w:afterAutospacing="1" w:line="240" w:lineRule="auto"/>
    </w:pPr>
    <w:rPr>
      <w:rFonts w:ascii="Calibri" w:hAnsi="Calibri"/>
    </w:rPr>
  </w:style>
  <w:style w:type="paragraph" w:customStyle="1" w:styleId="Bulletlist2">
    <w:name w:val="Bullet list 2"/>
    <w:basedOn w:val="Bulletlist1"/>
    <w:link w:val="Bulletlist2Char"/>
    <w:qFormat/>
    <w:rsid w:val="00B41CA8"/>
    <w:pPr>
      <w:numPr>
        <w:ilvl w:val="1"/>
      </w:numPr>
    </w:pPr>
  </w:style>
  <w:style w:type="character" w:customStyle="1" w:styleId="Bulletlist1Char">
    <w:name w:val="Bullet list 1 Char"/>
    <w:basedOn w:val="DefaultParagraphFont"/>
    <w:link w:val="Bulletlist1"/>
    <w:rsid w:val="00B41CA8"/>
    <w:rPr>
      <w:rFonts w:ascii="Calibri" w:eastAsiaTheme="minorEastAsia" w:hAnsi="Calibri"/>
      <w:lang w:eastAsia="en-AU"/>
    </w:rPr>
  </w:style>
  <w:style w:type="paragraph" w:customStyle="1" w:styleId="Bulletlist3">
    <w:name w:val="Bullet list 3"/>
    <w:basedOn w:val="Bulletlist2"/>
    <w:link w:val="Bulletlist3Char"/>
    <w:qFormat/>
    <w:rsid w:val="00B41CA8"/>
    <w:pPr>
      <w:numPr>
        <w:ilvl w:val="2"/>
      </w:numPr>
    </w:pPr>
  </w:style>
  <w:style w:type="character" w:customStyle="1" w:styleId="Bulletlist2Char">
    <w:name w:val="Bullet list 2 Char"/>
    <w:basedOn w:val="Bulletlist1Char"/>
    <w:link w:val="Bulletlist2"/>
    <w:rsid w:val="00B41CA8"/>
    <w:rPr>
      <w:rFonts w:ascii="Calibri" w:eastAsiaTheme="minorEastAsia" w:hAnsi="Calibri"/>
      <w:lang w:eastAsia="en-AU"/>
    </w:rPr>
  </w:style>
  <w:style w:type="character" w:customStyle="1" w:styleId="Bulletlist3Char">
    <w:name w:val="Bullet list 3 Char"/>
    <w:basedOn w:val="Bulletlist2Char"/>
    <w:link w:val="Bulletlist3"/>
    <w:rsid w:val="00B41CA8"/>
    <w:rPr>
      <w:rFonts w:ascii="Calibri" w:eastAsiaTheme="minorEastAsia" w:hAnsi="Calibri"/>
      <w:lang w:eastAsia="en-AU"/>
    </w:rPr>
  </w:style>
  <w:style w:type="numbering" w:customStyle="1" w:styleId="Blockquotebullets">
    <w:name w:val="Blockquote bullets"/>
    <w:uiPriority w:val="99"/>
    <w:rsid w:val="00B41CA8"/>
    <w:pPr>
      <w:numPr>
        <w:numId w:val="6"/>
      </w:numPr>
    </w:pPr>
  </w:style>
  <w:style w:type="paragraph" w:customStyle="1" w:styleId="Casestudyheading">
    <w:name w:val="Case study heading"/>
    <w:basedOn w:val="Normal"/>
    <w:next w:val="Normal"/>
    <w:link w:val="CasestudyheadingChar"/>
    <w:rsid w:val="00B41CA8"/>
    <w:pPr>
      <w:keepNext/>
      <w:spacing w:before="100" w:beforeAutospacing="1" w:after="100" w:afterAutospacing="1" w:line="240" w:lineRule="auto"/>
      <w:ind w:left="851" w:right="851"/>
    </w:pPr>
    <w:rPr>
      <w:rFonts w:ascii="Calibri" w:hAnsi="Calibri"/>
      <w:b/>
      <w:lang w:eastAsia="en-US"/>
    </w:rPr>
  </w:style>
  <w:style w:type="character" w:customStyle="1" w:styleId="CasestudyheadingChar">
    <w:name w:val="Case study heading Char"/>
    <w:basedOn w:val="DefaultParagraphFont"/>
    <w:link w:val="Casestudyheading"/>
    <w:rsid w:val="00B41CA8"/>
    <w:rPr>
      <w:rFonts w:ascii="Calibri" w:eastAsiaTheme="minorEastAsia" w:hAnsi="Calibri"/>
      <w:b/>
    </w:rPr>
  </w:style>
  <w:style w:type="paragraph" w:customStyle="1" w:styleId="Casestudy">
    <w:name w:val="Case study"/>
    <w:basedOn w:val="Casestudyheading"/>
    <w:link w:val="CasestudyChar"/>
    <w:rsid w:val="00B41CA8"/>
    <w:pPr>
      <w:keepNext w:val="0"/>
    </w:pPr>
    <w:rPr>
      <w:b w:val="0"/>
    </w:rPr>
  </w:style>
  <w:style w:type="character" w:customStyle="1" w:styleId="CasestudyChar">
    <w:name w:val="Case study Char"/>
    <w:basedOn w:val="CasestudyheadingChar"/>
    <w:link w:val="Casestudy"/>
    <w:rsid w:val="00B41CA8"/>
    <w:rPr>
      <w:rFonts w:ascii="Calibri" w:eastAsiaTheme="minorEastAsia" w:hAnsi="Calibri"/>
      <w:b w:val="0"/>
    </w:rPr>
  </w:style>
  <w:style w:type="paragraph" w:customStyle="1" w:styleId="Casestudyquote">
    <w:name w:val="Case study quote"/>
    <w:basedOn w:val="Casestudy"/>
    <w:link w:val="CasestudyquoteChar"/>
    <w:rsid w:val="00B41CA8"/>
    <w:pPr>
      <w:ind w:left="1418" w:right="1418"/>
    </w:pPr>
  </w:style>
  <w:style w:type="character" w:customStyle="1" w:styleId="CasestudyquoteChar">
    <w:name w:val="Case study quote Char"/>
    <w:basedOn w:val="CasestudyChar"/>
    <w:link w:val="Casestudyquote"/>
    <w:rsid w:val="00B41CA8"/>
    <w:rPr>
      <w:rFonts w:ascii="Calibri" w:eastAsiaTheme="minorEastAsia" w:hAnsi="Calibri"/>
      <w:b w:val="0"/>
    </w:rPr>
  </w:style>
  <w:style w:type="numbering" w:customStyle="1" w:styleId="Recommendations">
    <w:name w:val="Recommendations"/>
    <w:uiPriority w:val="99"/>
    <w:rsid w:val="00B41CA8"/>
    <w:pPr>
      <w:numPr>
        <w:numId w:val="40"/>
      </w:numPr>
    </w:pPr>
  </w:style>
  <w:style w:type="character" w:customStyle="1" w:styleId="Heading5Char1">
    <w:name w:val="Heading 5 Char1"/>
    <w:basedOn w:val="DefaultParagraphFont"/>
    <w:uiPriority w:val="9"/>
    <w:semiHidden/>
    <w:rsid w:val="00B41CA8"/>
    <w:rPr>
      <w:rFonts w:asciiTheme="majorHAnsi" w:eastAsiaTheme="majorEastAsia" w:hAnsiTheme="majorHAnsi" w:cstheme="majorBidi"/>
      <w:color w:val="0DA6DB" w:themeColor="accent1" w:themeShade="BF"/>
      <w:lang w:eastAsia="en-AU"/>
    </w:rPr>
  </w:style>
  <w:style w:type="character" w:customStyle="1" w:styleId="Heading6Char1">
    <w:name w:val="Heading 6 Char1"/>
    <w:basedOn w:val="DefaultParagraphFont"/>
    <w:uiPriority w:val="9"/>
    <w:semiHidden/>
    <w:rsid w:val="00B41CA8"/>
    <w:rPr>
      <w:rFonts w:asciiTheme="majorHAnsi" w:eastAsiaTheme="majorEastAsia" w:hAnsiTheme="majorHAnsi" w:cstheme="majorBidi"/>
      <w:color w:val="086E92" w:themeColor="accent1" w:themeShade="7F"/>
      <w:lang w:eastAsia="en-AU"/>
    </w:rPr>
  </w:style>
  <w:style w:type="paragraph" w:styleId="EndnoteText">
    <w:name w:val="endnote text"/>
    <w:basedOn w:val="Normal"/>
    <w:link w:val="EndnoteTextChar1"/>
    <w:uiPriority w:val="99"/>
    <w:semiHidden/>
    <w:unhideWhenUsed/>
    <w:rsid w:val="00B41CA8"/>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B41CA8"/>
    <w:rPr>
      <w:rFonts w:eastAsiaTheme="minorEastAsia"/>
      <w:sz w:val="20"/>
      <w:szCs w:val="20"/>
      <w:lang w:eastAsia="en-AU"/>
    </w:rPr>
  </w:style>
  <w:style w:type="paragraph" w:styleId="NoSpacing">
    <w:name w:val="No Spacing"/>
    <w:uiPriority w:val="1"/>
    <w:qFormat/>
    <w:rsid w:val="00B41CA8"/>
    <w:pPr>
      <w:spacing w:after="0" w:line="240" w:lineRule="auto"/>
    </w:pPr>
    <w:rPr>
      <w:rFonts w:eastAsiaTheme="minorEastAsia"/>
      <w:lang w:eastAsia="en-AU"/>
    </w:rPr>
  </w:style>
  <w:style w:type="character" w:customStyle="1" w:styleId="Heading7Char1">
    <w:name w:val="Heading 7 Char1"/>
    <w:basedOn w:val="DefaultParagraphFont"/>
    <w:uiPriority w:val="9"/>
    <w:semiHidden/>
    <w:rsid w:val="00B41CA8"/>
    <w:rPr>
      <w:rFonts w:asciiTheme="majorHAnsi" w:eastAsiaTheme="majorEastAsia" w:hAnsiTheme="majorHAnsi" w:cstheme="majorBidi"/>
      <w:i/>
      <w:iCs/>
      <w:color w:val="086E92" w:themeColor="accent1" w:themeShade="7F"/>
      <w:lang w:eastAsia="en-AU"/>
    </w:rPr>
  </w:style>
  <w:style w:type="table" w:styleId="LightShading-Accent1">
    <w:name w:val="Light Shading Accent 1"/>
    <w:basedOn w:val="TableNormal"/>
    <w:uiPriority w:val="60"/>
    <w:semiHidden/>
    <w:unhideWhenUsed/>
    <w:rsid w:val="00B41CA8"/>
    <w:pPr>
      <w:spacing w:after="0" w:line="240" w:lineRule="auto"/>
    </w:pPr>
    <w:rPr>
      <w:color w:val="0DA6DB" w:themeColor="accent1" w:themeShade="BF"/>
    </w:rPr>
    <w:tblPr>
      <w:tblStyleRowBandSize w:val="1"/>
      <w:tblStyleColBandSize w:val="1"/>
      <w:tblBorders>
        <w:top w:val="single" w:sz="8" w:space="0" w:color="43C7F4" w:themeColor="accent1"/>
        <w:bottom w:val="single" w:sz="8" w:space="0" w:color="43C7F4" w:themeColor="accent1"/>
      </w:tblBorders>
    </w:tblPr>
    <w:tblStylePr w:type="fir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la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1FC" w:themeFill="accent1" w:themeFillTint="3F"/>
      </w:tcPr>
    </w:tblStylePr>
    <w:tblStylePr w:type="band1Horz">
      <w:tblPr/>
      <w:tcPr>
        <w:tcBorders>
          <w:left w:val="nil"/>
          <w:right w:val="nil"/>
          <w:insideH w:val="nil"/>
          <w:insideV w:val="nil"/>
        </w:tcBorders>
        <w:shd w:val="clear" w:color="auto" w:fill="D0F1FC" w:themeFill="accent1" w:themeFillTint="3F"/>
      </w:tcPr>
    </w:tblStylePr>
  </w:style>
  <w:style w:type="character" w:customStyle="1" w:styleId="Heading8Char1">
    <w:name w:val="Heading 8 Char1"/>
    <w:basedOn w:val="DefaultParagraphFont"/>
    <w:uiPriority w:val="9"/>
    <w:semiHidden/>
    <w:rsid w:val="00B41CA8"/>
    <w:rPr>
      <w:rFonts w:asciiTheme="majorHAnsi" w:eastAsiaTheme="majorEastAsia" w:hAnsiTheme="majorHAnsi" w:cstheme="majorBidi"/>
      <w:color w:val="272727" w:themeColor="text1" w:themeTint="D8"/>
      <w:sz w:val="21"/>
      <w:szCs w:val="21"/>
      <w:lang w:eastAsia="en-AU"/>
    </w:rPr>
  </w:style>
  <w:style w:type="character" w:customStyle="1" w:styleId="Heading9Char1">
    <w:name w:val="Heading 9 Char1"/>
    <w:basedOn w:val="DefaultParagraphFont"/>
    <w:uiPriority w:val="9"/>
    <w:semiHidden/>
    <w:rsid w:val="00B41CA8"/>
    <w:rPr>
      <w:rFonts w:asciiTheme="majorHAnsi" w:eastAsiaTheme="majorEastAsia" w:hAnsiTheme="majorHAnsi" w:cstheme="majorBidi"/>
      <w:i/>
      <w:iCs/>
      <w:color w:val="272727" w:themeColor="text1" w:themeTint="D8"/>
      <w:sz w:val="21"/>
      <w:szCs w:val="21"/>
      <w:lang w:eastAsia="en-AU"/>
    </w:rPr>
  </w:style>
  <w:style w:type="table" w:styleId="GridTable1Light-Accent1">
    <w:name w:val="Grid Table 1 Light Accent 1"/>
    <w:basedOn w:val="TableNormal"/>
    <w:uiPriority w:val="46"/>
    <w:rsid w:val="00040073"/>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paragraph" w:customStyle="1" w:styleId="DocLabel">
    <w:name w:val="Doc Label"/>
    <w:basedOn w:val="Normal"/>
    <w:link w:val="DocLabelChar"/>
    <w:qFormat/>
    <w:rsid w:val="00F63872"/>
    <w:pPr>
      <w:tabs>
        <w:tab w:val="right" w:pos="9026"/>
      </w:tabs>
    </w:pPr>
    <w:rPr>
      <w:rFonts w:ascii="Verdana" w:hAnsi="Verdana"/>
      <w:b/>
      <w:color w:val="43C7F4" w:themeColor="accent1"/>
      <w:sz w:val="36"/>
      <w:szCs w:val="36"/>
      <w14:textOutline w14:w="3175" w14:cap="rnd" w14:cmpd="sng" w14:algn="ctr">
        <w14:solidFill>
          <w14:schemeClr w14:val="accent1"/>
        </w14:solidFill>
        <w14:prstDash w14:val="solid"/>
        <w14:bevel/>
      </w14:textOutline>
    </w:rPr>
  </w:style>
  <w:style w:type="character" w:customStyle="1" w:styleId="DocLabelChar">
    <w:name w:val="Doc Label Char"/>
    <w:basedOn w:val="DefaultParagraphFont"/>
    <w:link w:val="DocLabel"/>
    <w:rsid w:val="00F63872"/>
    <w:rPr>
      <w:rFonts w:ascii="Verdana" w:eastAsiaTheme="minorEastAsia" w:hAnsi="Verdana"/>
      <w:b/>
      <w:color w:val="43C7F4" w:themeColor="accent1"/>
      <w:sz w:val="36"/>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F63872"/>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7B1E9D"/>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F63872"/>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customStyle="1" w:styleId="DocDate">
    <w:name w:val="Doc Date"/>
    <w:basedOn w:val="Normal"/>
    <w:link w:val="DocDateChar"/>
    <w:qFormat/>
    <w:rsid w:val="00F63872"/>
    <w:pPr>
      <w:tabs>
        <w:tab w:val="right" w:pos="9026"/>
      </w:tabs>
    </w:pPr>
    <w:rPr>
      <w:rFonts w:ascii="Verdana" w:hAnsi="Verdana"/>
      <w:b/>
      <w:bCs/>
      <w:i/>
      <w14:textOutline w14:w="3175" w14:cap="rnd" w14:cmpd="sng" w14:algn="ctr">
        <w14:solidFill>
          <w14:schemeClr w14:val="tx1"/>
        </w14:solidFill>
        <w14:prstDash w14:val="solid"/>
        <w14:bevel/>
      </w14:textOutline>
    </w:rPr>
  </w:style>
  <w:style w:type="character" w:customStyle="1" w:styleId="Letterhead2Char">
    <w:name w:val="Letterhead 2 Char"/>
    <w:basedOn w:val="DefaultParagraphFont"/>
    <w:link w:val="Letterhead2"/>
    <w:rsid w:val="007B1E9D"/>
    <w:rPr>
      <w:rFonts w:ascii="Gotham" w:eastAsiaTheme="minorEastAsia" w:hAnsi="Gotham"/>
      <w:b/>
      <w:bCs/>
      <w:i/>
      <w:iCs/>
      <w:color w:val="43C7F4" w:themeColor="accent1"/>
      <w:lang w:eastAsia="en-AU"/>
    </w:rPr>
  </w:style>
  <w:style w:type="character" w:customStyle="1" w:styleId="DocDateChar">
    <w:name w:val="Doc Date Char"/>
    <w:basedOn w:val="DefaultParagraphFont"/>
    <w:link w:val="DocDate"/>
    <w:rsid w:val="00F63872"/>
    <w:rPr>
      <w:rFonts w:ascii="Verdana" w:eastAsiaTheme="minorEastAsia" w:hAnsi="Verdana"/>
      <w:b/>
      <w:bCs/>
      <w:i/>
      <w:lang w:eastAsia="en-AU"/>
      <w14:textOutline w14:w="3175" w14:cap="rnd" w14:cmpd="sng" w14:algn="ctr">
        <w14:solidFill>
          <w14:schemeClr w14:val="tx1"/>
        </w14:solidFill>
        <w14:prstDash w14:val="solid"/>
        <w14:bevel/>
      </w14:textOutline>
    </w:rPr>
  </w:style>
  <w:style w:type="paragraph" w:styleId="Header">
    <w:name w:val="header"/>
    <w:basedOn w:val="Normal"/>
    <w:link w:val="HeaderChar"/>
    <w:uiPriority w:val="99"/>
    <w:unhideWhenUsed/>
    <w:rsid w:val="009A3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14F"/>
    <w:rPr>
      <w:rFonts w:eastAsiaTheme="minorEastAsia"/>
      <w:lang w:eastAsia="en-AU"/>
    </w:rPr>
  </w:style>
  <w:style w:type="paragraph" w:styleId="Footer">
    <w:name w:val="footer"/>
    <w:basedOn w:val="Normal"/>
    <w:link w:val="FooterChar"/>
    <w:uiPriority w:val="99"/>
    <w:unhideWhenUsed/>
    <w:rsid w:val="009A3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14F"/>
    <w:rPr>
      <w:rFonts w:eastAsiaTheme="minorEastAsia"/>
      <w:lang w:eastAsia="en-AU"/>
    </w:rPr>
  </w:style>
  <w:style w:type="paragraph" w:styleId="FootnoteText">
    <w:name w:val="footnote text"/>
    <w:basedOn w:val="Normal"/>
    <w:link w:val="FootnoteTextChar"/>
    <w:uiPriority w:val="99"/>
    <w:semiHidden/>
    <w:unhideWhenUsed/>
    <w:rsid w:val="00FD44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44B7"/>
    <w:rPr>
      <w:rFonts w:eastAsiaTheme="minorEastAsia"/>
      <w:sz w:val="20"/>
      <w:szCs w:val="20"/>
      <w:lang w:eastAsia="en-AU"/>
    </w:rPr>
  </w:style>
  <w:style w:type="paragraph" w:customStyle="1" w:styleId="P1">
    <w:name w:val="P1"/>
    <w:aliases w:val="(a)"/>
    <w:basedOn w:val="Normal"/>
    <w:rsid w:val="00FB0893"/>
    <w:pPr>
      <w:tabs>
        <w:tab w:val="right" w:pos="1191"/>
      </w:tabs>
      <w:spacing w:before="60" w:after="0" w:line="260" w:lineRule="exact"/>
      <w:ind w:left="1418" w:hanging="1418"/>
      <w:jc w:val="both"/>
    </w:pPr>
    <w:rPr>
      <w:rFonts w:ascii="Times New Roman" w:eastAsia="Times New Roman" w:hAnsi="Times New Roman" w:cs="Times New Roman"/>
      <w:sz w:val="24"/>
      <w:szCs w:val="24"/>
      <w:lang w:eastAsia="en-US"/>
    </w:rPr>
  </w:style>
  <w:style w:type="paragraph" w:customStyle="1" w:styleId="R1">
    <w:name w:val="R1"/>
    <w:aliases w:val="1. or 1.(1)"/>
    <w:basedOn w:val="Normal"/>
    <w:next w:val="Normal"/>
    <w:rsid w:val="00FB0893"/>
    <w:pPr>
      <w:keepLines/>
      <w:tabs>
        <w:tab w:val="right" w:pos="794"/>
      </w:tabs>
      <w:spacing w:before="120" w:after="0" w:line="260" w:lineRule="exact"/>
      <w:ind w:left="964" w:hanging="964"/>
      <w:jc w:val="both"/>
    </w:pPr>
    <w:rPr>
      <w:rFonts w:ascii="Times New Roman" w:eastAsia="Times New Roman" w:hAnsi="Times New Roman" w:cs="Times New Roman"/>
      <w:sz w:val="24"/>
      <w:szCs w:val="24"/>
      <w:lang w:eastAsia="en-US"/>
    </w:rPr>
  </w:style>
  <w:style w:type="paragraph" w:customStyle="1" w:styleId="R2">
    <w:name w:val="R2"/>
    <w:aliases w:val="(2)"/>
    <w:basedOn w:val="Normal"/>
    <w:rsid w:val="00FB0893"/>
    <w:pPr>
      <w:keepLines/>
      <w:tabs>
        <w:tab w:val="right" w:pos="794"/>
      </w:tabs>
      <w:spacing w:before="180" w:after="0" w:line="260" w:lineRule="exact"/>
      <w:ind w:left="964" w:hanging="964"/>
      <w:jc w:val="both"/>
    </w:pPr>
    <w:rPr>
      <w:rFonts w:ascii="Times New Roman" w:eastAsia="Times New Roman" w:hAnsi="Times New Roman" w:cs="Times New Roman"/>
      <w:sz w:val="24"/>
      <w:szCs w:val="24"/>
      <w:lang w:eastAsia="en-US"/>
    </w:rPr>
  </w:style>
  <w:style w:type="paragraph" w:styleId="TOC1">
    <w:name w:val="toc 1"/>
    <w:basedOn w:val="Normal"/>
    <w:next w:val="Normal"/>
    <w:autoRedefine/>
    <w:uiPriority w:val="39"/>
    <w:unhideWhenUsed/>
    <w:rsid w:val="000A31E3"/>
    <w:pPr>
      <w:tabs>
        <w:tab w:val="right" w:leader="dot" w:pos="9016"/>
      </w:tabs>
      <w:spacing w:after="100"/>
    </w:pPr>
  </w:style>
  <w:style w:type="paragraph" w:styleId="CommentText">
    <w:name w:val="annotation text"/>
    <w:basedOn w:val="Normal"/>
    <w:link w:val="CommentTextChar"/>
    <w:uiPriority w:val="99"/>
    <w:unhideWhenUsed/>
    <w:rsid w:val="00C55F05"/>
    <w:pPr>
      <w:spacing w:line="240" w:lineRule="auto"/>
    </w:pPr>
    <w:rPr>
      <w:sz w:val="20"/>
      <w:szCs w:val="20"/>
    </w:rPr>
  </w:style>
  <w:style w:type="character" w:customStyle="1" w:styleId="CommentTextChar">
    <w:name w:val="Comment Text Char"/>
    <w:basedOn w:val="DefaultParagraphFont"/>
    <w:link w:val="CommentText"/>
    <w:uiPriority w:val="99"/>
    <w:rsid w:val="00C55F05"/>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4180">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85768301">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info@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hyperlink" Target="https://accan.org.au/about-us/reporting/reconcilitiation-action-plan"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relayservice.gov.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deafnessforum.org.au/resources/international-deafness-symbol/" TargetMode="External"/><Relationship Id="rId13" Type="http://schemas.openxmlformats.org/officeDocument/2006/relationships/hyperlink" Target="https://www.legislation.gov.au/Details/F2020C00976" TargetMode="External"/><Relationship Id="rId3" Type="http://schemas.openxmlformats.org/officeDocument/2006/relationships/hyperlink" Target="https://www.legislation.gov.au/Details/F2011C00213" TargetMode="External"/><Relationship Id="rId7" Type="http://schemas.openxmlformats.org/officeDocument/2006/relationships/hyperlink" Target="https://www.legislation.gov.au/Details/F2011C00213" TargetMode="External"/><Relationship Id="rId12" Type="http://schemas.openxmlformats.org/officeDocument/2006/relationships/hyperlink" Target="https://www.legislation.gov.au/Details/F2011C00213" TargetMode="External"/><Relationship Id="rId2" Type="http://schemas.openxmlformats.org/officeDocument/2006/relationships/hyperlink" Target="https://www.un.org/development/desa/disabilities/convention-on-the-rights-of-persons-with-disabilities/article-9-accessibility.html" TargetMode="External"/><Relationship Id="rId1" Type="http://schemas.openxmlformats.org/officeDocument/2006/relationships/hyperlink" Target="https://www.infrastructure.gov.au/have-your-say/2022-review-disability-standards-accessible-public-transport-2002" TargetMode="External"/><Relationship Id="rId6" Type="http://schemas.openxmlformats.org/officeDocument/2006/relationships/hyperlink" Target="https://www.simpsonbuildinggroup.com/wp-content/uploads/2011/09/AS-1428.1-2009-Design-for-access-and-mobility-General-requirements-for-access-New-building-work.pdf" TargetMode="External"/><Relationship Id="rId11" Type="http://schemas.openxmlformats.org/officeDocument/2006/relationships/hyperlink" Target="https://infostore.saiglobal.com/en-au/standards/as-2899-1-1986-123527_saig_as_as_259534/" TargetMode="External"/><Relationship Id="rId5" Type="http://schemas.openxmlformats.org/officeDocument/2006/relationships/hyperlink" Target="https://www.legislation.gov.au/Details/F2020C00976" TargetMode="External"/><Relationship Id="rId10" Type="http://schemas.openxmlformats.org/officeDocument/2006/relationships/hyperlink" Target="https://store.standards.org.au/product/as-2899-1-1986" TargetMode="External"/><Relationship Id="rId4" Type="http://schemas.openxmlformats.org/officeDocument/2006/relationships/hyperlink" Target="https://www.legislation.gov.au/Details/F2020C00976" TargetMode="External"/><Relationship Id="rId9" Type="http://schemas.openxmlformats.org/officeDocument/2006/relationships/hyperlink" Target="https://www.legislation.gov.au/Details/F2011C00213" TargetMode="External"/><Relationship Id="rId14" Type="http://schemas.openxmlformats.org/officeDocument/2006/relationships/hyperlink" Target="https://www.deafnessforum.org.au/review-of-disability-standards-for-accessible-public-transpor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e\ACCAN\ACCAN%20-%20Business\Templates%202022\DocumentTemplate-Long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80EADF-B74E-4262-8D85-D9588AD9FF44}">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B97AE3E0-1F61-4D9C-8A68-3CD337D61936}"/>
</file>

<file path=docProps/app.xml><?xml version="1.0" encoding="utf-8"?>
<Properties xmlns="http://schemas.openxmlformats.org/officeDocument/2006/extended-properties" xmlns:vt="http://schemas.openxmlformats.org/officeDocument/2006/docPropsVTypes">
  <Template>DocumentTemplate-LongSubmission</Template>
  <TotalTime>5</TotalTime>
  <Pages>11</Pages>
  <Words>2291</Words>
  <Characters>13063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15324</CharactersWithSpaces>
  <SharedDoc>false</SharedDoc>
  <HLinks>
    <vt:vector size="114" baseType="variant">
      <vt:variant>
        <vt:i4>4784136</vt:i4>
      </vt:variant>
      <vt:variant>
        <vt:i4>33</vt:i4>
      </vt:variant>
      <vt:variant>
        <vt:i4>0</vt:i4>
      </vt:variant>
      <vt:variant>
        <vt:i4>5</vt:i4>
      </vt:variant>
      <vt:variant>
        <vt:lpwstr>https://accan.org.au/about-us/reporting/reconcilitiation-action-plan</vt:lpwstr>
      </vt:variant>
      <vt:variant>
        <vt:lpwstr/>
      </vt:variant>
      <vt:variant>
        <vt:i4>1179708</vt:i4>
      </vt:variant>
      <vt:variant>
        <vt:i4>26</vt:i4>
      </vt:variant>
      <vt:variant>
        <vt:i4>0</vt:i4>
      </vt:variant>
      <vt:variant>
        <vt:i4>5</vt:i4>
      </vt:variant>
      <vt:variant>
        <vt:lpwstr/>
      </vt:variant>
      <vt:variant>
        <vt:lpwstr>_Toc137733929</vt:lpwstr>
      </vt:variant>
      <vt:variant>
        <vt:i4>1179708</vt:i4>
      </vt:variant>
      <vt:variant>
        <vt:i4>20</vt:i4>
      </vt:variant>
      <vt:variant>
        <vt:i4>0</vt:i4>
      </vt:variant>
      <vt:variant>
        <vt:i4>5</vt:i4>
      </vt:variant>
      <vt:variant>
        <vt:lpwstr/>
      </vt:variant>
      <vt:variant>
        <vt:lpwstr>_Toc137733928</vt:lpwstr>
      </vt:variant>
      <vt:variant>
        <vt:i4>1179708</vt:i4>
      </vt:variant>
      <vt:variant>
        <vt:i4>14</vt:i4>
      </vt:variant>
      <vt:variant>
        <vt:i4>0</vt:i4>
      </vt:variant>
      <vt:variant>
        <vt:i4>5</vt:i4>
      </vt:variant>
      <vt:variant>
        <vt:lpwstr/>
      </vt:variant>
      <vt:variant>
        <vt:lpwstr>_Toc137733927</vt:lpwstr>
      </vt:variant>
      <vt:variant>
        <vt:i4>1179708</vt:i4>
      </vt:variant>
      <vt:variant>
        <vt:i4>8</vt:i4>
      </vt:variant>
      <vt:variant>
        <vt:i4>0</vt:i4>
      </vt:variant>
      <vt:variant>
        <vt:i4>5</vt:i4>
      </vt:variant>
      <vt:variant>
        <vt:lpwstr/>
      </vt:variant>
      <vt:variant>
        <vt:lpwstr>_Toc137733926</vt:lpwstr>
      </vt:variant>
      <vt:variant>
        <vt:i4>2490480</vt:i4>
      </vt:variant>
      <vt:variant>
        <vt:i4>3</vt:i4>
      </vt:variant>
      <vt:variant>
        <vt:i4>0</vt:i4>
      </vt:variant>
      <vt:variant>
        <vt:i4>5</vt:i4>
      </vt:variant>
      <vt:variant>
        <vt:lpwstr>http://relayservice.gov.au/</vt:lpwstr>
      </vt:variant>
      <vt:variant>
        <vt:lpwstr/>
      </vt:variant>
      <vt:variant>
        <vt:i4>2621518</vt:i4>
      </vt:variant>
      <vt:variant>
        <vt:i4>0</vt:i4>
      </vt:variant>
      <vt:variant>
        <vt:i4>0</vt:i4>
      </vt:variant>
      <vt:variant>
        <vt:i4>5</vt:i4>
      </vt:variant>
      <vt:variant>
        <vt:lpwstr>mailto:info@accan.org.au</vt:lpwstr>
      </vt:variant>
      <vt:variant>
        <vt:lpwstr/>
      </vt:variant>
      <vt:variant>
        <vt:i4>5177362</vt:i4>
      </vt:variant>
      <vt:variant>
        <vt:i4>33</vt:i4>
      </vt:variant>
      <vt:variant>
        <vt:i4>0</vt:i4>
      </vt:variant>
      <vt:variant>
        <vt:i4>5</vt:i4>
      </vt:variant>
      <vt:variant>
        <vt:lpwstr>https://www.deafnessforum.org.au/review-of-disability-standards-for-accessible-public-transport/</vt:lpwstr>
      </vt:variant>
      <vt:variant>
        <vt:lpwstr/>
      </vt:variant>
      <vt:variant>
        <vt:i4>7667751</vt:i4>
      </vt:variant>
      <vt:variant>
        <vt:i4>30</vt:i4>
      </vt:variant>
      <vt:variant>
        <vt:i4>0</vt:i4>
      </vt:variant>
      <vt:variant>
        <vt:i4>5</vt:i4>
      </vt:variant>
      <vt:variant>
        <vt:lpwstr>https://www.legislation.gov.au/Details/F2011C00213</vt:lpwstr>
      </vt:variant>
      <vt:variant>
        <vt:lpwstr/>
      </vt:variant>
      <vt:variant>
        <vt:i4>655454</vt:i4>
      </vt:variant>
      <vt:variant>
        <vt:i4>27</vt:i4>
      </vt:variant>
      <vt:variant>
        <vt:i4>0</vt:i4>
      </vt:variant>
      <vt:variant>
        <vt:i4>5</vt:i4>
      </vt:variant>
      <vt:variant>
        <vt:lpwstr>https://infostore.saiglobal.com/en-au/standards/as-2899-1-1986-123527_saig_as_as_259534/</vt:lpwstr>
      </vt:variant>
      <vt:variant>
        <vt:lpwstr/>
      </vt:variant>
      <vt:variant>
        <vt:i4>4849683</vt:i4>
      </vt:variant>
      <vt:variant>
        <vt:i4>24</vt:i4>
      </vt:variant>
      <vt:variant>
        <vt:i4>0</vt:i4>
      </vt:variant>
      <vt:variant>
        <vt:i4>5</vt:i4>
      </vt:variant>
      <vt:variant>
        <vt:lpwstr>https://store.standards.org.au/product/as-2899-1-1986</vt:lpwstr>
      </vt:variant>
      <vt:variant>
        <vt:lpwstr/>
      </vt:variant>
      <vt:variant>
        <vt:i4>7667751</vt:i4>
      </vt:variant>
      <vt:variant>
        <vt:i4>21</vt:i4>
      </vt:variant>
      <vt:variant>
        <vt:i4>0</vt:i4>
      </vt:variant>
      <vt:variant>
        <vt:i4>5</vt:i4>
      </vt:variant>
      <vt:variant>
        <vt:lpwstr>https://www.legislation.gov.au/Details/F2011C00213</vt:lpwstr>
      </vt:variant>
      <vt:variant>
        <vt:lpwstr/>
      </vt:variant>
      <vt:variant>
        <vt:i4>196611</vt:i4>
      </vt:variant>
      <vt:variant>
        <vt:i4>18</vt:i4>
      </vt:variant>
      <vt:variant>
        <vt:i4>0</vt:i4>
      </vt:variant>
      <vt:variant>
        <vt:i4>5</vt:i4>
      </vt:variant>
      <vt:variant>
        <vt:lpwstr>https://www.deafnessforum.org.au/resources/international-deafness-symbol/</vt:lpwstr>
      </vt:variant>
      <vt:variant>
        <vt:lpwstr/>
      </vt:variant>
      <vt:variant>
        <vt:i4>7667751</vt:i4>
      </vt:variant>
      <vt:variant>
        <vt:i4>15</vt:i4>
      </vt:variant>
      <vt:variant>
        <vt:i4>0</vt:i4>
      </vt:variant>
      <vt:variant>
        <vt:i4>5</vt:i4>
      </vt:variant>
      <vt:variant>
        <vt:lpwstr>https://www.legislation.gov.au/Details/F2011C00213</vt:lpwstr>
      </vt:variant>
      <vt:variant>
        <vt:lpwstr/>
      </vt:variant>
      <vt:variant>
        <vt:i4>2752572</vt:i4>
      </vt:variant>
      <vt:variant>
        <vt:i4>12</vt:i4>
      </vt:variant>
      <vt:variant>
        <vt:i4>0</vt:i4>
      </vt:variant>
      <vt:variant>
        <vt:i4>5</vt:i4>
      </vt:variant>
      <vt:variant>
        <vt:lpwstr>https://www.simpsonbuildinggroup.com/wp-content/uploads/2011/09/AS-1428.1-2009-Design-for-access-and-mobility-General-requirements-for-access-New-building-work.pdf</vt:lpwstr>
      </vt:variant>
      <vt:variant>
        <vt:lpwstr/>
      </vt:variant>
      <vt:variant>
        <vt:i4>7995426</vt:i4>
      </vt:variant>
      <vt:variant>
        <vt:i4>9</vt:i4>
      </vt:variant>
      <vt:variant>
        <vt:i4>0</vt:i4>
      </vt:variant>
      <vt:variant>
        <vt:i4>5</vt:i4>
      </vt:variant>
      <vt:variant>
        <vt:lpwstr>https://www.legislation.gov.au/Details/F2020C00976</vt:lpwstr>
      </vt:variant>
      <vt:variant>
        <vt:lpwstr/>
      </vt:variant>
      <vt:variant>
        <vt:i4>7667751</vt:i4>
      </vt:variant>
      <vt:variant>
        <vt:i4>6</vt:i4>
      </vt:variant>
      <vt:variant>
        <vt:i4>0</vt:i4>
      </vt:variant>
      <vt:variant>
        <vt:i4>5</vt:i4>
      </vt:variant>
      <vt:variant>
        <vt:lpwstr>https://www.legislation.gov.au/Details/F2011C00213</vt:lpwstr>
      </vt:variant>
      <vt:variant>
        <vt:lpwstr/>
      </vt:variant>
      <vt:variant>
        <vt:i4>8126512</vt:i4>
      </vt:variant>
      <vt:variant>
        <vt:i4>3</vt:i4>
      </vt:variant>
      <vt:variant>
        <vt:i4>0</vt:i4>
      </vt:variant>
      <vt:variant>
        <vt:i4>5</vt:i4>
      </vt:variant>
      <vt:variant>
        <vt:lpwstr>https://www.un.org/development/desa/disabilities/convention-on-the-rights-of-persons-with-disabilities/article-9-accessibility.html</vt:lpwstr>
      </vt:variant>
      <vt:variant>
        <vt:lpwstr/>
      </vt:variant>
      <vt:variant>
        <vt:i4>393236</vt:i4>
      </vt:variant>
      <vt:variant>
        <vt:i4>0</vt:i4>
      </vt:variant>
      <vt:variant>
        <vt:i4>0</vt:i4>
      </vt:variant>
      <vt:variant>
        <vt:i4>5</vt:i4>
      </vt:variant>
      <vt:variant>
        <vt:lpwstr>https://www.infrastructure.gov.au/have-your-say/2022-review-disability-standards-accessible-public-transport-2002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Elie</dc:creator>
  <cp:keywords/>
  <cp:lastModifiedBy>Elie Antonios</cp:lastModifiedBy>
  <cp:revision>3</cp:revision>
  <cp:lastPrinted>2023-06-28T22:09:00Z</cp:lastPrinted>
  <dcterms:created xsi:type="dcterms:W3CDTF">2023-06-28T22:08:00Z</dcterms:created>
  <dcterms:modified xsi:type="dcterms:W3CDTF">2023-06-28T22:10:00Z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