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9AFFE" w14:textId="7F86632B" w:rsidR="006C198F" w:rsidRDefault="007832F2">
      <w:pPr>
        <w:pStyle w:val="Letterhead1"/>
      </w:pPr>
      <w:bookmarkStart w:id="0" w:name="_Hlk95835868"/>
      <w:r>
        <w:rPr>
          <w:noProof/>
        </w:rPr>
        <w:drawing>
          <wp:anchor distT="0" distB="0" distL="114300" distR="114300" simplePos="0" relativeHeight="251658243" behindDoc="0" locked="0" layoutInCell="1" allowOverlap="1" wp14:anchorId="1DA9AFFE" wp14:editId="1DA9AFFF">
            <wp:simplePos x="0" y="0"/>
            <wp:positionH relativeFrom="column">
              <wp:posOffset>4862193</wp:posOffset>
            </wp:positionH>
            <wp:positionV relativeFrom="page">
              <wp:posOffset>563883</wp:posOffset>
            </wp:positionV>
            <wp:extent cx="191767" cy="191767"/>
            <wp:effectExtent l="0" t="0" r="0" b="0"/>
            <wp:wrapSquare wrapText="bothSides"/>
            <wp:docPr id="1953246414" name="Picture 1953246414" descr="Twitter Ico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191767" cy="191767"/>
                    </a:xfrm>
                    <a:prstGeom prst="rect">
                      <a:avLst/>
                    </a:prstGeom>
                    <a:noFill/>
                    <a:ln>
                      <a:noFill/>
                      <a:prstDash/>
                    </a:ln>
                  </pic:spPr>
                </pic:pic>
              </a:graphicData>
            </a:graphic>
          </wp:anchor>
        </w:drawing>
      </w:r>
      <w:r>
        <w:rPr>
          <w:noProof/>
        </w:rPr>
        <w:drawing>
          <wp:anchor distT="0" distB="0" distL="114300" distR="114300" simplePos="0" relativeHeight="251658244" behindDoc="0" locked="0" layoutInCell="1" allowOverlap="1" wp14:anchorId="1DA9B000" wp14:editId="1DA9B001">
            <wp:simplePos x="0" y="0"/>
            <wp:positionH relativeFrom="column">
              <wp:posOffset>5092065</wp:posOffset>
            </wp:positionH>
            <wp:positionV relativeFrom="page">
              <wp:posOffset>560070</wp:posOffset>
            </wp:positionV>
            <wp:extent cx="191767" cy="191767"/>
            <wp:effectExtent l="0" t="0" r="0" b="0"/>
            <wp:wrapSquare wrapText="bothSides"/>
            <wp:docPr id="812969526" name="Picture 812969526" descr="Facebook ico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a:stretch>
                      <a:fillRect/>
                    </a:stretch>
                  </pic:blipFill>
                  <pic:spPr>
                    <a:xfrm>
                      <a:off x="0" y="0"/>
                      <a:ext cx="191767" cy="191767"/>
                    </a:xfrm>
                    <a:prstGeom prst="rect">
                      <a:avLst/>
                    </a:prstGeom>
                    <a:noFill/>
                    <a:ln>
                      <a:noFill/>
                      <a:prstDash/>
                    </a:ln>
                  </pic:spPr>
                </pic:pic>
              </a:graphicData>
            </a:graphic>
          </wp:anchor>
        </w:drawing>
      </w:r>
      <w:r>
        <w:rPr>
          <w:noProof/>
        </w:rPr>
        <w:drawing>
          <wp:anchor distT="0" distB="0" distL="114300" distR="114300" simplePos="0" relativeHeight="251658245" behindDoc="0" locked="0" layoutInCell="1" allowOverlap="1" wp14:anchorId="1DA9B002" wp14:editId="1DA9B003">
            <wp:simplePos x="0" y="0"/>
            <wp:positionH relativeFrom="column">
              <wp:posOffset>5326379</wp:posOffset>
            </wp:positionH>
            <wp:positionV relativeFrom="page">
              <wp:posOffset>560070</wp:posOffset>
            </wp:positionV>
            <wp:extent cx="191767" cy="191767"/>
            <wp:effectExtent l="0" t="0" r="0" b="0"/>
            <wp:wrapSquare wrapText="bothSides"/>
            <wp:docPr id="506637348" name="Picture 506637348" descr="Linked in ico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rcRect/>
                    <a:stretch>
                      <a:fillRect/>
                    </a:stretch>
                  </pic:blipFill>
                  <pic:spPr>
                    <a:xfrm>
                      <a:off x="0" y="0"/>
                      <a:ext cx="191767" cy="191767"/>
                    </a:xfrm>
                    <a:prstGeom prst="rect">
                      <a:avLst/>
                    </a:prstGeom>
                    <a:noFill/>
                    <a:ln>
                      <a:noFill/>
                      <a:prstDash/>
                    </a:ln>
                  </pic:spPr>
                </pic:pic>
              </a:graphicData>
            </a:graphic>
          </wp:anchor>
        </w:drawing>
      </w:r>
      <w:r>
        <w:rPr>
          <w:noProof/>
        </w:rPr>
        <w:drawing>
          <wp:anchor distT="0" distB="0" distL="114300" distR="114300" simplePos="0" relativeHeight="251658242" behindDoc="0" locked="0" layoutInCell="1" allowOverlap="1" wp14:anchorId="1DA9B004" wp14:editId="1DA9B005">
            <wp:simplePos x="0" y="0"/>
            <wp:positionH relativeFrom="column">
              <wp:posOffset>5546722</wp:posOffset>
            </wp:positionH>
            <wp:positionV relativeFrom="page">
              <wp:posOffset>560070</wp:posOffset>
            </wp:positionV>
            <wp:extent cx="191767" cy="191767"/>
            <wp:effectExtent l="0" t="0" r="0" b="0"/>
            <wp:wrapSquare wrapText="bothSides"/>
            <wp:docPr id="271848029" name="Picture 271848029" descr="Instagram ico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rcRect/>
                    <a:stretch>
                      <a:fillRect/>
                    </a:stretch>
                  </pic:blipFill>
                  <pic:spPr>
                    <a:xfrm>
                      <a:off x="0" y="0"/>
                      <a:ext cx="191767" cy="191767"/>
                    </a:xfrm>
                    <a:prstGeom prst="rect">
                      <a:avLst/>
                    </a:prstGeom>
                    <a:noFill/>
                    <a:ln>
                      <a:noFill/>
                      <a:prstDash/>
                    </a:ln>
                  </pic:spPr>
                </pic:pic>
              </a:graphicData>
            </a:graphic>
          </wp:anchor>
        </w:drawing>
      </w:r>
      <w:r>
        <w:rPr>
          <w:noProof/>
        </w:rPr>
        <w:drawing>
          <wp:anchor distT="0" distB="0" distL="114300" distR="114300" simplePos="0" relativeHeight="251658241" behindDoc="0" locked="0" layoutInCell="1" allowOverlap="1" wp14:anchorId="1DA9B006" wp14:editId="1DA9B007">
            <wp:simplePos x="0" y="0"/>
            <wp:positionH relativeFrom="column">
              <wp:posOffset>4443</wp:posOffset>
            </wp:positionH>
            <wp:positionV relativeFrom="page">
              <wp:posOffset>421008</wp:posOffset>
            </wp:positionV>
            <wp:extent cx="2035811" cy="880110"/>
            <wp:effectExtent l="0" t="0" r="2539" b="0"/>
            <wp:wrapSquare wrapText="bothSides"/>
            <wp:docPr id="1640737268" name="Picture 1640737268" descr="ACCAN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rcRect/>
                    <a:stretch>
                      <a:fillRect/>
                    </a:stretch>
                  </pic:blipFill>
                  <pic:spPr>
                    <a:xfrm>
                      <a:off x="0" y="0"/>
                      <a:ext cx="2035811" cy="880110"/>
                    </a:xfrm>
                    <a:prstGeom prst="rect">
                      <a:avLst/>
                    </a:prstGeom>
                    <a:noFill/>
                    <a:ln>
                      <a:noFill/>
                      <a:prstDash/>
                    </a:ln>
                  </pic:spPr>
                </pic:pic>
              </a:graphicData>
            </a:graphic>
          </wp:anchor>
        </w:drawing>
      </w:r>
      <w:r w:rsidR="00C83F5A">
        <w:t xml:space="preserve"> </w:t>
      </w:r>
      <w:r>
        <w:t>www.accan.org.au</w:t>
      </w:r>
    </w:p>
    <w:p w14:paraId="1DA9AFFF" w14:textId="77777777" w:rsidR="006C198F" w:rsidRDefault="007832F2">
      <w:pPr>
        <w:pStyle w:val="Letterhead1"/>
      </w:pPr>
      <w:r>
        <w:t>info@accan.org.au</w:t>
      </w:r>
    </w:p>
    <w:p w14:paraId="1DA9B000" w14:textId="77777777" w:rsidR="006C198F" w:rsidRDefault="007832F2">
      <w:pPr>
        <w:pStyle w:val="Letterhead1"/>
      </w:pPr>
      <w:r>
        <w:t>02 9288 4000</w:t>
      </w:r>
    </w:p>
    <w:p w14:paraId="1DA9B001" w14:textId="77777777" w:rsidR="006C198F" w:rsidRDefault="007832F2">
      <w:pPr>
        <w:tabs>
          <w:tab w:val="left" w:pos="3855"/>
        </w:tabs>
      </w:pPr>
      <w:r>
        <w:rPr>
          <w:noProof/>
        </w:rPr>
        <mc:AlternateContent>
          <mc:Choice Requires="wps">
            <w:drawing>
              <wp:anchor distT="0" distB="0" distL="114300" distR="114300" simplePos="0" relativeHeight="251658240" behindDoc="1" locked="0" layoutInCell="1" allowOverlap="1" wp14:anchorId="1DA9B008" wp14:editId="1DA9B009">
                <wp:simplePos x="0" y="0"/>
                <wp:positionH relativeFrom="column">
                  <wp:posOffset>-627378</wp:posOffset>
                </wp:positionH>
                <wp:positionV relativeFrom="page">
                  <wp:posOffset>1675573</wp:posOffset>
                </wp:positionV>
                <wp:extent cx="6892290" cy="45089"/>
                <wp:effectExtent l="0" t="0" r="3810" b="0"/>
                <wp:wrapNone/>
                <wp:docPr id="734656759" name="Rectangle 734656759"/>
                <wp:cNvGraphicFramePr/>
                <a:graphic xmlns:a="http://schemas.openxmlformats.org/drawingml/2006/main">
                  <a:graphicData uri="http://schemas.microsoft.com/office/word/2010/wordprocessingShape">
                    <wps:wsp>
                      <wps:cNvSpPr/>
                      <wps:spPr>
                        <a:xfrm>
                          <a:off x="0" y="0"/>
                          <a:ext cx="6892290" cy="45089"/>
                        </a:xfrm>
                        <a:prstGeom prst="rect">
                          <a:avLst/>
                        </a:prstGeom>
                        <a:solidFill>
                          <a:srgbClr val="43C7F4"/>
                        </a:solidFill>
                        <a:ln cap="flat">
                          <a:noFill/>
                          <a:prstDash val="solid"/>
                        </a:ln>
                      </wps:spPr>
                      <wps:bodyPr lIns="0" tIns="0" rIns="0" bIns="0"/>
                    </wps:wsp>
                  </a:graphicData>
                </a:graphic>
              </wp:anchor>
            </w:drawing>
          </mc:Choice>
          <mc:Fallback xmlns:arto="http://schemas.microsoft.com/office/word/2006/arto">
            <w:pict>
              <v:rect w14:anchorId="164E3617" id="Rectangle 4379" o:spid="_x0000_s1026" style="position:absolute;margin-left:-49.4pt;margin-top:131.95pt;width:542.7pt;height:3.55pt;z-index:-251658240;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" fillcolor="#43c7f4" stroked="f">
                <v:textbox inset="0,0,0,0"/>
                <w10:wrap anchory="page"/>
              </v:rect>
            </w:pict>
          </mc:Fallback>
        </mc:AlternateContent>
      </w:r>
    </w:p>
    <w:p w14:paraId="1DA9B002" w14:textId="77777777" w:rsidR="006C198F" w:rsidRDefault="006C198F">
      <w:pPr>
        <w:tabs>
          <w:tab w:val="right" w:pos="8931"/>
        </w:tabs>
        <w:rPr>
          <w:rFonts w:ascii="Gotham Black" w:hAnsi="Gotham Black"/>
          <w:color w:val="43C7F4"/>
          <w:sz w:val="36"/>
          <w:szCs w:val="36"/>
        </w:rPr>
      </w:pPr>
    </w:p>
    <w:p w14:paraId="1DA9B003" w14:textId="161084B6" w:rsidR="006C198F" w:rsidRDefault="007832F2">
      <w:pPr>
        <w:tabs>
          <w:tab w:val="right" w:pos="9026"/>
        </w:tabs>
      </w:pPr>
      <w:r>
        <w:rPr>
          <w:rStyle w:val="DocLabelChar"/>
        </w:rPr>
        <w:t>Submission</w:t>
      </w:r>
      <w:r>
        <w:rPr>
          <w:rFonts w:ascii="Gotham Black" w:hAnsi="Gotham Black"/>
          <w:color w:val="44C7F4"/>
          <w:sz w:val="36"/>
          <w:szCs w:val="36"/>
        </w:rPr>
        <w:tab/>
      </w:r>
      <w:bookmarkEnd w:id="0"/>
      <w:r w:rsidR="004F158E" w:rsidRPr="00411CA4">
        <w:rPr>
          <w:rFonts w:ascii="Verdana" w:hAnsi="Verdana"/>
          <w:b/>
          <w:bCs/>
        </w:rPr>
        <w:t xml:space="preserve">15 </w:t>
      </w:r>
      <w:r w:rsidR="00D825D3" w:rsidRPr="00411CA4">
        <w:rPr>
          <w:rStyle w:val="DocDateChar"/>
        </w:rPr>
        <w:t>September</w:t>
      </w:r>
      <w:r w:rsidR="000F5E89" w:rsidRPr="00411CA4">
        <w:rPr>
          <w:rStyle w:val="DocDateChar"/>
        </w:rPr>
        <w:t xml:space="preserve"> </w:t>
      </w:r>
      <w:r w:rsidR="000F5E89">
        <w:rPr>
          <w:rStyle w:val="DocDateChar"/>
        </w:rPr>
        <w:t>2023</w:t>
      </w:r>
    </w:p>
    <w:p w14:paraId="1DA9B00A" w14:textId="169EB768" w:rsidR="006C198F" w:rsidRDefault="000F5E89">
      <w:pPr>
        <w:suppressAutoHyphens w:val="0"/>
        <w:spacing w:after="160" w:line="256" w:lineRule="auto"/>
        <w:contextualSpacing/>
        <w:rPr>
          <w:rFonts w:eastAsia="Calibri" w:cs="Times New Roman"/>
          <w:kern w:val="3"/>
          <w:lang w:eastAsia="en-US"/>
        </w:rPr>
      </w:pPr>
      <w:r>
        <w:rPr>
          <w:rFonts w:eastAsia="Calibri" w:cs="Times New Roman"/>
          <w:kern w:val="3"/>
          <w:lang w:eastAsia="en-US"/>
        </w:rPr>
        <w:t>Webform submission</w:t>
      </w:r>
    </w:p>
    <w:p w14:paraId="1EA71844" w14:textId="0914BBBE" w:rsidR="000F5E89" w:rsidRDefault="004F7AD7">
      <w:pPr>
        <w:suppressAutoHyphens w:val="0"/>
        <w:spacing w:after="160" w:line="256" w:lineRule="auto"/>
        <w:contextualSpacing/>
        <w:rPr>
          <w:rFonts w:eastAsia="Calibri" w:cs="Times New Roman"/>
          <w:kern w:val="3"/>
          <w:lang w:eastAsia="en-US"/>
        </w:rPr>
      </w:pPr>
      <w:hyperlink r:id="rId16" w:history="1">
        <w:r w:rsidR="000F5E89" w:rsidRPr="00A42F91">
          <w:rPr>
            <w:rStyle w:val="Hyperlink"/>
            <w:rFonts w:eastAsia="Calibri" w:cs="Times New Roman"/>
            <w:kern w:val="3"/>
            <w:lang w:eastAsia="en-US"/>
          </w:rPr>
          <w:t>EnforcementCoordination@accc.gov.au</w:t>
        </w:r>
      </w:hyperlink>
      <w:r w:rsidR="000F5E89">
        <w:rPr>
          <w:rFonts w:eastAsia="Calibri" w:cs="Times New Roman"/>
          <w:kern w:val="3"/>
          <w:lang w:eastAsia="en-US"/>
        </w:rPr>
        <w:t xml:space="preserve"> </w:t>
      </w:r>
    </w:p>
    <w:p w14:paraId="3B3F7288" w14:textId="77777777" w:rsidR="000F5E89" w:rsidRDefault="000F5E89">
      <w:pPr>
        <w:suppressAutoHyphens w:val="0"/>
        <w:spacing w:after="160" w:line="256" w:lineRule="auto"/>
        <w:contextualSpacing/>
        <w:rPr>
          <w:rFonts w:eastAsia="Calibri" w:cs="Times New Roman"/>
          <w:kern w:val="3"/>
          <w:lang w:eastAsia="en-US"/>
        </w:rPr>
      </w:pPr>
    </w:p>
    <w:p w14:paraId="1DA9B00B" w14:textId="0383A701" w:rsidR="006C198F" w:rsidRDefault="007832F2">
      <w:pPr>
        <w:suppressAutoHyphens w:val="0"/>
        <w:spacing w:after="160" w:line="256" w:lineRule="auto"/>
        <w:contextualSpacing/>
        <w:jc w:val="center"/>
        <w:rPr>
          <w:rFonts w:eastAsia="Calibri" w:cs="Times New Roman"/>
          <w:b/>
          <w:bCs/>
          <w:kern w:val="3"/>
          <w:lang w:eastAsia="en-US"/>
        </w:rPr>
      </w:pPr>
      <w:r>
        <w:rPr>
          <w:rFonts w:eastAsia="Calibri" w:cs="Times New Roman"/>
          <w:b/>
          <w:bCs/>
          <w:kern w:val="3"/>
          <w:lang w:eastAsia="en-US"/>
        </w:rPr>
        <w:t xml:space="preserve">Re: </w:t>
      </w:r>
      <w:r w:rsidR="000F5E89" w:rsidRPr="000F5E89">
        <w:rPr>
          <w:rFonts w:eastAsia="Calibri" w:cs="Times New Roman"/>
          <w:b/>
          <w:bCs/>
          <w:kern w:val="3"/>
          <w:lang w:eastAsia="en-US"/>
        </w:rPr>
        <w:t>Environmental and sustainability claims - Draft guidance for business</w:t>
      </w:r>
    </w:p>
    <w:p w14:paraId="1DA9B00C" w14:textId="77777777" w:rsidR="006C198F" w:rsidRDefault="006C198F">
      <w:pPr>
        <w:suppressAutoHyphens w:val="0"/>
        <w:spacing w:after="160" w:line="256" w:lineRule="auto"/>
        <w:contextualSpacing/>
        <w:rPr>
          <w:rFonts w:eastAsia="Calibri" w:cs="Times New Roman"/>
          <w:kern w:val="3"/>
          <w:lang w:eastAsia="en-US"/>
        </w:rPr>
      </w:pPr>
    </w:p>
    <w:p w14:paraId="1DA9B00D" w14:textId="508E9BD2" w:rsidR="006C198F" w:rsidRDefault="007832F2">
      <w:pPr>
        <w:tabs>
          <w:tab w:val="right" w:pos="9026"/>
        </w:tabs>
      </w:pPr>
      <w:r>
        <w:t>The Australian Communications Consumer Action Network (</w:t>
      </w:r>
      <w:r>
        <w:rPr>
          <w:b/>
          <w:bCs/>
        </w:rPr>
        <w:t>ACCAN)</w:t>
      </w:r>
      <w:r>
        <w:t xml:space="preserve"> thanks the Australian </w:t>
      </w:r>
      <w:r w:rsidR="006B0586">
        <w:t xml:space="preserve">Competition and Consumer Commission </w:t>
      </w:r>
      <w:r>
        <w:t>(</w:t>
      </w:r>
      <w:r>
        <w:rPr>
          <w:b/>
          <w:bCs/>
        </w:rPr>
        <w:t>A</w:t>
      </w:r>
      <w:r w:rsidR="006B0586">
        <w:rPr>
          <w:b/>
          <w:bCs/>
        </w:rPr>
        <w:t>CCC</w:t>
      </w:r>
      <w:r>
        <w:t xml:space="preserve">) for the opportunity to comment on the </w:t>
      </w:r>
      <w:r w:rsidR="006B0586" w:rsidRPr="006B0586">
        <w:t xml:space="preserve">Environmental and </w:t>
      </w:r>
      <w:r w:rsidR="0024094A">
        <w:t>s</w:t>
      </w:r>
      <w:r w:rsidR="006B0586" w:rsidRPr="006B0586">
        <w:t>ustainability claims - Draft guidance for business</w:t>
      </w:r>
      <w:r w:rsidR="006B0586">
        <w:t xml:space="preserve"> (</w:t>
      </w:r>
      <w:r w:rsidR="00211D82" w:rsidRPr="00211D82">
        <w:rPr>
          <w:b/>
          <w:bCs/>
        </w:rPr>
        <w:t xml:space="preserve">the </w:t>
      </w:r>
      <w:r w:rsidR="006B0586" w:rsidRPr="006B0586">
        <w:rPr>
          <w:b/>
          <w:bCs/>
        </w:rPr>
        <w:t xml:space="preserve">Draft </w:t>
      </w:r>
      <w:r w:rsidR="006B0586">
        <w:rPr>
          <w:b/>
          <w:bCs/>
        </w:rPr>
        <w:t>G</w:t>
      </w:r>
      <w:r w:rsidR="006B0586" w:rsidRPr="006B0586">
        <w:rPr>
          <w:b/>
          <w:bCs/>
        </w:rPr>
        <w:t>uidance</w:t>
      </w:r>
      <w:r w:rsidR="006B0586">
        <w:t xml:space="preserve">). </w:t>
      </w:r>
    </w:p>
    <w:p w14:paraId="1DA9B011" w14:textId="0414CBC4" w:rsidR="006C198F" w:rsidRDefault="007832F2" w:rsidP="000F5E89">
      <w:pPr>
        <w:tabs>
          <w:tab w:val="right" w:pos="9026"/>
        </w:tabs>
      </w:pPr>
      <w:r>
        <w:t>ACCAN is the peak body that represents consumers on communications issues including telecommunications, broadband, and emerging new services. ACCAN provides a strong unified voice to industry and government as we work towards communications services that are trusted, inclusive and available for all.</w:t>
      </w:r>
    </w:p>
    <w:p w14:paraId="5AC922CB" w14:textId="78196683" w:rsidR="006034BA" w:rsidRDefault="009A796F" w:rsidP="0086286F">
      <w:pPr>
        <w:tabs>
          <w:tab w:val="right" w:pos="9026"/>
        </w:tabs>
      </w:pPr>
      <w:r>
        <w:t xml:space="preserve">ACCAN recognises that consumers may interact with sustainability claims in telecommunications markets in the form of </w:t>
      </w:r>
      <w:r w:rsidR="0082266E">
        <w:t xml:space="preserve">sustainability </w:t>
      </w:r>
      <w:r>
        <w:t xml:space="preserve">claims made by </w:t>
      </w:r>
      <w:r w:rsidR="0082266E">
        <w:t>telecommunications Retail Service Providers (</w:t>
      </w:r>
      <w:r w:rsidR="0082266E" w:rsidRPr="0082266E">
        <w:rPr>
          <w:b/>
          <w:bCs/>
        </w:rPr>
        <w:t>RSPs</w:t>
      </w:r>
      <w:r w:rsidR="0082266E">
        <w:t>)</w:t>
      </w:r>
      <w:r>
        <w:t>.</w:t>
      </w:r>
      <w:r>
        <w:rPr>
          <w:rStyle w:val="FootnoteReference"/>
        </w:rPr>
        <w:footnoteReference w:id="2"/>
      </w:r>
      <w:r w:rsidR="00903A9A">
        <w:t xml:space="preserve"> </w:t>
      </w:r>
      <w:r w:rsidR="00CF75FE">
        <w:t>ACCAN encourages the ACCC to read this submission in conjunction with our recent submission to the Senate Standing Committees on Environment and Communications inquiry into greenwashing.</w:t>
      </w:r>
      <w:r w:rsidR="00CF75FE">
        <w:rPr>
          <w:rStyle w:val="FootnoteReference"/>
        </w:rPr>
        <w:footnoteReference w:id="3"/>
      </w:r>
    </w:p>
    <w:p w14:paraId="6B9CB6CF" w14:textId="7FF78F4A" w:rsidR="00FD3C14" w:rsidRDefault="006039F8">
      <w:pPr>
        <w:tabs>
          <w:tab w:val="right" w:pos="9026"/>
        </w:tabs>
      </w:pPr>
      <w:r w:rsidRPr="006039F8">
        <w:t xml:space="preserve">Please see </w:t>
      </w:r>
      <w:r w:rsidRPr="006039F8">
        <w:rPr>
          <w:b/>
          <w:bCs/>
        </w:rPr>
        <w:t>Attachment A</w:t>
      </w:r>
      <w:r w:rsidRPr="006039F8">
        <w:t xml:space="preserve"> for </w:t>
      </w:r>
      <w:r w:rsidR="006D7A19">
        <w:t xml:space="preserve">our response to the </w:t>
      </w:r>
      <w:r w:rsidR="00486E33">
        <w:t>q</w:t>
      </w:r>
      <w:r w:rsidR="006D7A19" w:rsidRPr="006D7A19">
        <w:t>uestions for consumers and consumer advocates</w:t>
      </w:r>
      <w:r w:rsidR="009A34EA">
        <w:t>.</w:t>
      </w:r>
      <w:r w:rsidR="009A34EA">
        <w:rPr>
          <w:rStyle w:val="FootnoteReference"/>
        </w:rPr>
        <w:footnoteReference w:id="4"/>
      </w:r>
    </w:p>
    <w:p w14:paraId="1DA9B015" w14:textId="160F7F8B" w:rsidR="006C198F" w:rsidRDefault="007832F2">
      <w:pPr>
        <w:tabs>
          <w:tab w:val="right" w:pos="9026"/>
        </w:tabs>
      </w:pPr>
      <w:r>
        <w:t xml:space="preserve">We thank the </w:t>
      </w:r>
      <w:r w:rsidR="006B0586">
        <w:t>ACCC</w:t>
      </w:r>
      <w:r>
        <w:t xml:space="preserve"> for the opportunity to comment on the </w:t>
      </w:r>
      <w:r w:rsidR="006B0586">
        <w:t>Draft Guidance</w:t>
      </w:r>
      <w:r>
        <w:t>. Should you wish to discuss any of the issues raised in this submission further, please do not hesitate to contact me at:</w:t>
      </w:r>
      <w:r w:rsidR="00A50FE6">
        <w:t xml:space="preserve"> </w:t>
      </w:r>
      <w:hyperlink r:id="rId17" w:history="1">
        <w:r w:rsidR="00A50FE6" w:rsidRPr="00A42F91">
          <w:rPr>
            <w:rStyle w:val="Hyperlink"/>
          </w:rPr>
          <w:t>con.gouskos@accan.org.au</w:t>
        </w:r>
      </w:hyperlink>
      <w:r w:rsidR="00A50FE6">
        <w:t xml:space="preserve">.  </w:t>
      </w:r>
    </w:p>
    <w:p w14:paraId="1DA9B016" w14:textId="77777777" w:rsidR="006C198F" w:rsidRDefault="007832F2">
      <w:pPr>
        <w:tabs>
          <w:tab w:val="right" w:pos="9026"/>
        </w:tabs>
      </w:pPr>
      <w:r>
        <w:t xml:space="preserve">Yours sincerely, </w:t>
      </w:r>
    </w:p>
    <w:p w14:paraId="1DA9B017" w14:textId="3155FA01" w:rsidR="006C198F" w:rsidRDefault="00A50FE6">
      <w:pPr>
        <w:tabs>
          <w:tab w:val="right" w:pos="9026"/>
        </w:tabs>
      </w:pPr>
      <w:r>
        <w:t>Con Gouskos</w:t>
      </w:r>
    </w:p>
    <w:p w14:paraId="16C19F02" w14:textId="3D8B9D1B" w:rsidR="00A50FE6" w:rsidRDefault="00A50FE6">
      <w:pPr>
        <w:tabs>
          <w:tab w:val="right" w:pos="9026"/>
        </w:tabs>
      </w:pPr>
      <w:r>
        <w:t>Policy Officer</w:t>
      </w:r>
    </w:p>
    <w:p w14:paraId="1DA9B018" w14:textId="77777777" w:rsidR="006C198F" w:rsidRDefault="006C198F">
      <w:pPr>
        <w:tabs>
          <w:tab w:val="right" w:pos="9026"/>
        </w:tabs>
      </w:pPr>
    </w:p>
    <w:p w14:paraId="1DA9B01C" w14:textId="77777777" w:rsidR="006C198F" w:rsidRPr="006039F8" w:rsidRDefault="006C198F">
      <w:pPr>
        <w:rPr>
          <w:b/>
          <w:bCs/>
          <w:sz w:val="28"/>
          <w:szCs w:val="28"/>
        </w:rPr>
      </w:pPr>
    </w:p>
    <w:p w14:paraId="263EA77C" w14:textId="77777777" w:rsidR="00B77A23" w:rsidRPr="006039F8" w:rsidRDefault="00B77A23">
      <w:pPr>
        <w:rPr>
          <w:b/>
          <w:bCs/>
          <w:sz w:val="28"/>
          <w:szCs w:val="28"/>
        </w:rPr>
      </w:pPr>
    </w:p>
    <w:p w14:paraId="1DA9B01D" w14:textId="0F961062" w:rsidR="006C198F" w:rsidRPr="006039F8" w:rsidRDefault="006039F8">
      <w:pPr>
        <w:rPr>
          <w:b/>
          <w:bCs/>
          <w:sz w:val="28"/>
          <w:szCs w:val="28"/>
        </w:rPr>
      </w:pPr>
      <w:r w:rsidRPr="006039F8">
        <w:rPr>
          <w:b/>
          <w:bCs/>
          <w:sz w:val="28"/>
          <w:szCs w:val="28"/>
        </w:rPr>
        <w:lastRenderedPageBreak/>
        <w:t>Attachment A</w:t>
      </w:r>
      <w:r w:rsidR="0079578F">
        <w:rPr>
          <w:b/>
          <w:bCs/>
          <w:sz w:val="28"/>
          <w:szCs w:val="28"/>
        </w:rPr>
        <w:t xml:space="preserve">. Response to </w:t>
      </w:r>
      <w:r w:rsidR="003F4AEA">
        <w:rPr>
          <w:b/>
          <w:bCs/>
          <w:sz w:val="28"/>
          <w:szCs w:val="28"/>
        </w:rPr>
        <w:t>questions</w:t>
      </w:r>
    </w:p>
    <w:p w14:paraId="676B8A30" w14:textId="2882224D" w:rsidR="00612660" w:rsidRDefault="00612660">
      <w:pPr>
        <w:rPr>
          <w:b/>
          <w:bCs/>
        </w:rPr>
      </w:pPr>
      <w:r w:rsidRPr="00903A9A">
        <w:rPr>
          <w:b/>
          <w:bCs/>
        </w:rPr>
        <w:t>Which types of environmental or sustainability claims do you think are the most confusing for consumers?</w:t>
      </w:r>
    </w:p>
    <w:p w14:paraId="1339DC21" w14:textId="1DCB34FB" w:rsidR="002C5136" w:rsidRDefault="003F62D1">
      <w:r>
        <w:t>In</w:t>
      </w:r>
      <w:r w:rsidR="004F4DF2">
        <w:t xml:space="preserve"> telecommunications markets</w:t>
      </w:r>
      <w:r>
        <w:t>,</w:t>
      </w:r>
      <w:r w:rsidR="004F4DF2">
        <w:t xml:space="preserve"> </w:t>
      </w:r>
      <w:r w:rsidR="00130358">
        <w:t>consumers may be unsure as to how they contribute to the sustainability of the organisation</w:t>
      </w:r>
      <w:r w:rsidR="004F4DF2">
        <w:t>.</w:t>
      </w:r>
      <w:r w:rsidR="004F4DF2">
        <w:rPr>
          <w:rStyle w:val="FootnoteReference"/>
        </w:rPr>
        <w:footnoteReference w:id="5"/>
      </w:r>
      <w:r w:rsidR="004F4DF2">
        <w:t xml:space="preserve"> </w:t>
      </w:r>
      <w:r w:rsidR="00DB789E">
        <w:t>RSPs may not effectively explain their claims in relation to:</w:t>
      </w:r>
    </w:p>
    <w:p w14:paraId="4076A5D6" w14:textId="5F1CA720" w:rsidR="00305902" w:rsidRDefault="00084A02" w:rsidP="00084A02">
      <w:pPr>
        <w:pStyle w:val="ListParagraph"/>
        <w:numPr>
          <w:ilvl w:val="0"/>
          <w:numId w:val="6"/>
        </w:numPr>
      </w:pPr>
      <w:r>
        <w:t>The</w:t>
      </w:r>
      <w:r w:rsidR="009561C0">
        <w:t xml:space="preserve"> </w:t>
      </w:r>
      <w:r w:rsidR="00476781">
        <w:t xml:space="preserve">specifics of how their organisations achieve carbon neutrality. </w:t>
      </w:r>
    </w:p>
    <w:p w14:paraId="00BAE9C6" w14:textId="7AD886D7" w:rsidR="00476781" w:rsidRDefault="004E3537" w:rsidP="00084A02">
      <w:pPr>
        <w:pStyle w:val="ListParagraph"/>
        <w:numPr>
          <w:ilvl w:val="0"/>
          <w:numId w:val="6"/>
        </w:numPr>
      </w:pPr>
      <w:r>
        <w:t xml:space="preserve">How the services and operations </w:t>
      </w:r>
      <w:r w:rsidR="0056089A">
        <w:t xml:space="preserve">of the </w:t>
      </w:r>
      <w:r w:rsidR="00EA2461">
        <w:t>RSP</w:t>
      </w:r>
      <w:r w:rsidR="0056089A">
        <w:t xml:space="preserve"> are calculated and offset</w:t>
      </w:r>
      <w:r w:rsidR="009561C0">
        <w:t>.</w:t>
      </w:r>
    </w:p>
    <w:p w14:paraId="7C5EEE19" w14:textId="2E4B9BD4" w:rsidR="00084A02" w:rsidRDefault="00476781" w:rsidP="00084A02">
      <w:pPr>
        <w:pStyle w:val="ListParagraph"/>
        <w:numPr>
          <w:ilvl w:val="0"/>
          <w:numId w:val="6"/>
        </w:numPr>
      </w:pPr>
      <w:r>
        <w:t xml:space="preserve">The reliability of the offsetting methods used by </w:t>
      </w:r>
      <w:r w:rsidR="00055FAD">
        <w:t>RSP</w:t>
      </w:r>
      <w:r>
        <w:t xml:space="preserve">. </w:t>
      </w:r>
      <w:r w:rsidR="009561C0">
        <w:t xml:space="preserve"> </w:t>
      </w:r>
    </w:p>
    <w:p w14:paraId="0C4DF142" w14:textId="4E12AA67" w:rsidR="003B6A81" w:rsidRPr="003B6A81" w:rsidRDefault="004F4DF2" w:rsidP="003B6A81">
      <w:pPr>
        <w:pStyle w:val="ListParagraph"/>
        <w:numPr>
          <w:ilvl w:val="0"/>
          <w:numId w:val="6"/>
        </w:numPr>
        <w:rPr>
          <w:b/>
          <w:bCs/>
        </w:rPr>
      </w:pPr>
      <w:r>
        <w:t>The legitimate impact of any improved packaging methods</w:t>
      </w:r>
      <w:r w:rsidR="00287107">
        <w:t xml:space="preserve"> used by</w:t>
      </w:r>
      <w:r w:rsidR="003B6A81">
        <w:t xml:space="preserve"> RSPs. </w:t>
      </w:r>
    </w:p>
    <w:p w14:paraId="1DA9B01E" w14:textId="0EFC9E34" w:rsidR="006C198F" w:rsidRPr="003B6A81" w:rsidRDefault="00886E55" w:rsidP="003B6A81">
      <w:pPr>
        <w:rPr>
          <w:b/>
          <w:bCs/>
        </w:rPr>
      </w:pPr>
      <w:r w:rsidRPr="003B6A81">
        <w:rPr>
          <w:b/>
          <w:bCs/>
        </w:rPr>
        <w:t>What type of environmental or sustainability information do you think needs to be provided to consumers to allow them to make informed purchasing decisions?</w:t>
      </w:r>
    </w:p>
    <w:p w14:paraId="0C8DE075" w14:textId="790D51DC" w:rsidR="009561C0" w:rsidRPr="009561C0" w:rsidRDefault="00227640">
      <w:r>
        <w:t xml:space="preserve">In telecommunications markets, consumers often browse for and purchase services </w:t>
      </w:r>
      <w:r w:rsidR="00943F17">
        <w:t xml:space="preserve">online where RSPs </w:t>
      </w:r>
      <w:r w:rsidR="005F65D0">
        <w:t>can</w:t>
      </w:r>
      <w:r>
        <w:t xml:space="preserve"> give consumers </w:t>
      </w:r>
      <w:r w:rsidR="004459DF">
        <w:t xml:space="preserve">substantial information on the nature of the services they are purchasing. </w:t>
      </w:r>
      <w:r w:rsidR="00943F17">
        <w:t>RSPs</w:t>
      </w:r>
      <w:r w:rsidR="004459DF">
        <w:t xml:space="preserve"> making sustainability claims should </w:t>
      </w:r>
      <w:r w:rsidR="00174CB3">
        <w:t>provide</w:t>
      </w:r>
      <w:r w:rsidR="004459DF">
        <w:t xml:space="preserve"> </w:t>
      </w:r>
      <w:r w:rsidR="00DB789E">
        <w:t>comprehensive information</w:t>
      </w:r>
      <w:r w:rsidR="004459DF">
        <w:t xml:space="preserve"> to consumers related to their sustainability claims.</w:t>
      </w:r>
      <w:r w:rsidR="005F65D0">
        <w:t xml:space="preserve"> </w:t>
      </w:r>
      <w:r w:rsidR="004459DF">
        <w:t xml:space="preserve"> </w:t>
      </w:r>
    </w:p>
    <w:p w14:paraId="2DF683DD" w14:textId="13F24E83" w:rsidR="009561C0" w:rsidRDefault="00D3402C">
      <w:r>
        <w:t xml:space="preserve">According to the Consumer Policy Research Centre, </w:t>
      </w:r>
      <w:r w:rsidR="00EA739C">
        <w:t>‘45% of Australians always or often consider sustainability as part of their purchasing decision-making’.</w:t>
      </w:r>
      <w:r w:rsidR="00EA739C">
        <w:rPr>
          <w:rStyle w:val="FootnoteReference"/>
        </w:rPr>
        <w:footnoteReference w:id="6"/>
      </w:r>
      <w:r w:rsidR="007D42FB">
        <w:t xml:space="preserve"> </w:t>
      </w:r>
      <w:r w:rsidR="00AF283E">
        <w:t xml:space="preserve">This demonstrates that consumers would likely appreciate </w:t>
      </w:r>
      <w:r w:rsidR="00202078">
        <w:t xml:space="preserve">clear and concise </w:t>
      </w:r>
      <w:r w:rsidR="00AF283E">
        <w:t xml:space="preserve">information </w:t>
      </w:r>
      <w:r w:rsidR="008E4891">
        <w:t>on the nature of the organisations’ sustainability claims. Providing</w:t>
      </w:r>
      <w:r w:rsidR="005F65D0" w:rsidRPr="005F65D0">
        <w:t xml:space="preserve"> more information on the </w:t>
      </w:r>
      <w:r w:rsidR="008E4891">
        <w:t>RSPs sustainability</w:t>
      </w:r>
      <w:r w:rsidR="005F65D0" w:rsidRPr="005F65D0">
        <w:t xml:space="preserve"> practices may </w:t>
      </w:r>
      <w:r w:rsidR="008E4891">
        <w:t>provide</w:t>
      </w:r>
      <w:r w:rsidR="005F65D0" w:rsidRPr="005F65D0">
        <w:t xml:space="preserve"> </w:t>
      </w:r>
      <w:r w:rsidR="008E4891">
        <w:t>the RSP</w:t>
      </w:r>
      <w:r w:rsidR="005F65D0" w:rsidRPr="005F65D0">
        <w:t xml:space="preserve"> a competitive advantage with </w:t>
      </w:r>
      <w:r w:rsidR="008E4891">
        <w:t>consumers</w:t>
      </w:r>
      <w:r w:rsidR="00E5791C">
        <w:t xml:space="preserve">. </w:t>
      </w:r>
      <w:r w:rsidR="005F65D0">
        <w:t xml:space="preserve"> </w:t>
      </w:r>
    </w:p>
    <w:p w14:paraId="2856E833" w14:textId="09BE1E74" w:rsidR="005F65D0" w:rsidRDefault="0091712E">
      <w:r>
        <w:t>RSPs</w:t>
      </w:r>
      <w:r w:rsidR="003F0890">
        <w:t xml:space="preserve"> should: </w:t>
      </w:r>
    </w:p>
    <w:p w14:paraId="5BADE3DE" w14:textId="3386C4EF" w:rsidR="003F0890" w:rsidRDefault="006E1D33" w:rsidP="003F0890">
      <w:pPr>
        <w:pStyle w:val="ListParagraph"/>
        <w:numPr>
          <w:ilvl w:val="0"/>
          <w:numId w:val="9"/>
        </w:numPr>
      </w:pPr>
      <w:r>
        <w:t xml:space="preserve">Provide </w:t>
      </w:r>
      <w:r w:rsidR="00586AD7">
        <w:t>details on the nature of their carbon offsetting proce</w:t>
      </w:r>
      <w:r w:rsidR="00314250">
        <w:t xml:space="preserve">sses including the quantity, </w:t>
      </w:r>
      <w:r w:rsidR="00B50DA0">
        <w:t>nature,</w:t>
      </w:r>
      <w:r w:rsidR="00314250">
        <w:t xml:space="preserve"> and location of their offsetting projects. </w:t>
      </w:r>
    </w:p>
    <w:p w14:paraId="04E3ACCB" w14:textId="12555953" w:rsidR="00586AD7" w:rsidRDefault="00447318" w:rsidP="003F0890">
      <w:pPr>
        <w:pStyle w:val="ListParagraph"/>
        <w:numPr>
          <w:ilvl w:val="0"/>
          <w:numId w:val="9"/>
        </w:numPr>
      </w:pPr>
      <w:r>
        <w:t xml:space="preserve">Provide information about their carbon neutrality </w:t>
      </w:r>
      <w:r w:rsidR="00EA6A06">
        <w:t xml:space="preserve">exceeding </w:t>
      </w:r>
      <w:r>
        <w:t xml:space="preserve">a reference to </w:t>
      </w:r>
      <w:r w:rsidR="00D86E05">
        <w:t>a climate certification</w:t>
      </w:r>
      <w:r>
        <w:t xml:space="preserve">. Ensuring that consumers have </w:t>
      </w:r>
      <w:r w:rsidR="003C128C">
        <w:t xml:space="preserve">relevant </w:t>
      </w:r>
      <w:r>
        <w:t xml:space="preserve">information to base their sustainability purchases on is crucial to the functioning of an effective market. </w:t>
      </w:r>
    </w:p>
    <w:p w14:paraId="31962BB5" w14:textId="08AA22AF" w:rsidR="00C96C38" w:rsidRDefault="00822A5A" w:rsidP="00C96C38">
      <w:pPr>
        <w:pStyle w:val="ListParagraph"/>
        <w:numPr>
          <w:ilvl w:val="0"/>
          <w:numId w:val="9"/>
        </w:numPr>
      </w:pPr>
      <w:r>
        <w:t xml:space="preserve">Ensure that any sustainability focussed </w:t>
      </w:r>
      <w:r w:rsidR="00EC1F18">
        <w:t xml:space="preserve">packaging claims are </w:t>
      </w:r>
      <w:r w:rsidR="00CF157A">
        <w:t xml:space="preserve">substantiated with information </w:t>
      </w:r>
      <w:r w:rsidR="00E50451">
        <w:t xml:space="preserve">on their impact </w:t>
      </w:r>
      <w:r w:rsidR="00A35962">
        <w:t>on the RSP</w:t>
      </w:r>
      <w:r w:rsidR="00484A32">
        <w:t>’</w:t>
      </w:r>
      <w:r w:rsidR="00A35962">
        <w:t>s sustainability</w:t>
      </w:r>
      <w:r w:rsidR="007A04D9">
        <w:t xml:space="preserve">. </w:t>
      </w:r>
    </w:p>
    <w:p w14:paraId="22B82CED" w14:textId="133C8BD3" w:rsidR="00886E55" w:rsidRPr="007D7C41" w:rsidRDefault="00011381">
      <w:pPr>
        <w:rPr>
          <w:b/>
          <w:bCs/>
        </w:rPr>
      </w:pPr>
      <w:r w:rsidRPr="007D7C41">
        <w:rPr>
          <w:b/>
          <w:bCs/>
        </w:rPr>
        <w:t>What do you think is the most useful way for businesses to provide information about their environmental or sustainability credentials to consumers?</w:t>
      </w:r>
    </w:p>
    <w:p w14:paraId="58E751E9" w14:textId="77777777" w:rsidR="007D7C41" w:rsidRPr="007D7C41" w:rsidRDefault="007D7C41" w:rsidP="007D7C41">
      <w:pPr>
        <w:ind w:left="720"/>
        <w:rPr>
          <w:b/>
          <w:bCs/>
        </w:rPr>
      </w:pPr>
      <w:r w:rsidRPr="007D7C41">
        <w:rPr>
          <w:b/>
          <w:bCs/>
        </w:rPr>
        <w:t>(a) For example, do you think information should be provided on product labels, websites, or through QR Codes?</w:t>
      </w:r>
    </w:p>
    <w:p w14:paraId="4363DD80" w14:textId="0FD2E6E4" w:rsidR="00491627" w:rsidRDefault="007D7C41" w:rsidP="007832F2">
      <w:pPr>
        <w:ind w:left="720"/>
        <w:rPr>
          <w:b/>
          <w:bCs/>
        </w:rPr>
      </w:pPr>
      <w:r w:rsidRPr="007D7C41">
        <w:rPr>
          <w:b/>
          <w:bCs/>
        </w:rPr>
        <w:t>(b) Do you think certified trademarks and other certification schemes help consumers better understand a business’ environmental and sustainability credentials?</w:t>
      </w:r>
    </w:p>
    <w:p w14:paraId="580F49B8" w14:textId="4F69B59B" w:rsidR="0084652C" w:rsidRDefault="00E046A4" w:rsidP="000832E1">
      <w:r>
        <w:lastRenderedPageBreak/>
        <w:t>Business should provide information to consumers in a simple, clear</w:t>
      </w:r>
      <w:r w:rsidR="00BA1FE7">
        <w:t>,</w:t>
      </w:r>
      <w:r>
        <w:t xml:space="preserve"> format that provides relevant information </w:t>
      </w:r>
      <w:r w:rsidR="00BF45C2">
        <w:t>in a way</w:t>
      </w:r>
      <w:r w:rsidR="001C6CF6">
        <w:t xml:space="preserve"> that is most convenient to consumers</w:t>
      </w:r>
      <w:r w:rsidR="00BF45C2">
        <w:t xml:space="preserve">. Ensuring consumers can </w:t>
      </w:r>
      <w:r w:rsidR="00A7332B">
        <w:t xml:space="preserve">acquire </w:t>
      </w:r>
      <w:r w:rsidR="00BF45C2">
        <w:t>relevant information at least cost is critical to reducing the information costs faced by consumers and promoting effective market function through competition.</w:t>
      </w:r>
    </w:p>
    <w:p w14:paraId="436BBF6C" w14:textId="2568EC3A" w:rsidR="007D7C41" w:rsidRDefault="00BF45C2" w:rsidP="000832E1">
      <w:r>
        <w:t xml:space="preserve">In ACCAN’s view </w:t>
      </w:r>
      <w:r w:rsidR="00CF2CFD">
        <w:t>the most</w:t>
      </w:r>
      <w:r w:rsidR="000832E1">
        <w:t xml:space="preserve"> useful way for RSPs to provide information about their environmental or sustainability credentials to consumers is through their websites</w:t>
      </w:r>
      <w:r>
        <w:t>, access to which can be supported via QR codes and appropriate labelling</w:t>
      </w:r>
      <w:r w:rsidR="000832E1">
        <w:t>.</w:t>
      </w:r>
      <w:r w:rsidR="008762F8">
        <w:t xml:space="preserve"> </w:t>
      </w:r>
      <w:r w:rsidR="00B13884">
        <w:t xml:space="preserve">RSPs should ensure that their websites are accessible and inclusive in accordance with best practice. </w:t>
      </w:r>
    </w:p>
    <w:p w14:paraId="1FFBB9EA" w14:textId="65E193CB" w:rsidR="001C0548" w:rsidRDefault="00033677">
      <w:r>
        <w:t xml:space="preserve">ACCAN considers that </w:t>
      </w:r>
      <w:r w:rsidR="00886250">
        <w:t>in telecommunications markets, certification schemes do assist consumers in better understanding an RSP</w:t>
      </w:r>
      <w:r w:rsidR="004F7AD7">
        <w:t>’</w:t>
      </w:r>
      <w:r w:rsidR="00886250">
        <w:t xml:space="preserve">s environmental and sustainability credentials. </w:t>
      </w:r>
      <w:r w:rsidR="001C0548">
        <w:t>ACCAN is pleased to acknowledge that many of the largest sustainability promoting RSPs have been certified by the</w:t>
      </w:r>
      <w:r w:rsidR="00596C6A">
        <w:t xml:space="preserve"> Climate Active Program.</w:t>
      </w:r>
      <w:r w:rsidR="00871A62">
        <w:rPr>
          <w:rStyle w:val="FootnoteReference"/>
        </w:rPr>
        <w:footnoteReference w:id="7"/>
      </w:r>
      <w:r w:rsidR="004A45CC" w:rsidRPr="004A45CC">
        <w:t xml:space="preserve"> </w:t>
      </w:r>
    </w:p>
    <w:p w14:paraId="1DA9B01F" w14:textId="2C186ECC" w:rsidR="006C198F" w:rsidRDefault="007039DE">
      <w:pPr>
        <w:rPr>
          <w:b/>
          <w:bCs/>
        </w:rPr>
      </w:pPr>
      <w:r w:rsidRPr="008D276A">
        <w:rPr>
          <w:b/>
          <w:bCs/>
        </w:rPr>
        <w:t>Do you think that the principles in this draft guidance will assist businesses in making more trustworthy environmental and sustainability claims?</w:t>
      </w:r>
    </w:p>
    <w:p w14:paraId="2B7DEA38" w14:textId="53583DAA" w:rsidR="00FD719A" w:rsidRDefault="009022C5" w:rsidP="00392188">
      <w:r>
        <w:t>ACCAN supports the Draft</w:t>
      </w:r>
      <w:r w:rsidR="00777555">
        <w:t xml:space="preserve"> </w:t>
      </w:r>
      <w:r w:rsidR="00661989">
        <w:t>G</w:t>
      </w:r>
      <w:r w:rsidR="00777555">
        <w:t>uidance’s principles</w:t>
      </w:r>
      <w:r w:rsidR="00392188">
        <w:t xml:space="preserve"> and </w:t>
      </w:r>
      <w:r w:rsidR="00E72CD8">
        <w:t xml:space="preserve">believes that the </w:t>
      </w:r>
      <w:r w:rsidR="00D507D7">
        <w:t>D</w:t>
      </w:r>
      <w:r w:rsidR="00E72CD8">
        <w:t xml:space="preserve">raft </w:t>
      </w:r>
      <w:r w:rsidR="00661989">
        <w:t>G</w:t>
      </w:r>
      <w:r w:rsidR="00E72CD8">
        <w:t xml:space="preserve">uidance will assist businesses in making more trustworthy environmental and sustainability claims. </w:t>
      </w:r>
      <w:r w:rsidR="00E45CFE">
        <w:t>ACCAN supports the ACCC being provided with additional resources to investigate and take enforcement action against businesses engaging in greenwashing or falsifying sustainability claims.</w:t>
      </w:r>
      <w:r w:rsidR="001A5C39">
        <w:rPr>
          <w:rStyle w:val="FootnoteReference"/>
        </w:rPr>
        <w:footnoteReference w:id="8"/>
      </w:r>
    </w:p>
    <w:p w14:paraId="1DA9B020" w14:textId="3C89D9FB" w:rsidR="006C198F" w:rsidRDefault="00A55D5E">
      <w:pPr>
        <w:rPr>
          <w:b/>
          <w:bCs/>
        </w:rPr>
      </w:pPr>
      <w:r w:rsidRPr="0039554C">
        <w:rPr>
          <w:b/>
          <w:bCs/>
        </w:rPr>
        <w:t>Is there anything missing from this guidance that you think would help businesses when making environmental and sustainability claims or consumers when assessing claims?</w:t>
      </w:r>
    </w:p>
    <w:p w14:paraId="530DF08F" w14:textId="7B42831D" w:rsidR="00C476BB" w:rsidRDefault="00392188" w:rsidP="00392188">
      <w:r>
        <w:t xml:space="preserve">ACCAN would support amending principle 5 of the </w:t>
      </w:r>
      <w:r w:rsidR="00BA52D2">
        <w:t>D</w:t>
      </w:r>
      <w:r>
        <w:t xml:space="preserve">raft </w:t>
      </w:r>
      <w:r w:rsidR="00D13669">
        <w:t>G</w:t>
      </w:r>
      <w:r>
        <w:t>uidance</w:t>
      </w:r>
      <w:r w:rsidR="00DD08EE">
        <w:t xml:space="preserve"> to: </w:t>
      </w:r>
    </w:p>
    <w:p w14:paraId="1DA9B021" w14:textId="08F52019" w:rsidR="006C198F" w:rsidRPr="007E7641" w:rsidRDefault="007E7641" w:rsidP="00F813C8">
      <w:pPr>
        <w:ind w:left="720"/>
      </w:pPr>
      <w:r w:rsidRPr="007B3C9B">
        <w:t>Broad claims can be interpreted widely and more easily mislead consumers than clear, specific claims that are substantiated. Ensure that you clearly qualify your claims, with prominent disclaimers, if there are any limitations to them.</w:t>
      </w:r>
      <w:r>
        <w:t xml:space="preserve"> </w:t>
      </w:r>
      <w:r w:rsidR="005A4743">
        <w:t>‘’</w:t>
      </w:r>
      <w:r w:rsidR="009E2055" w:rsidRPr="005A4743">
        <w:rPr>
          <w:b/>
          <w:bCs/>
        </w:rPr>
        <w:t xml:space="preserve">When assessing the claims you make, have regard to </w:t>
      </w:r>
      <w:r w:rsidR="005A4743" w:rsidRPr="005A4743">
        <w:rPr>
          <w:b/>
          <w:bCs/>
        </w:rPr>
        <w:t xml:space="preserve">Section 18 of the </w:t>
      </w:r>
      <w:r w:rsidR="005A4743" w:rsidRPr="005A4743">
        <w:rPr>
          <w:b/>
          <w:bCs/>
          <w:lang w:val="en-US"/>
        </w:rPr>
        <w:t xml:space="preserve">Australian Consumer Law (Sch 2, Competition and Consumer Act 2010 (Cth)). Additionally, </w:t>
      </w:r>
      <w:r w:rsidR="005A4743" w:rsidRPr="005A4743">
        <w:rPr>
          <w:b/>
          <w:bCs/>
        </w:rPr>
        <w:t>e</w:t>
      </w:r>
      <w:r w:rsidR="00257EF4" w:rsidRPr="005A4743">
        <w:rPr>
          <w:b/>
          <w:bCs/>
        </w:rPr>
        <w:t>xamine the ways in which your claims may be read to ensure they are precise</w:t>
      </w:r>
      <w:r w:rsidR="0002754C" w:rsidRPr="005A4743">
        <w:rPr>
          <w:b/>
          <w:bCs/>
        </w:rPr>
        <w:t xml:space="preserve">, </w:t>
      </w:r>
      <w:r w:rsidR="00257EF4" w:rsidRPr="005A4743">
        <w:rPr>
          <w:b/>
          <w:bCs/>
        </w:rPr>
        <w:t>accurate</w:t>
      </w:r>
      <w:r w:rsidR="0002754C" w:rsidRPr="005A4743">
        <w:rPr>
          <w:b/>
          <w:bCs/>
        </w:rPr>
        <w:t xml:space="preserve"> and unambiguous</w:t>
      </w:r>
      <w:r w:rsidR="00257EF4" w:rsidRPr="005A4743">
        <w:rPr>
          <w:b/>
          <w:bCs/>
        </w:rPr>
        <w:t>.</w:t>
      </w:r>
      <w:r w:rsidR="005A4743">
        <w:rPr>
          <w:b/>
          <w:bCs/>
        </w:rPr>
        <w:t>’’</w:t>
      </w:r>
      <w:r w:rsidR="00392188" w:rsidRPr="005A4743">
        <w:rPr>
          <w:b/>
          <w:bCs/>
        </w:rPr>
        <w:t xml:space="preserve"> </w:t>
      </w:r>
    </w:p>
    <w:p w14:paraId="2B41E86D" w14:textId="77777777" w:rsidR="00DD08EE" w:rsidRDefault="00DD08EE" w:rsidP="00DD08EE">
      <w:r>
        <w:t xml:space="preserve">Principle 5 of the Draft Guidance currently reads as: </w:t>
      </w:r>
    </w:p>
    <w:p w14:paraId="545B3356" w14:textId="68954880" w:rsidR="00DD08EE" w:rsidRPr="00F813C8" w:rsidRDefault="00DD08EE" w:rsidP="00F813C8">
      <w:pPr>
        <w:ind w:left="720"/>
      </w:pPr>
      <w:r w:rsidRPr="007B3C9B">
        <w:t>Broad claims can be interpreted widely and more easily mislead consumers than clear, specific claims that are substantiated. Ensure that you clearly qualify your claims, with prominent disclaimers, if there are any limitations to them.</w:t>
      </w:r>
      <w:r>
        <w:t xml:space="preserve"> </w:t>
      </w:r>
    </w:p>
    <w:p w14:paraId="1DA9B022" w14:textId="0F120433" w:rsidR="006C198F" w:rsidRDefault="007832F2">
      <w:pPr>
        <w:pStyle w:val="FundingAcknowledgement"/>
      </w:pPr>
      <w:r>
        <w:t>The Australian Communications Consumer Action Network (ACCAN) is Australia’s peak communication consumer organisation. The operation of ACCAN is made possible by funding provided by the Commonwealth of Australia under section 593 of the Telecommunications Act 1997. This funding is recovered from charges on telecommunications carriers.</w:t>
      </w:r>
      <w:r>
        <w:br/>
      </w:r>
      <w:r>
        <w:lastRenderedPageBreak/>
        <w:t xml:space="preserve">ACCAN is committed to reconciliation that acknowledges Australia’s past and values the unique culture and heritage of Aboriginal and Torres Strait Islander peoples.  </w:t>
      </w:r>
      <w:hyperlink r:id="rId18" w:history="1">
        <w:r>
          <w:rPr>
            <w:rStyle w:val="Hyperlink"/>
          </w:rPr>
          <w:t>Read our RAP</w:t>
        </w:r>
      </w:hyperlink>
    </w:p>
    <w:sectPr w:rsidR="006C198F">
      <w:headerReference w:type="default" r:id="rId19"/>
      <w:footerReference w:type="default" r:id="rId20"/>
      <w:footerReference w:type="first" r:id="rId21"/>
      <w:pgSz w:w="11906" w:h="16838"/>
      <w:pgMar w:top="1418" w:right="1440" w:bottom="709" w:left="1440" w:header="454" w:footer="22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0A2ED" w14:textId="77777777" w:rsidR="00743DCB" w:rsidRDefault="00743DCB">
      <w:pPr>
        <w:spacing w:after="0" w:line="240" w:lineRule="auto"/>
      </w:pPr>
      <w:r>
        <w:separator/>
      </w:r>
    </w:p>
  </w:endnote>
  <w:endnote w:type="continuationSeparator" w:id="0">
    <w:p w14:paraId="2807456A" w14:textId="77777777" w:rsidR="00743DCB" w:rsidRDefault="00743DCB">
      <w:pPr>
        <w:spacing w:after="0" w:line="240" w:lineRule="auto"/>
      </w:pPr>
      <w:r>
        <w:continuationSeparator/>
      </w:r>
    </w:p>
  </w:endnote>
  <w:endnote w:type="continuationNotice" w:id="1">
    <w:p w14:paraId="7AF6D098" w14:textId="77777777" w:rsidR="00743DCB" w:rsidRDefault="00743D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w:altName w:val="Calibri"/>
    <w:charset w:val="00"/>
    <w:family w:val="auto"/>
    <w:pitch w:val="variable"/>
    <w:sig w:usb0="800000A7" w:usb1="00000000" w:usb2="00000000" w:usb3="00000000" w:csb0="00000008" w:csb1="00000000"/>
  </w:font>
  <w:font w:name="Verdana">
    <w:panose1 w:val="020B0604030504040204"/>
    <w:charset w:val="00"/>
    <w:family w:val="swiss"/>
    <w:pitch w:val="variable"/>
    <w:sig w:usb0="A00006FF" w:usb1="4000205B" w:usb2="00000010" w:usb3="00000000" w:csb0="0000019F" w:csb1="00000000"/>
  </w:font>
  <w:font w:name="Gotham Black">
    <w:altName w:val="Calibri"/>
    <w:charset w:val="00"/>
    <w:family w:val="auto"/>
    <w:pitch w:val="variable"/>
    <w:sig w:usb0="A00000AF" w:usb1="40000048" w:usb2="00000000" w:usb3="00000000" w:csb0="0000011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9B014" w14:textId="77777777" w:rsidR="00AE6B94" w:rsidRDefault="007832F2">
    <w:pPr>
      <w:jc w:val="right"/>
    </w:pPr>
    <w:r>
      <w:rPr>
        <w:rStyle w:val="Letterhead1Char"/>
      </w:rPr>
      <w:fldChar w:fldCharType="begin"/>
    </w:r>
    <w:r>
      <w:rPr>
        <w:rStyle w:val="Letterhead1Char"/>
      </w:rPr>
      <w:instrText xml:space="preserve"> PAGE </w:instrText>
    </w:r>
    <w:r>
      <w:rPr>
        <w:rStyle w:val="Letterhead1Char"/>
      </w:rPr>
      <w:fldChar w:fldCharType="separate"/>
    </w:r>
    <w:r>
      <w:rPr>
        <w:rStyle w:val="Letterhead1Char"/>
      </w:rPr>
      <w:t>1</w:t>
    </w:r>
    <w:r>
      <w:rPr>
        <w:rStyle w:val="Letterhead1Cha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9B016" w14:textId="77777777" w:rsidR="00AE6B94" w:rsidRDefault="007832F2">
    <w:pPr>
      <w:pStyle w:val="Letterhead1"/>
    </w:pPr>
    <w:r>
      <w:fldChar w:fldCharType="begin"/>
    </w:r>
    <w:r>
      <w:instrText xml:space="preserve"> PAGE </w:instrText>
    </w:r>
    <w:r>
      <w:fldChar w:fldCharType="separate"/>
    </w:r>
    <w: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B0404" w14:textId="77777777" w:rsidR="00743DCB" w:rsidRDefault="00743DCB">
      <w:pPr>
        <w:spacing w:after="0" w:line="240" w:lineRule="auto"/>
      </w:pPr>
      <w:r>
        <w:rPr>
          <w:color w:val="000000"/>
        </w:rPr>
        <w:separator/>
      </w:r>
    </w:p>
  </w:footnote>
  <w:footnote w:type="continuationSeparator" w:id="0">
    <w:p w14:paraId="5CA81808" w14:textId="77777777" w:rsidR="00743DCB" w:rsidRDefault="00743DCB">
      <w:pPr>
        <w:spacing w:after="0" w:line="240" w:lineRule="auto"/>
      </w:pPr>
      <w:r>
        <w:continuationSeparator/>
      </w:r>
    </w:p>
  </w:footnote>
  <w:footnote w:type="continuationNotice" w:id="1">
    <w:p w14:paraId="4B986D30" w14:textId="77777777" w:rsidR="00743DCB" w:rsidRDefault="00743DCB">
      <w:pPr>
        <w:spacing w:after="0" w:line="240" w:lineRule="auto"/>
      </w:pPr>
    </w:p>
  </w:footnote>
  <w:footnote w:id="2">
    <w:p w14:paraId="31A02CD4" w14:textId="58058291" w:rsidR="009A796F" w:rsidRPr="0086286F" w:rsidRDefault="009A796F">
      <w:pPr>
        <w:pStyle w:val="FootnoteText"/>
        <w:rPr>
          <w:sz w:val="16"/>
          <w:szCs w:val="16"/>
        </w:rPr>
      </w:pPr>
      <w:r w:rsidRPr="0086286F">
        <w:rPr>
          <w:rStyle w:val="FootnoteReference"/>
          <w:sz w:val="16"/>
          <w:szCs w:val="16"/>
        </w:rPr>
        <w:footnoteRef/>
      </w:r>
      <w:r w:rsidRPr="0086286F">
        <w:rPr>
          <w:sz w:val="16"/>
          <w:szCs w:val="16"/>
        </w:rPr>
        <w:t xml:space="preserve"> </w:t>
      </w:r>
      <w:r w:rsidR="00177971" w:rsidRPr="00177971">
        <w:rPr>
          <w:sz w:val="16"/>
          <w:szCs w:val="16"/>
        </w:rPr>
        <w:t xml:space="preserve">ACCAN. 2023. Greenwashing Inquiry. </w:t>
      </w:r>
      <w:r w:rsidR="00177971">
        <w:rPr>
          <w:sz w:val="16"/>
          <w:szCs w:val="16"/>
        </w:rPr>
        <w:t xml:space="preserve">p.1. </w:t>
      </w:r>
      <w:r w:rsidR="00177971" w:rsidRPr="00177971">
        <w:rPr>
          <w:sz w:val="16"/>
          <w:szCs w:val="16"/>
        </w:rPr>
        <w:t xml:space="preserve">Available at: </w:t>
      </w:r>
      <w:hyperlink r:id="rId1" w:history="1">
        <w:r w:rsidR="00177971" w:rsidRPr="00177971">
          <w:rPr>
            <w:rStyle w:val="Hyperlink"/>
            <w:sz w:val="16"/>
            <w:szCs w:val="16"/>
          </w:rPr>
          <w:t>https://accan.org.au/accans-work/submissions/2151-greenwashing-inquiry</w:t>
        </w:r>
      </w:hyperlink>
    </w:p>
  </w:footnote>
  <w:footnote w:id="3">
    <w:p w14:paraId="0FEE79FA" w14:textId="73C66CF4" w:rsidR="00CF75FE" w:rsidRPr="0086286F" w:rsidRDefault="00CF75FE" w:rsidP="00CF75FE">
      <w:pPr>
        <w:pStyle w:val="FootnoteText"/>
        <w:rPr>
          <w:sz w:val="16"/>
          <w:szCs w:val="16"/>
        </w:rPr>
      </w:pPr>
      <w:r w:rsidRPr="0086286F">
        <w:rPr>
          <w:rStyle w:val="FootnoteReference"/>
          <w:sz w:val="16"/>
          <w:szCs w:val="16"/>
        </w:rPr>
        <w:footnoteRef/>
      </w:r>
      <w:r w:rsidRPr="0086286F">
        <w:rPr>
          <w:sz w:val="16"/>
          <w:szCs w:val="16"/>
        </w:rPr>
        <w:t xml:space="preserve"> </w:t>
      </w:r>
      <w:r w:rsidR="00177971">
        <w:rPr>
          <w:sz w:val="16"/>
          <w:szCs w:val="16"/>
        </w:rPr>
        <w:t xml:space="preserve">Ibid. </w:t>
      </w:r>
    </w:p>
  </w:footnote>
  <w:footnote w:id="4">
    <w:p w14:paraId="13201222" w14:textId="6F724F94" w:rsidR="009A34EA" w:rsidRDefault="009A34EA" w:rsidP="009A34EA">
      <w:pPr>
        <w:pStyle w:val="FootnoteText"/>
      </w:pPr>
      <w:r w:rsidRPr="0086286F">
        <w:rPr>
          <w:rStyle w:val="FootnoteReference"/>
          <w:sz w:val="16"/>
          <w:szCs w:val="16"/>
        </w:rPr>
        <w:footnoteRef/>
      </w:r>
      <w:r w:rsidRPr="0086286F">
        <w:rPr>
          <w:sz w:val="16"/>
          <w:szCs w:val="16"/>
        </w:rPr>
        <w:t xml:space="preserve"> ACCC. 2023. Environmental and sustainability claims Draft guidance for business</w:t>
      </w:r>
      <w:r w:rsidR="0086286F" w:rsidRPr="0086286F">
        <w:rPr>
          <w:sz w:val="16"/>
          <w:szCs w:val="16"/>
        </w:rPr>
        <w:t xml:space="preserve">. </w:t>
      </w:r>
      <w:r w:rsidR="00442971">
        <w:rPr>
          <w:sz w:val="16"/>
          <w:szCs w:val="16"/>
        </w:rPr>
        <w:t>p</w:t>
      </w:r>
      <w:r w:rsidR="0086286F" w:rsidRPr="0086286F">
        <w:rPr>
          <w:sz w:val="16"/>
          <w:szCs w:val="16"/>
        </w:rPr>
        <w:t xml:space="preserve">.5. Available at: </w:t>
      </w:r>
      <w:hyperlink r:id="rId2" w:history="1">
        <w:r w:rsidR="0086286F" w:rsidRPr="0086286F">
          <w:rPr>
            <w:rStyle w:val="Hyperlink"/>
            <w:sz w:val="16"/>
            <w:szCs w:val="16"/>
          </w:rPr>
          <w:t>https://www.accc.gov.au/about-us/publications/environmental-and-sustainability-claims-draft-guidance-for-business</w:t>
        </w:r>
      </w:hyperlink>
      <w:r w:rsidR="0086286F" w:rsidRPr="0086286F">
        <w:rPr>
          <w:sz w:val="16"/>
          <w:szCs w:val="16"/>
        </w:rPr>
        <w:t>.</w:t>
      </w:r>
      <w:r w:rsidR="0086286F">
        <w:t xml:space="preserve"> </w:t>
      </w:r>
    </w:p>
  </w:footnote>
  <w:footnote w:id="5">
    <w:p w14:paraId="299AAE65" w14:textId="0B114E20" w:rsidR="004F4DF2" w:rsidRPr="004E50D2" w:rsidRDefault="004F4DF2">
      <w:pPr>
        <w:pStyle w:val="FootnoteText"/>
        <w:rPr>
          <w:sz w:val="16"/>
          <w:szCs w:val="16"/>
        </w:rPr>
      </w:pPr>
      <w:r w:rsidRPr="004E50D2">
        <w:rPr>
          <w:rStyle w:val="FootnoteReference"/>
          <w:sz w:val="16"/>
          <w:szCs w:val="16"/>
        </w:rPr>
        <w:footnoteRef/>
      </w:r>
      <w:r w:rsidRPr="004E50D2">
        <w:rPr>
          <w:sz w:val="16"/>
          <w:szCs w:val="16"/>
        </w:rPr>
        <w:t xml:space="preserve"> </w:t>
      </w:r>
      <w:bookmarkStart w:id="1" w:name="_Hlk144107357"/>
      <w:r w:rsidRPr="004E50D2">
        <w:rPr>
          <w:sz w:val="16"/>
          <w:szCs w:val="16"/>
        </w:rPr>
        <w:t xml:space="preserve">ACCAN. 2023. Greenwashing Inquiry. p.1. Available at: </w:t>
      </w:r>
      <w:hyperlink r:id="rId3" w:history="1">
        <w:r w:rsidRPr="004E50D2">
          <w:rPr>
            <w:rStyle w:val="Hyperlink"/>
            <w:sz w:val="16"/>
            <w:szCs w:val="16"/>
          </w:rPr>
          <w:t>https://accan.org.au/accans-work/submissions/2151-greenwashing-inquiry</w:t>
        </w:r>
      </w:hyperlink>
      <w:r w:rsidRPr="004E50D2">
        <w:rPr>
          <w:sz w:val="16"/>
          <w:szCs w:val="16"/>
        </w:rPr>
        <w:t xml:space="preserve">. </w:t>
      </w:r>
    </w:p>
    <w:bookmarkEnd w:id="1"/>
  </w:footnote>
  <w:footnote w:id="6">
    <w:p w14:paraId="4EFF7964" w14:textId="68B3A953" w:rsidR="00EA739C" w:rsidRPr="004E50D2" w:rsidRDefault="00EA739C">
      <w:pPr>
        <w:pStyle w:val="FootnoteText"/>
        <w:rPr>
          <w:sz w:val="16"/>
          <w:szCs w:val="16"/>
        </w:rPr>
      </w:pPr>
      <w:r w:rsidRPr="004E50D2">
        <w:rPr>
          <w:rStyle w:val="FootnoteReference"/>
          <w:sz w:val="16"/>
          <w:szCs w:val="16"/>
        </w:rPr>
        <w:footnoteRef/>
      </w:r>
      <w:r w:rsidRPr="004E50D2">
        <w:rPr>
          <w:sz w:val="16"/>
          <w:szCs w:val="16"/>
        </w:rPr>
        <w:t xml:space="preserve"> </w:t>
      </w:r>
      <w:r w:rsidR="007D42FB" w:rsidRPr="004E50D2">
        <w:rPr>
          <w:sz w:val="16"/>
          <w:szCs w:val="16"/>
        </w:rPr>
        <w:t xml:space="preserve">Consumer Policy Research Centre. 2022. The consumer experience of green claims in Australia. p.6. Available at: </w:t>
      </w:r>
      <w:hyperlink r:id="rId4" w:anchor=":~:text=56%25%20of%20people%20said%20they,made%20by%20an%20international%20business.&amp;text=69%25%20of%20people%20said%20they,had%20a%20trustmark%20with%20it" w:history="1">
        <w:r w:rsidR="00A53A6E" w:rsidRPr="0065646E">
          <w:rPr>
            <w:rStyle w:val="Hyperlink"/>
            <w:sz w:val="16"/>
            <w:szCs w:val="16"/>
          </w:rPr>
          <w:t>https://cprc.org.au/greenclaims/#:~:text=56%25%20of%20people%20said%20they,made%20by%20an%20international%20business.&amp;text=69%25%20of%20people%20said%20they,had%20a%20trustmark%20with%20it</w:t>
        </w:r>
      </w:hyperlink>
      <w:r w:rsidR="007D519A" w:rsidRPr="007D519A">
        <w:rPr>
          <w:sz w:val="16"/>
          <w:szCs w:val="16"/>
        </w:rPr>
        <w:t>.</w:t>
      </w:r>
      <w:r w:rsidR="007D519A">
        <w:rPr>
          <w:sz w:val="16"/>
          <w:szCs w:val="16"/>
        </w:rPr>
        <w:t xml:space="preserve">. </w:t>
      </w:r>
    </w:p>
  </w:footnote>
  <w:footnote w:id="7">
    <w:p w14:paraId="6AB14CF7" w14:textId="0A624E69" w:rsidR="00871A62" w:rsidRDefault="00871A62">
      <w:pPr>
        <w:pStyle w:val="FootnoteText"/>
      </w:pPr>
      <w:r w:rsidRPr="00B54A29">
        <w:rPr>
          <w:rStyle w:val="FootnoteReference"/>
          <w:sz w:val="16"/>
          <w:szCs w:val="16"/>
        </w:rPr>
        <w:footnoteRef/>
      </w:r>
      <w:r w:rsidRPr="00B54A29">
        <w:rPr>
          <w:sz w:val="16"/>
          <w:szCs w:val="16"/>
        </w:rPr>
        <w:t xml:space="preserve"> These RSPs include: </w:t>
      </w:r>
      <w:hyperlink r:id="rId5" w:history="1">
        <w:r w:rsidR="001F131F" w:rsidRPr="00B54A29">
          <w:rPr>
            <w:rStyle w:val="Hyperlink"/>
            <w:sz w:val="16"/>
            <w:szCs w:val="16"/>
          </w:rPr>
          <w:t>https://www.goodtel.com.au/blog/were-officially-carbon-neutral</w:t>
        </w:r>
      </w:hyperlink>
      <w:r w:rsidR="001F131F" w:rsidRPr="00B54A29">
        <w:rPr>
          <w:sz w:val="16"/>
          <w:szCs w:val="16"/>
        </w:rPr>
        <w:t xml:space="preserve"> ; </w:t>
      </w:r>
      <w:hyperlink r:id="rId6" w:history="1">
        <w:r w:rsidR="00833F1C" w:rsidRPr="00B54A29">
          <w:rPr>
            <w:rStyle w:val="Hyperlink"/>
            <w:sz w:val="16"/>
            <w:szCs w:val="16"/>
          </w:rPr>
          <w:t>https://www.telstra.com.au/climate/reducing-our-carbon-footprint</w:t>
        </w:r>
      </w:hyperlink>
      <w:r w:rsidR="00833F1C" w:rsidRPr="00B54A29">
        <w:rPr>
          <w:sz w:val="16"/>
          <w:szCs w:val="16"/>
        </w:rPr>
        <w:t xml:space="preserve"> ; </w:t>
      </w:r>
      <w:hyperlink r:id="rId7" w:history="1">
        <w:r w:rsidR="00833F1C" w:rsidRPr="00B54A29">
          <w:rPr>
            <w:rStyle w:val="Hyperlink"/>
            <w:sz w:val="16"/>
            <w:szCs w:val="16"/>
          </w:rPr>
          <w:t>https://felixmobile.com.au/purpose/carbon-neutral</w:t>
        </w:r>
      </w:hyperlink>
      <w:r w:rsidR="00833F1C" w:rsidRPr="00B54A29">
        <w:rPr>
          <w:sz w:val="16"/>
          <w:szCs w:val="16"/>
        </w:rPr>
        <w:t xml:space="preserve"> ; </w:t>
      </w:r>
      <w:hyperlink r:id="rId8" w:history="1">
        <w:r w:rsidR="00B54A29" w:rsidRPr="00B54A29">
          <w:rPr>
            <w:rStyle w:val="Hyperlink"/>
            <w:sz w:val="16"/>
            <w:szCs w:val="16"/>
          </w:rPr>
          <w:t>https://www.climateactive.org.au/buy-climate-active/certified-members/belong</w:t>
        </w:r>
      </w:hyperlink>
      <w:r w:rsidR="00B54A29" w:rsidRPr="00B54A29">
        <w:rPr>
          <w:sz w:val="16"/>
          <w:szCs w:val="16"/>
        </w:rPr>
        <w:t xml:space="preserve">.  </w:t>
      </w:r>
    </w:p>
  </w:footnote>
  <w:footnote w:id="8">
    <w:p w14:paraId="7C4C3F47" w14:textId="7176493D" w:rsidR="001A5C39" w:rsidRDefault="001A5C39">
      <w:pPr>
        <w:pStyle w:val="FootnoteText"/>
      </w:pPr>
      <w:r w:rsidRPr="008D0327">
        <w:rPr>
          <w:rStyle w:val="FootnoteReference"/>
          <w:sz w:val="16"/>
          <w:szCs w:val="16"/>
        </w:rPr>
        <w:footnoteRef/>
      </w:r>
      <w:r w:rsidRPr="008D0327">
        <w:rPr>
          <w:sz w:val="16"/>
          <w:szCs w:val="16"/>
        </w:rPr>
        <w:t xml:space="preserve"> ACCAN</w:t>
      </w:r>
      <w:r w:rsidRPr="00E716B4">
        <w:rPr>
          <w:sz w:val="16"/>
          <w:szCs w:val="16"/>
        </w:rPr>
        <w:t xml:space="preserve">. 2023. Greenwashing Inquiry. p.3. Available at: </w:t>
      </w:r>
      <w:hyperlink r:id="rId9" w:history="1">
        <w:r w:rsidRPr="00ED7124">
          <w:rPr>
            <w:rStyle w:val="Hyperlink"/>
            <w:sz w:val="16"/>
            <w:szCs w:val="16"/>
          </w:rPr>
          <w:t>https://accan.org.au/accans-work/submissions/2151-greenwashing-inquiry</w:t>
        </w:r>
      </w:hyperlink>
      <w:r w:rsidRPr="00E716B4">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9B012" w14:textId="77777777" w:rsidR="00AE6B94" w:rsidRDefault="007832F2">
    <w:pPr>
      <w:pStyle w:val="Letterhead2"/>
    </w:pPr>
    <w:r>
      <w:rPr>
        <w:noProof/>
      </w:rPr>
      <w:drawing>
        <wp:anchor distT="0" distB="0" distL="114300" distR="114300" simplePos="0" relativeHeight="251658240" behindDoc="0" locked="0" layoutInCell="1" allowOverlap="1" wp14:anchorId="1DA9B00A" wp14:editId="1DA9B00B">
          <wp:simplePos x="0" y="0"/>
          <wp:positionH relativeFrom="column">
            <wp:posOffset>-4443</wp:posOffset>
          </wp:positionH>
          <wp:positionV relativeFrom="page">
            <wp:posOffset>224786</wp:posOffset>
          </wp:positionV>
          <wp:extent cx="777240" cy="335913"/>
          <wp:effectExtent l="0" t="0" r="3810" b="6987"/>
          <wp:wrapSquare wrapText="bothSides"/>
          <wp:docPr id="1786362550" name="Picture 1786362550" descr="ACCAN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 cy="335913"/>
                  </a:xfrm>
                  <a:prstGeom prst="rect">
                    <a:avLst/>
                  </a:prstGeom>
                  <a:noFill/>
                  <a:ln>
                    <a:noFill/>
                    <a:prstDash/>
                  </a:ln>
                </pic:spPr>
              </pic:pic>
            </a:graphicData>
          </a:graphic>
        </wp:anchor>
      </w:drawing>
    </w:r>
    <w:r>
      <w:t xml:space="preserve">   Your consumer voice on phones and internet</w:t>
    </w:r>
    <w:r>
      <w:rPr>
        <w:noProof/>
      </w:rPr>
      <mc:AlternateContent>
        <mc:Choice Requires="wps">
          <w:drawing>
            <wp:anchor distT="0" distB="0" distL="114300" distR="114300" simplePos="0" relativeHeight="251658241" behindDoc="1" locked="0" layoutInCell="1" allowOverlap="1" wp14:anchorId="1DA9B00C" wp14:editId="1DA9B00D">
              <wp:simplePos x="0" y="0"/>
              <wp:positionH relativeFrom="column">
                <wp:posOffset>-574672</wp:posOffset>
              </wp:positionH>
              <wp:positionV relativeFrom="page">
                <wp:posOffset>694057</wp:posOffset>
              </wp:positionV>
              <wp:extent cx="6893561" cy="46991"/>
              <wp:effectExtent l="0" t="0" r="2539" b="0"/>
              <wp:wrapNone/>
              <wp:docPr id="1713696217" name="Rectangle 1713696217"/>
              <wp:cNvGraphicFramePr/>
              <a:graphic xmlns:a="http://schemas.openxmlformats.org/drawingml/2006/main">
                <a:graphicData uri="http://schemas.microsoft.com/office/word/2010/wordprocessingShape">
                  <wps:wsp>
                    <wps:cNvSpPr/>
                    <wps:spPr>
                      <a:xfrm>
                        <a:off x="0" y="0"/>
                        <a:ext cx="6893561" cy="46991"/>
                      </a:xfrm>
                      <a:prstGeom prst="rect">
                        <a:avLst/>
                      </a:prstGeom>
                      <a:solidFill>
                        <a:srgbClr val="43C7F4"/>
                      </a:solidFill>
                      <a:ln cap="flat">
                        <a:noFill/>
                        <a:prstDash val="solid"/>
                      </a:ln>
                    </wps:spPr>
                    <wps:bodyPr lIns="0" tIns="0" rIns="0" bIns="0"/>
                  </wps:wsp>
                </a:graphicData>
              </a:graphic>
            </wp:anchor>
          </w:drawing>
        </mc:Choice>
        <mc:Fallback xmlns:arto="http://schemas.microsoft.com/office/word/2006/arto">
          <w:pict>
            <v:rect w14:anchorId="5814F135" id="Rectangle 1" o:spid="_x0000_s1026" style="position:absolute;margin-left:-45.25pt;margin-top:54.65pt;width:542.8pt;height:3.7pt;z-index:-251656192;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" fillcolor="#43c7f4" stroked="f">
              <v:textbox inset="0,0,0,0"/>
              <w10:wrap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23D81"/>
    <w:multiLevelType w:val="hybridMultilevel"/>
    <w:tmpl w:val="245893F8"/>
    <w:lvl w:ilvl="0" w:tplc="4FDADD36">
      <w:start w:val="2"/>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D12675"/>
    <w:multiLevelType w:val="multilevel"/>
    <w:tmpl w:val="11AC4726"/>
    <w:styleLink w:val="Bullets"/>
    <w:lvl w:ilvl="0">
      <w:numFmt w:val="bullet"/>
      <w:pStyle w:val="Bulletlist3"/>
      <w:lvlText w:val=""/>
      <w:lvlJc w:val="left"/>
      <w:pPr>
        <w:ind w:left="851" w:hanging="284"/>
      </w:pPr>
      <w:rPr>
        <w:rFonts w:ascii="Symbol" w:hAnsi="Symbol"/>
      </w:rPr>
    </w:lvl>
    <w:lvl w:ilvl="1">
      <w:numFmt w:val="bullet"/>
      <w:lvlText w:val=""/>
      <w:lvlJc w:val="left"/>
      <w:pPr>
        <w:ind w:left="1277" w:hanging="284"/>
      </w:pPr>
      <w:rPr>
        <w:rFonts w:ascii="Symbol" w:hAnsi="Symbol"/>
      </w:rPr>
    </w:lvl>
    <w:lvl w:ilvl="2">
      <w:numFmt w:val="bullet"/>
      <w:lvlText w:val=""/>
      <w:lvlJc w:val="left"/>
      <w:pPr>
        <w:ind w:left="1985" w:hanging="284"/>
      </w:pPr>
      <w:rPr>
        <w:rFonts w:ascii="Symbol" w:hAnsi="Symbol"/>
        <w:color w:val="auto"/>
      </w:rPr>
    </w:lvl>
    <w:lvl w:ilvl="3">
      <w:numFmt w:val="bullet"/>
      <w:lvlText w:val=""/>
      <w:lvlJc w:val="left"/>
      <w:pPr>
        <w:ind w:left="2552" w:hanging="284"/>
      </w:pPr>
      <w:rPr>
        <w:rFonts w:ascii="Symbol" w:hAnsi="Symbol"/>
      </w:rPr>
    </w:lvl>
    <w:lvl w:ilvl="4">
      <w:numFmt w:val="bullet"/>
      <w:lvlText w:val=""/>
      <w:lvlJc w:val="left"/>
      <w:pPr>
        <w:ind w:left="3119" w:hanging="284"/>
      </w:pPr>
      <w:rPr>
        <w:rFonts w:ascii="Symbol" w:hAnsi="Symbol"/>
      </w:rPr>
    </w:lvl>
    <w:lvl w:ilvl="5">
      <w:numFmt w:val="bullet"/>
      <w:lvlText w:val=""/>
      <w:lvlJc w:val="left"/>
      <w:pPr>
        <w:ind w:left="3686" w:hanging="284"/>
      </w:pPr>
      <w:rPr>
        <w:rFonts w:ascii="Symbol" w:hAnsi="Symbol"/>
      </w:rPr>
    </w:lvl>
    <w:lvl w:ilvl="6">
      <w:numFmt w:val="bullet"/>
      <w:lvlText w:val=""/>
      <w:lvlJc w:val="left"/>
      <w:pPr>
        <w:ind w:left="4253" w:hanging="284"/>
      </w:pPr>
      <w:rPr>
        <w:rFonts w:ascii="Symbol" w:hAnsi="Symbol"/>
      </w:rPr>
    </w:lvl>
    <w:lvl w:ilvl="7">
      <w:numFmt w:val="bullet"/>
      <w:lvlText w:val=""/>
      <w:lvlJc w:val="left"/>
      <w:pPr>
        <w:ind w:left="4820" w:hanging="284"/>
      </w:pPr>
      <w:rPr>
        <w:rFonts w:ascii="Symbol" w:hAnsi="Symbol"/>
      </w:rPr>
    </w:lvl>
    <w:lvl w:ilvl="8">
      <w:numFmt w:val="bullet"/>
      <w:lvlText w:val=""/>
      <w:lvlJc w:val="left"/>
      <w:pPr>
        <w:ind w:left="5387" w:hanging="284"/>
      </w:pPr>
      <w:rPr>
        <w:rFonts w:ascii="Symbol" w:hAnsi="Symbol"/>
      </w:rPr>
    </w:lvl>
  </w:abstractNum>
  <w:abstractNum w:abstractNumId="2" w15:restartNumberingAfterBreak="0">
    <w:nsid w:val="12881690"/>
    <w:multiLevelType w:val="hybridMultilevel"/>
    <w:tmpl w:val="B4DE4C8E"/>
    <w:lvl w:ilvl="0" w:tplc="5B903100">
      <w:start w:val="1"/>
      <w:numFmt w:val="bullet"/>
      <w:lvlText w:val=""/>
      <w:lvlJc w:val="left"/>
      <w:pPr>
        <w:ind w:left="1440" w:hanging="360"/>
      </w:pPr>
      <w:rPr>
        <w:rFonts w:ascii="Symbol" w:hAnsi="Symbol"/>
      </w:rPr>
    </w:lvl>
    <w:lvl w:ilvl="1" w:tplc="53A6A08C">
      <w:start w:val="1"/>
      <w:numFmt w:val="bullet"/>
      <w:lvlText w:val=""/>
      <w:lvlJc w:val="left"/>
      <w:pPr>
        <w:ind w:left="1440" w:hanging="360"/>
      </w:pPr>
      <w:rPr>
        <w:rFonts w:ascii="Symbol" w:hAnsi="Symbol"/>
      </w:rPr>
    </w:lvl>
    <w:lvl w:ilvl="2" w:tplc="A6F22200">
      <w:start w:val="1"/>
      <w:numFmt w:val="bullet"/>
      <w:lvlText w:val=""/>
      <w:lvlJc w:val="left"/>
      <w:pPr>
        <w:ind w:left="1440" w:hanging="360"/>
      </w:pPr>
      <w:rPr>
        <w:rFonts w:ascii="Symbol" w:hAnsi="Symbol"/>
      </w:rPr>
    </w:lvl>
    <w:lvl w:ilvl="3" w:tplc="CC405280">
      <w:start w:val="1"/>
      <w:numFmt w:val="bullet"/>
      <w:lvlText w:val=""/>
      <w:lvlJc w:val="left"/>
      <w:pPr>
        <w:ind w:left="1440" w:hanging="360"/>
      </w:pPr>
      <w:rPr>
        <w:rFonts w:ascii="Symbol" w:hAnsi="Symbol"/>
      </w:rPr>
    </w:lvl>
    <w:lvl w:ilvl="4" w:tplc="7FE05CAC">
      <w:start w:val="1"/>
      <w:numFmt w:val="bullet"/>
      <w:lvlText w:val=""/>
      <w:lvlJc w:val="left"/>
      <w:pPr>
        <w:ind w:left="1440" w:hanging="360"/>
      </w:pPr>
      <w:rPr>
        <w:rFonts w:ascii="Symbol" w:hAnsi="Symbol"/>
      </w:rPr>
    </w:lvl>
    <w:lvl w:ilvl="5" w:tplc="90105D28">
      <w:start w:val="1"/>
      <w:numFmt w:val="bullet"/>
      <w:lvlText w:val=""/>
      <w:lvlJc w:val="left"/>
      <w:pPr>
        <w:ind w:left="1440" w:hanging="360"/>
      </w:pPr>
      <w:rPr>
        <w:rFonts w:ascii="Symbol" w:hAnsi="Symbol"/>
      </w:rPr>
    </w:lvl>
    <w:lvl w:ilvl="6" w:tplc="660A2A4E">
      <w:start w:val="1"/>
      <w:numFmt w:val="bullet"/>
      <w:lvlText w:val=""/>
      <w:lvlJc w:val="left"/>
      <w:pPr>
        <w:ind w:left="1440" w:hanging="360"/>
      </w:pPr>
      <w:rPr>
        <w:rFonts w:ascii="Symbol" w:hAnsi="Symbol"/>
      </w:rPr>
    </w:lvl>
    <w:lvl w:ilvl="7" w:tplc="56C674A4">
      <w:start w:val="1"/>
      <w:numFmt w:val="bullet"/>
      <w:lvlText w:val=""/>
      <w:lvlJc w:val="left"/>
      <w:pPr>
        <w:ind w:left="1440" w:hanging="360"/>
      </w:pPr>
      <w:rPr>
        <w:rFonts w:ascii="Symbol" w:hAnsi="Symbol"/>
      </w:rPr>
    </w:lvl>
    <w:lvl w:ilvl="8" w:tplc="40A0C40C">
      <w:start w:val="1"/>
      <w:numFmt w:val="bullet"/>
      <w:lvlText w:val=""/>
      <w:lvlJc w:val="left"/>
      <w:pPr>
        <w:ind w:left="1440" w:hanging="360"/>
      </w:pPr>
      <w:rPr>
        <w:rFonts w:ascii="Symbol" w:hAnsi="Symbol"/>
      </w:rPr>
    </w:lvl>
  </w:abstractNum>
  <w:abstractNum w:abstractNumId="3" w15:restartNumberingAfterBreak="0">
    <w:nsid w:val="18F34E76"/>
    <w:multiLevelType w:val="hybridMultilevel"/>
    <w:tmpl w:val="94308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F02BD5"/>
    <w:multiLevelType w:val="hybridMultilevel"/>
    <w:tmpl w:val="A860151C"/>
    <w:lvl w:ilvl="0" w:tplc="2CAC2A28">
      <w:start w:val="1"/>
      <w:numFmt w:val="bullet"/>
      <w:lvlText w:val=""/>
      <w:lvlJc w:val="left"/>
      <w:pPr>
        <w:ind w:left="1440" w:hanging="360"/>
      </w:pPr>
      <w:rPr>
        <w:rFonts w:ascii="Symbol" w:hAnsi="Symbol"/>
      </w:rPr>
    </w:lvl>
    <w:lvl w:ilvl="1" w:tplc="94644362">
      <w:start w:val="1"/>
      <w:numFmt w:val="bullet"/>
      <w:lvlText w:val=""/>
      <w:lvlJc w:val="left"/>
      <w:pPr>
        <w:ind w:left="1440" w:hanging="360"/>
      </w:pPr>
      <w:rPr>
        <w:rFonts w:ascii="Symbol" w:hAnsi="Symbol"/>
      </w:rPr>
    </w:lvl>
    <w:lvl w:ilvl="2" w:tplc="71AE85A8">
      <w:start w:val="1"/>
      <w:numFmt w:val="bullet"/>
      <w:lvlText w:val=""/>
      <w:lvlJc w:val="left"/>
      <w:pPr>
        <w:ind w:left="1440" w:hanging="360"/>
      </w:pPr>
      <w:rPr>
        <w:rFonts w:ascii="Symbol" w:hAnsi="Symbol"/>
      </w:rPr>
    </w:lvl>
    <w:lvl w:ilvl="3" w:tplc="2342FDAC">
      <w:start w:val="1"/>
      <w:numFmt w:val="bullet"/>
      <w:lvlText w:val=""/>
      <w:lvlJc w:val="left"/>
      <w:pPr>
        <w:ind w:left="1440" w:hanging="360"/>
      </w:pPr>
      <w:rPr>
        <w:rFonts w:ascii="Symbol" w:hAnsi="Symbol"/>
      </w:rPr>
    </w:lvl>
    <w:lvl w:ilvl="4" w:tplc="66424D70">
      <w:start w:val="1"/>
      <w:numFmt w:val="bullet"/>
      <w:lvlText w:val=""/>
      <w:lvlJc w:val="left"/>
      <w:pPr>
        <w:ind w:left="1440" w:hanging="360"/>
      </w:pPr>
      <w:rPr>
        <w:rFonts w:ascii="Symbol" w:hAnsi="Symbol"/>
      </w:rPr>
    </w:lvl>
    <w:lvl w:ilvl="5" w:tplc="44DAC8AA">
      <w:start w:val="1"/>
      <w:numFmt w:val="bullet"/>
      <w:lvlText w:val=""/>
      <w:lvlJc w:val="left"/>
      <w:pPr>
        <w:ind w:left="1440" w:hanging="360"/>
      </w:pPr>
      <w:rPr>
        <w:rFonts w:ascii="Symbol" w:hAnsi="Symbol"/>
      </w:rPr>
    </w:lvl>
    <w:lvl w:ilvl="6" w:tplc="C088AB0C">
      <w:start w:val="1"/>
      <w:numFmt w:val="bullet"/>
      <w:lvlText w:val=""/>
      <w:lvlJc w:val="left"/>
      <w:pPr>
        <w:ind w:left="1440" w:hanging="360"/>
      </w:pPr>
      <w:rPr>
        <w:rFonts w:ascii="Symbol" w:hAnsi="Symbol"/>
      </w:rPr>
    </w:lvl>
    <w:lvl w:ilvl="7" w:tplc="58F2D57E">
      <w:start w:val="1"/>
      <w:numFmt w:val="bullet"/>
      <w:lvlText w:val=""/>
      <w:lvlJc w:val="left"/>
      <w:pPr>
        <w:ind w:left="1440" w:hanging="360"/>
      </w:pPr>
      <w:rPr>
        <w:rFonts w:ascii="Symbol" w:hAnsi="Symbol"/>
      </w:rPr>
    </w:lvl>
    <w:lvl w:ilvl="8" w:tplc="C426946E">
      <w:start w:val="1"/>
      <w:numFmt w:val="bullet"/>
      <w:lvlText w:val=""/>
      <w:lvlJc w:val="left"/>
      <w:pPr>
        <w:ind w:left="1440" w:hanging="360"/>
      </w:pPr>
      <w:rPr>
        <w:rFonts w:ascii="Symbol" w:hAnsi="Symbol"/>
      </w:rPr>
    </w:lvl>
  </w:abstractNum>
  <w:abstractNum w:abstractNumId="5" w15:restartNumberingAfterBreak="0">
    <w:nsid w:val="3F10080A"/>
    <w:multiLevelType w:val="hybridMultilevel"/>
    <w:tmpl w:val="722C98A6"/>
    <w:lvl w:ilvl="0" w:tplc="99E0BD5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A86B61"/>
    <w:multiLevelType w:val="hybridMultilevel"/>
    <w:tmpl w:val="6E0AEC3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4AE63066"/>
    <w:multiLevelType w:val="multilevel"/>
    <w:tmpl w:val="CEE6DE5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4BD44202"/>
    <w:multiLevelType w:val="hybridMultilevel"/>
    <w:tmpl w:val="6E483AD8"/>
    <w:lvl w:ilvl="0" w:tplc="D454411E">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9F1055"/>
    <w:multiLevelType w:val="hybridMultilevel"/>
    <w:tmpl w:val="6382D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C50D10"/>
    <w:multiLevelType w:val="multilevel"/>
    <w:tmpl w:val="97E48B3C"/>
    <w:styleLink w:val="Recommendations"/>
    <w:lvl w:ilvl="0">
      <w:start w:val="1"/>
      <w:numFmt w:val="decimal"/>
      <w:pStyle w:val="Recommendation"/>
      <w:lvlText w:val="Recommendation %1:"/>
      <w:lvlJc w:val="left"/>
      <w:pPr>
        <w:ind w:left="851" w:firstLine="0"/>
      </w:pPr>
    </w:lvl>
    <w:lvl w:ilvl="1">
      <w:start w:val="1"/>
      <w:numFmt w:val="none"/>
      <w:lvlText w:val="%2"/>
      <w:lvlJc w:val="left"/>
      <w:pPr>
        <w:ind w:left="851" w:hanging="851"/>
      </w:pPr>
    </w:lvl>
    <w:lvl w:ilvl="2">
      <w:start w:val="1"/>
      <w:numFmt w:val="none"/>
      <w:lvlText w:val="%3"/>
      <w:lvlJc w:val="left"/>
      <w:pPr>
        <w:ind w:left="851" w:hanging="851"/>
      </w:pPr>
    </w:lvl>
    <w:lvl w:ilvl="3">
      <w:start w:val="1"/>
      <w:numFmt w:val="none"/>
      <w:lvlText w:val="%4"/>
      <w:lvlJc w:val="left"/>
      <w:pPr>
        <w:ind w:left="851" w:hanging="851"/>
      </w:pPr>
    </w:lvl>
    <w:lvl w:ilvl="4">
      <w:start w:val="1"/>
      <w:numFmt w:val="none"/>
      <w:lvlText w:val="%5"/>
      <w:lvlJc w:val="left"/>
      <w:pPr>
        <w:ind w:left="851" w:hanging="851"/>
      </w:pPr>
    </w:lvl>
    <w:lvl w:ilvl="5">
      <w:start w:val="1"/>
      <w:numFmt w:val="none"/>
      <w:lvlText w:val="%6"/>
      <w:lvlJc w:val="left"/>
      <w:pPr>
        <w:ind w:left="851" w:hanging="851"/>
      </w:pPr>
    </w:lvl>
    <w:lvl w:ilvl="6">
      <w:start w:val="1"/>
      <w:numFmt w:val="none"/>
      <w:lvlText w:val="%7"/>
      <w:lvlJc w:val="left"/>
      <w:pPr>
        <w:ind w:left="851" w:hanging="851"/>
      </w:pPr>
    </w:lvl>
    <w:lvl w:ilvl="7">
      <w:start w:val="1"/>
      <w:numFmt w:val="none"/>
      <w:lvlText w:val="%8"/>
      <w:lvlJc w:val="left"/>
      <w:pPr>
        <w:ind w:left="851" w:hanging="851"/>
      </w:pPr>
    </w:lvl>
    <w:lvl w:ilvl="8">
      <w:start w:val="1"/>
      <w:numFmt w:val="none"/>
      <w:lvlText w:val="%9"/>
      <w:lvlJc w:val="left"/>
      <w:pPr>
        <w:ind w:left="851" w:hanging="851"/>
      </w:pPr>
    </w:lvl>
  </w:abstractNum>
  <w:num w:numId="1" w16cid:durableId="1832602621">
    <w:abstractNumId w:val="1"/>
  </w:num>
  <w:num w:numId="2" w16cid:durableId="1948921608">
    <w:abstractNumId w:val="10"/>
  </w:num>
  <w:num w:numId="3" w16cid:durableId="950014691">
    <w:abstractNumId w:val="7"/>
  </w:num>
  <w:num w:numId="4" w16cid:durableId="862590927">
    <w:abstractNumId w:val="3"/>
  </w:num>
  <w:num w:numId="5" w16cid:durableId="2121492154">
    <w:abstractNumId w:val="0"/>
  </w:num>
  <w:num w:numId="6" w16cid:durableId="1940215478">
    <w:abstractNumId w:val="6"/>
  </w:num>
  <w:num w:numId="7" w16cid:durableId="1834485578">
    <w:abstractNumId w:val="4"/>
  </w:num>
  <w:num w:numId="8" w16cid:durableId="521671216">
    <w:abstractNumId w:val="8"/>
  </w:num>
  <w:num w:numId="9" w16cid:durableId="1703937900">
    <w:abstractNumId w:val="9"/>
  </w:num>
  <w:num w:numId="10" w16cid:durableId="1161308413">
    <w:abstractNumId w:val="5"/>
  </w:num>
  <w:num w:numId="11" w16cid:durableId="9941823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98F"/>
    <w:rsid w:val="00011381"/>
    <w:rsid w:val="0001250D"/>
    <w:rsid w:val="000134E8"/>
    <w:rsid w:val="0002754C"/>
    <w:rsid w:val="00033677"/>
    <w:rsid w:val="00051957"/>
    <w:rsid w:val="00055FAD"/>
    <w:rsid w:val="000832E1"/>
    <w:rsid w:val="00084A02"/>
    <w:rsid w:val="00091B1B"/>
    <w:rsid w:val="000943B7"/>
    <w:rsid w:val="000A3AD6"/>
    <w:rsid w:val="000B0012"/>
    <w:rsid w:val="000E11C0"/>
    <w:rsid w:val="000E1FBF"/>
    <w:rsid w:val="000F398D"/>
    <w:rsid w:val="000F5E89"/>
    <w:rsid w:val="001011CA"/>
    <w:rsid w:val="001044E9"/>
    <w:rsid w:val="001162C2"/>
    <w:rsid w:val="00126B54"/>
    <w:rsid w:val="00126E42"/>
    <w:rsid w:val="00130358"/>
    <w:rsid w:val="00131E50"/>
    <w:rsid w:val="00143D3E"/>
    <w:rsid w:val="0014572D"/>
    <w:rsid w:val="00146DC7"/>
    <w:rsid w:val="0016306A"/>
    <w:rsid w:val="00174CB3"/>
    <w:rsid w:val="00174E41"/>
    <w:rsid w:val="00177971"/>
    <w:rsid w:val="001A42F0"/>
    <w:rsid w:val="001A5C39"/>
    <w:rsid w:val="001B539E"/>
    <w:rsid w:val="001C0548"/>
    <w:rsid w:val="001C4DA8"/>
    <w:rsid w:val="001C6CF6"/>
    <w:rsid w:val="001D2CA4"/>
    <w:rsid w:val="001D7FDA"/>
    <w:rsid w:val="001E634B"/>
    <w:rsid w:val="001F131F"/>
    <w:rsid w:val="001F5D8F"/>
    <w:rsid w:val="00202078"/>
    <w:rsid w:val="00211D82"/>
    <w:rsid w:val="00221689"/>
    <w:rsid w:val="00227640"/>
    <w:rsid w:val="002370D1"/>
    <w:rsid w:val="0024094A"/>
    <w:rsid w:val="002416BD"/>
    <w:rsid w:val="00243A40"/>
    <w:rsid w:val="00257EF4"/>
    <w:rsid w:val="00266424"/>
    <w:rsid w:val="00287107"/>
    <w:rsid w:val="002C5136"/>
    <w:rsid w:val="002C6247"/>
    <w:rsid w:val="002D6AE4"/>
    <w:rsid w:val="002E6D67"/>
    <w:rsid w:val="002F5047"/>
    <w:rsid w:val="003024AE"/>
    <w:rsid w:val="00305902"/>
    <w:rsid w:val="00305B99"/>
    <w:rsid w:val="00314250"/>
    <w:rsid w:val="003248DC"/>
    <w:rsid w:val="00332125"/>
    <w:rsid w:val="00334A3B"/>
    <w:rsid w:val="00337614"/>
    <w:rsid w:val="00354E8B"/>
    <w:rsid w:val="00355959"/>
    <w:rsid w:val="003672E5"/>
    <w:rsid w:val="003856CA"/>
    <w:rsid w:val="00392188"/>
    <w:rsid w:val="00393B33"/>
    <w:rsid w:val="0039554C"/>
    <w:rsid w:val="003B50D1"/>
    <w:rsid w:val="003B6A81"/>
    <w:rsid w:val="003C128C"/>
    <w:rsid w:val="003F0890"/>
    <w:rsid w:val="003F1613"/>
    <w:rsid w:val="003F4468"/>
    <w:rsid w:val="003F4AEA"/>
    <w:rsid w:val="003F62D1"/>
    <w:rsid w:val="003F6C3D"/>
    <w:rsid w:val="004067D7"/>
    <w:rsid w:val="00411CA4"/>
    <w:rsid w:val="00433737"/>
    <w:rsid w:val="00441049"/>
    <w:rsid w:val="00442971"/>
    <w:rsid w:val="004459DF"/>
    <w:rsid w:val="00447318"/>
    <w:rsid w:val="00476781"/>
    <w:rsid w:val="00484A32"/>
    <w:rsid w:val="00486E33"/>
    <w:rsid w:val="00491627"/>
    <w:rsid w:val="00495DAB"/>
    <w:rsid w:val="004A45CC"/>
    <w:rsid w:val="004A59FF"/>
    <w:rsid w:val="004B3088"/>
    <w:rsid w:val="004C6667"/>
    <w:rsid w:val="004C78ED"/>
    <w:rsid w:val="004D2872"/>
    <w:rsid w:val="004D32B0"/>
    <w:rsid w:val="004D37DD"/>
    <w:rsid w:val="004E3537"/>
    <w:rsid w:val="004E50D2"/>
    <w:rsid w:val="004F158E"/>
    <w:rsid w:val="004F4DF2"/>
    <w:rsid w:val="004F7AD7"/>
    <w:rsid w:val="00507E8A"/>
    <w:rsid w:val="00520850"/>
    <w:rsid w:val="00521026"/>
    <w:rsid w:val="00535926"/>
    <w:rsid w:val="0056089A"/>
    <w:rsid w:val="00573A9A"/>
    <w:rsid w:val="00586AD7"/>
    <w:rsid w:val="00587A14"/>
    <w:rsid w:val="005906F0"/>
    <w:rsid w:val="00592F97"/>
    <w:rsid w:val="00596C6A"/>
    <w:rsid w:val="005A4743"/>
    <w:rsid w:val="005A5857"/>
    <w:rsid w:val="005D20EE"/>
    <w:rsid w:val="005F4522"/>
    <w:rsid w:val="005F4CBC"/>
    <w:rsid w:val="005F65D0"/>
    <w:rsid w:val="006034BA"/>
    <w:rsid w:val="006039F8"/>
    <w:rsid w:val="00612660"/>
    <w:rsid w:val="00615202"/>
    <w:rsid w:val="00620BC9"/>
    <w:rsid w:val="00625AD5"/>
    <w:rsid w:val="00630BD8"/>
    <w:rsid w:val="006336CE"/>
    <w:rsid w:val="00637307"/>
    <w:rsid w:val="00645BFC"/>
    <w:rsid w:val="00661989"/>
    <w:rsid w:val="0067265F"/>
    <w:rsid w:val="00681114"/>
    <w:rsid w:val="006A43FE"/>
    <w:rsid w:val="006A5686"/>
    <w:rsid w:val="006B0586"/>
    <w:rsid w:val="006B6106"/>
    <w:rsid w:val="006C198F"/>
    <w:rsid w:val="006D7A19"/>
    <w:rsid w:val="006E1D33"/>
    <w:rsid w:val="006E7C9F"/>
    <w:rsid w:val="006F3C72"/>
    <w:rsid w:val="007039DE"/>
    <w:rsid w:val="00730678"/>
    <w:rsid w:val="00743DCB"/>
    <w:rsid w:val="00757BEF"/>
    <w:rsid w:val="00761FB2"/>
    <w:rsid w:val="00777555"/>
    <w:rsid w:val="007832F2"/>
    <w:rsid w:val="00792D90"/>
    <w:rsid w:val="00794A1C"/>
    <w:rsid w:val="0079578F"/>
    <w:rsid w:val="007969C7"/>
    <w:rsid w:val="007A04D9"/>
    <w:rsid w:val="007B3C9B"/>
    <w:rsid w:val="007C5CB5"/>
    <w:rsid w:val="007D42FB"/>
    <w:rsid w:val="007D519A"/>
    <w:rsid w:val="007D7C41"/>
    <w:rsid w:val="007E38C0"/>
    <w:rsid w:val="007E7641"/>
    <w:rsid w:val="007F6773"/>
    <w:rsid w:val="00813A9D"/>
    <w:rsid w:val="0082266E"/>
    <w:rsid w:val="00822A5A"/>
    <w:rsid w:val="00833F1C"/>
    <w:rsid w:val="0084652C"/>
    <w:rsid w:val="008479DE"/>
    <w:rsid w:val="00850320"/>
    <w:rsid w:val="0086286F"/>
    <w:rsid w:val="00871A62"/>
    <w:rsid w:val="008762F8"/>
    <w:rsid w:val="008775A6"/>
    <w:rsid w:val="00881AFD"/>
    <w:rsid w:val="00886250"/>
    <w:rsid w:val="00886E55"/>
    <w:rsid w:val="008A04A3"/>
    <w:rsid w:val="008B5339"/>
    <w:rsid w:val="008B6AAB"/>
    <w:rsid w:val="008D0327"/>
    <w:rsid w:val="008D276A"/>
    <w:rsid w:val="008E4891"/>
    <w:rsid w:val="008F3241"/>
    <w:rsid w:val="008F6BAB"/>
    <w:rsid w:val="008F77E0"/>
    <w:rsid w:val="009022C5"/>
    <w:rsid w:val="00903A9A"/>
    <w:rsid w:val="0091712E"/>
    <w:rsid w:val="00925C8E"/>
    <w:rsid w:val="009356B4"/>
    <w:rsid w:val="009423EA"/>
    <w:rsid w:val="00943F17"/>
    <w:rsid w:val="009561C0"/>
    <w:rsid w:val="00965577"/>
    <w:rsid w:val="009A21EC"/>
    <w:rsid w:val="009A34EA"/>
    <w:rsid w:val="009A796F"/>
    <w:rsid w:val="009B4708"/>
    <w:rsid w:val="009C4766"/>
    <w:rsid w:val="009D634B"/>
    <w:rsid w:val="009E06C7"/>
    <w:rsid w:val="009E2055"/>
    <w:rsid w:val="009E661D"/>
    <w:rsid w:val="00A35962"/>
    <w:rsid w:val="00A37938"/>
    <w:rsid w:val="00A50FE6"/>
    <w:rsid w:val="00A537AD"/>
    <w:rsid w:val="00A53A6E"/>
    <w:rsid w:val="00A55D5E"/>
    <w:rsid w:val="00A7332B"/>
    <w:rsid w:val="00A821A5"/>
    <w:rsid w:val="00A827A1"/>
    <w:rsid w:val="00A878DF"/>
    <w:rsid w:val="00A9786D"/>
    <w:rsid w:val="00AC1970"/>
    <w:rsid w:val="00AC6E75"/>
    <w:rsid w:val="00AE41D9"/>
    <w:rsid w:val="00AE5DB7"/>
    <w:rsid w:val="00AE6B94"/>
    <w:rsid w:val="00AF1AB5"/>
    <w:rsid w:val="00AF283E"/>
    <w:rsid w:val="00AF2BD9"/>
    <w:rsid w:val="00AF4A57"/>
    <w:rsid w:val="00B13884"/>
    <w:rsid w:val="00B43ADD"/>
    <w:rsid w:val="00B44F82"/>
    <w:rsid w:val="00B46B0D"/>
    <w:rsid w:val="00B50DA0"/>
    <w:rsid w:val="00B520BA"/>
    <w:rsid w:val="00B52949"/>
    <w:rsid w:val="00B52DDC"/>
    <w:rsid w:val="00B54A29"/>
    <w:rsid w:val="00B61C44"/>
    <w:rsid w:val="00B632B5"/>
    <w:rsid w:val="00B666DC"/>
    <w:rsid w:val="00B76D1A"/>
    <w:rsid w:val="00B77A23"/>
    <w:rsid w:val="00B77BE8"/>
    <w:rsid w:val="00BA1FE7"/>
    <w:rsid w:val="00BA38CA"/>
    <w:rsid w:val="00BA5103"/>
    <w:rsid w:val="00BA52D2"/>
    <w:rsid w:val="00BE089F"/>
    <w:rsid w:val="00BE20B0"/>
    <w:rsid w:val="00BF45C2"/>
    <w:rsid w:val="00C03F9C"/>
    <w:rsid w:val="00C11984"/>
    <w:rsid w:val="00C122DB"/>
    <w:rsid w:val="00C24724"/>
    <w:rsid w:val="00C36122"/>
    <w:rsid w:val="00C476BB"/>
    <w:rsid w:val="00C61BE0"/>
    <w:rsid w:val="00C70E5E"/>
    <w:rsid w:val="00C83F5A"/>
    <w:rsid w:val="00C945F3"/>
    <w:rsid w:val="00C96C38"/>
    <w:rsid w:val="00CA1BD3"/>
    <w:rsid w:val="00CF0138"/>
    <w:rsid w:val="00CF157A"/>
    <w:rsid w:val="00CF2CFD"/>
    <w:rsid w:val="00CF75FE"/>
    <w:rsid w:val="00D13669"/>
    <w:rsid w:val="00D15574"/>
    <w:rsid w:val="00D236DC"/>
    <w:rsid w:val="00D3402C"/>
    <w:rsid w:val="00D343B3"/>
    <w:rsid w:val="00D34699"/>
    <w:rsid w:val="00D37995"/>
    <w:rsid w:val="00D507D7"/>
    <w:rsid w:val="00D817E4"/>
    <w:rsid w:val="00D825D3"/>
    <w:rsid w:val="00D82AB9"/>
    <w:rsid w:val="00D86E05"/>
    <w:rsid w:val="00DB6E9F"/>
    <w:rsid w:val="00DB789E"/>
    <w:rsid w:val="00DC0B90"/>
    <w:rsid w:val="00DD08EE"/>
    <w:rsid w:val="00DE09E9"/>
    <w:rsid w:val="00DF6736"/>
    <w:rsid w:val="00E046A4"/>
    <w:rsid w:val="00E24405"/>
    <w:rsid w:val="00E27607"/>
    <w:rsid w:val="00E45CFE"/>
    <w:rsid w:val="00E50451"/>
    <w:rsid w:val="00E50DE6"/>
    <w:rsid w:val="00E5791C"/>
    <w:rsid w:val="00E70F02"/>
    <w:rsid w:val="00E716B4"/>
    <w:rsid w:val="00E72CD8"/>
    <w:rsid w:val="00E779B0"/>
    <w:rsid w:val="00E90381"/>
    <w:rsid w:val="00E9518A"/>
    <w:rsid w:val="00EA2461"/>
    <w:rsid w:val="00EA3FC9"/>
    <w:rsid w:val="00EA6A06"/>
    <w:rsid w:val="00EA739C"/>
    <w:rsid w:val="00EC1F18"/>
    <w:rsid w:val="00EC7C7E"/>
    <w:rsid w:val="00F000E3"/>
    <w:rsid w:val="00F571CE"/>
    <w:rsid w:val="00F813C8"/>
    <w:rsid w:val="00F8584A"/>
    <w:rsid w:val="00FA3D4E"/>
    <w:rsid w:val="00FD3C14"/>
    <w:rsid w:val="00FD719A"/>
    <w:rsid w:val="00FE4D0E"/>
    <w:rsid w:val="00FF0C50"/>
    <w:rsid w:val="00FF6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9AFFE"/>
  <w15:docId w15:val="{3FFA26C9-3603-4AC9-BF8A-82987BFC5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sz w:val="22"/>
        <w:szCs w:val="22"/>
        <w:lang w:val="en-AU" w:eastAsia="en-US" w:bidi="ar-SA"/>
      </w:rPr>
    </w:rPrDefault>
    <w:pPrDefault>
      <w:pPr>
        <w:autoSpaceDN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eastAsia="MS Mincho"/>
      <w:lang w:eastAsia="en-AU"/>
    </w:rPr>
  </w:style>
  <w:style w:type="paragraph" w:styleId="Heading1">
    <w:name w:val="heading 1"/>
    <w:basedOn w:val="Normal"/>
    <w:next w:val="Normal"/>
    <w:uiPriority w:val="9"/>
    <w:qFormat/>
    <w:pPr>
      <w:outlineLvl w:val="0"/>
    </w:pPr>
    <w:rPr>
      <w:rFonts w:cs="Calibri"/>
      <w:sz w:val="32"/>
      <w:szCs w:val="32"/>
    </w:rPr>
  </w:style>
  <w:style w:type="paragraph" w:styleId="Heading2">
    <w:name w:val="heading 2"/>
    <w:basedOn w:val="Normal"/>
    <w:next w:val="Normal"/>
    <w:uiPriority w:val="9"/>
    <w:semiHidden/>
    <w:unhideWhenUsed/>
    <w:qFormat/>
    <w:pPr>
      <w:outlineLvl w:val="1"/>
    </w:pPr>
    <w:rPr>
      <w:rFonts w:cs="Calibri"/>
      <w:sz w:val="28"/>
      <w:szCs w:val="28"/>
    </w:rPr>
  </w:style>
  <w:style w:type="paragraph" w:styleId="Heading3">
    <w:name w:val="heading 3"/>
    <w:basedOn w:val="Normal"/>
    <w:next w:val="Normal"/>
    <w:uiPriority w:val="9"/>
    <w:semiHidden/>
    <w:unhideWhenUsed/>
    <w:qFormat/>
    <w:pPr>
      <w:keepNext/>
      <w:keepLines/>
      <w:spacing w:before="100" w:after="240" w:line="240" w:lineRule="auto"/>
      <w:outlineLvl w:val="2"/>
    </w:pPr>
    <w:rPr>
      <w:rFonts w:eastAsia="MS Gothic" w:cs="Times New Roman"/>
      <w:bCs/>
      <w:i/>
      <w:iCs/>
      <w:sz w:val="24"/>
      <w:lang w:val="en-US" w:eastAsia="en-US"/>
    </w:rPr>
  </w:style>
  <w:style w:type="paragraph" w:styleId="Heading4">
    <w:name w:val="heading 4"/>
    <w:basedOn w:val="Heading3"/>
    <w:next w:val="Normal"/>
    <w:uiPriority w:val="9"/>
    <w:semiHidden/>
    <w:unhideWhenUsed/>
    <w:qFormat/>
    <w:pPr>
      <w:outlineLvl w:val="3"/>
    </w:pPr>
    <w:rPr>
      <w:color w:val="086F93"/>
    </w:rPr>
  </w:style>
  <w:style w:type="paragraph" w:styleId="Heading5">
    <w:name w:val="heading 5"/>
    <w:basedOn w:val="Heading3"/>
    <w:next w:val="Normal"/>
    <w:uiPriority w:val="9"/>
    <w:semiHidden/>
    <w:unhideWhenUsed/>
    <w:qFormat/>
    <w:pPr>
      <w:outlineLvl w:val="4"/>
    </w:pPr>
    <w:rPr>
      <w:color w:val="086F9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list1">
    <w:name w:val="Bullet list 1"/>
    <w:basedOn w:val="Normal"/>
    <w:pPr>
      <w:spacing w:before="100" w:after="100" w:line="240" w:lineRule="auto"/>
    </w:pPr>
  </w:style>
  <w:style w:type="character" w:customStyle="1" w:styleId="Heading4Char">
    <w:name w:val="Heading 4 Char"/>
    <w:basedOn w:val="DefaultParagraphFont"/>
    <w:rPr>
      <w:rFonts w:ascii="Calibri" w:eastAsia="MS Gothic" w:hAnsi="Calibri" w:cs="Times New Roman"/>
      <w:bCs/>
      <w:i/>
      <w:iCs/>
      <w:color w:val="086F93"/>
      <w:sz w:val="24"/>
      <w:lang w:val="en-US"/>
    </w:rPr>
  </w:style>
  <w:style w:type="paragraph" w:styleId="Title">
    <w:name w:val="Title"/>
    <w:basedOn w:val="Normal"/>
    <w:next w:val="Normal"/>
    <w:uiPriority w:val="10"/>
    <w:qFormat/>
    <w:pPr>
      <w:spacing w:after="0"/>
      <w:outlineLvl w:val="0"/>
    </w:pPr>
    <w:rPr>
      <w:rFonts w:cs="Calibri"/>
      <w:sz w:val="48"/>
      <w:szCs w:val="48"/>
    </w:rPr>
  </w:style>
  <w:style w:type="character" w:styleId="Hyperlink">
    <w:name w:val="Hyperlink"/>
    <w:basedOn w:val="DefaultParagraphFont"/>
    <w:rPr>
      <w:color w:val="0000FF"/>
      <w:u w:val="single"/>
    </w:rPr>
  </w:style>
  <w:style w:type="character" w:customStyle="1" w:styleId="TitleChar">
    <w:name w:val="Title Char"/>
    <w:basedOn w:val="DefaultParagraphFont"/>
    <w:rPr>
      <w:rFonts w:eastAsia="MS Mincho" w:cs="Calibri"/>
      <w:sz w:val="48"/>
      <w:szCs w:val="48"/>
      <w:lang w:eastAsia="en-AU"/>
    </w:rPr>
  </w:style>
  <w:style w:type="paragraph" w:styleId="ListParagraph">
    <w:name w:val="List Paragraph"/>
    <w:basedOn w:val="Normal"/>
    <w:pPr>
      <w:ind w:left="720"/>
      <w:contextualSpacing/>
    </w:pPr>
  </w:style>
  <w:style w:type="character" w:customStyle="1" w:styleId="Heading1Char">
    <w:name w:val="Heading 1 Char"/>
    <w:basedOn w:val="DefaultParagraphFont"/>
    <w:rPr>
      <w:rFonts w:eastAsia="MS Mincho" w:cs="Calibri"/>
      <w:sz w:val="32"/>
      <w:szCs w:val="32"/>
      <w:lang w:eastAsia="en-AU"/>
    </w:rPr>
  </w:style>
  <w:style w:type="paragraph" w:styleId="FootnoteText">
    <w:name w:val="footnote text"/>
    <w:basedOn w:val="Normal"/>
    <w:pPr>
      <w:spacing w:after="0" w:line="240" w:lineRule="auto"/>
    </w:pPr>
    <w:rPr>
      <w:sz w:val="20"/>
      <w:szCs w:val="20"/>
    </w:rPr>
  </w:style>
  <w:style w:type="character" w:customStyle="1" w:styleId="FootnoteTextChar">
    <w:name w:val="Footnote Text Char"/>
    <w:basedOn w:val="DefaultParagraphFont"/>
    <w:rPr>
      <w:rFonts w:eastAsia="MS Mincho"/>
      <w:sz w:val="20"/>
      <w:szCs w:val="20"/>
      <w:lang w:eastAsia="en-AU"/>
    </w:rPr>
  </w:style>
  <w:style w:type="character" w:styleId="FootnoteReference">
    <w:name w:val="footnote reference"/>
    <w:basedOn w:val="DefaultParagraphFont"/>
    <w:rPr>
      <w:position w:val="0"/>
      <w:vertAlign w:val="superscript"/>
    </w:rPr>
  </w:style>
  <w:style w:type="character" w:styleId="CommentReference">
    <w:name w:val="annotation reference"/>
    <w:basedOn w:val="DefaultParagraphFont"/>
    <w:rPr>
      <w:sz w:val="16"/>
      <w:szCs w:val="16"/>
    </w:rPr>
  </w:style>
  <w:style w:type="paragraph" w:styleId="CommentSubject">
    <w:name w:val="annotation subject"/>
    <w:basedOn w:val="Normal"/>
    <w:next w:val="Normal"/>
    <w:rPr>
      <w:b/>
      <w:bCs/>
    </w:rPr>
  </w:style>
  <w:style w:type="character" w:customStyle="1" w:styleId="CommentSubjectChar">
    <w:name w:val="Comment Subject Char"/>
    <w:basedOn w:val="DefaultParagraphFont"/>
    <w:rPr>
      <w:rFonts w:eastAsia="MS Mincho"/>
      <w:b/>
      <w:bCs/>
      <w:sz w:val="20"/>
      <w:szCs w:val="20"/>
      <w:lang w:eastAsia="en-AU"/>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eastAsia="MS Mincho" w:hAnsi="Tahoma" w:cs="Tahoma"/>
      <w:sz w:val="16"/>
      <w:szCs w:val="16"/>
      <w:lang w:eastAsia="en-AU"/>
    </w:rPr>
  </w:style>
  <w:style w:type="character" w:customStyle="1" w:styleId="Heading2Char">
    <w:name w:val="Heading 2 Char"/>
    <w:basedOn w:val="DefaultParagraphFont"/>
    <w:rPr>
      <w:rFonts w:eastAsia="MS Mincho" w:cs="Calibri"/>
      <w:sz w:val="28"/>
      <w:szCs w:val="28"/>
      <w:lang w:eastAsia="en-AU"/>
    </w:rPr>
  </w:style>
  <w:style w:type="character" w:customStyle="1" w:styleId="Heading3Char">
    <w:name w:val="Heading 3 Char"/>
    <w:basedOn w:val="DefaultParagraphFont"/>
    <w:rPr>
      <w:rFonts w:ascii="Calibri" w:eastAsia="MS Gothic" w:hAnsi="Calibri" w:cs="Times New Roman"/>
      <w:bCs/>
      <w:i/>
      <w:iCs/>
      <w:sz w:val="24"/>
      <w:lang w:val="en-US"/>
    </w:rPr>
  </w:style>
  <w:style w:type="character" w:styleId="UnresolvedMention">
    <w:name w:val="Unresolved Mention"/>
    <w:basedOn w:val="DefaultParagraphFont"/>
    <w:rPr>
      <w:color w:val="605E5C"/>
      <w:shd w:val="clear" w:color="auto" w:fill="E1DFDD"/>
    </w:rPr>
  </w:style>
  <w:style w:type="character" w:styleId="FollowedHyperlink">
    <w:name w:val="FollowedHyperlink"/>
    <w:basedOn w:val="DefaultParagraphFont"/>
    <w:rPr>
      <w:color w:val="800080"/>
      <w:u w:val="single"/>
    </w:rPr>
  </w:style>
  <w:style w:type="paragraph" w:styleId="Revision">
    <w:name w:val="Revision"/>
    <w:pPr>
      <w:suppressAutoHyphens/>
      <w:spacing w:after="0" w:line="240" w:lineRule="auto"/>
    </w:pPr>
    <w:rPr>
      <w:rFonts w:eastAsia="MS Mincho"/>
      <w:lang w:eastAsia="en-AU"/>
    </w:rPr>
  </w:style>
  <w:style w:type="paragraph" w:customStyle="1" w:styleId="FundingAcknowledgement">
    <w:name w:val="Funding Acknowledgement"/>
    <w:basedOn w:val="Normal"/>
    <w:autoRedefine/>
    <w:pPr>
      <w:pBdr>
        <w:top w:val="single" w:sz="36" w:space="10" w:color="43C7F4"/>
        <w:bottom w:val="single" w:sz="36" w:space="10" w:color="43C7F4"/>
      </w:pBdr>
      <w:spacing w:before="360" w:after="360"/>
      <w:ind w:right="-46"/>
    </w:pPr>
    <w:rPr>
      <w:rFonts w:ascii="Gotham" w:hAnsi="Gotham"/>
      <w:b/>
      <w:i/>
      <w:iCs/>
      <w:sz w:val="16"/>
      <w:lang w:val="en-US"/>
    </w:rPr>
  </w:style>
  <w:style w:type="character" w:customStyle="1" w:styleId="Heading5Char">
    <w:name w:val="Heading 5 Char"/>
    <w:basedOn w:val="DefaultParagraphFont"/>
    <w:rPr>
      <w:rFonts w:ascii="Calibri" w:eastAsia="MS Gothic" w:hAnsi="Calibri" w:cs="Times New Roman"/>
      <w:bCs/>
      <w:i/>
      <w:iCs/>
      <w:color w:val="086F93"/>
      <w:sz w:val="24"/>
      <w:lang w:val="en-US"/>
    </w:rPr>
  </w:style>
  <w:style w:type="paragraph" w:customStyle="1" w:styleId="Bulletlist2">
    <w:name w:val="Bullet list 2"/>
    <w:basedOn w:val="Bulletlist1"/>
  </w:style>
  <w:style w:type="character" w:customStyle="1" w:styleId="Bulletlist1Char">
    <w:name w:val="Bullet list 1 Char"/>
    <w:basedOn w:val="DefaultParagraphFont"/>
    <w:rPr>
      <w:rFonts w:ascii="Calibri" w:eastAsia="MS Mincho" w:hAnsi="Calibri"/>
      <w:lang w:eastAsia="en-AU"/>
    </w:rPr>
  </w:style>
  <w:style w:type="paragraph" w:customStyle="1" w:styleId="Bulletlist3">
    <w:name w:val="Bullet list 3"/>
    <w:basedOn w:val="Bulletlist2"/>
    <w:pPr>
      <w:numPr>
        <w:numId w:val="1"/>
      </w:numPr>
    </w:pPr>
  </w:style>
  <w:style w:type="paragraph" w:customStyle="1" w:styleId="DocLabel">
    <w:name w:val="Doc Label"/>
    <w:basedOn w:val="Normal"/>
    <w:pPr>
      <w:tabs>
        <w:tab w:val="right" w:pos="9026"/>
      </w:tabs>
    </w:pPr>
    <w:rPr>
      <w:rFonts w:ascii="Verdana" w:hAnsi="Verdana"/>
      <w:b/>
      <w:color w:val="43C7F4"/>
      <w:sz w:val="32"/>
      <w:szCs w:val="36"/>
    </w:rPr>
  </w:style>
  <w:style w:type="character" w:customStyle="1" w:styleId="Bulletlist2Char">
    <w:name w:val="Bullet list 2 Char"/>
    <w:basedOn w:val="Bulletlist1Char"/>
    <w:rPr>
      <w:rFonts w:ascii="Calibri" w:eastAsia="MS Mincho" w:hAnsi="Calibri"/>
      <w:lang w:eastAsia="en-AU"/>
    </w:rPr>
  </w:style>
  <w:style w:type="paragraph" w:customStyle="1" w:styleId="DocDate">
    <w:name w:val="Doc Date"/>
    <w:basedOn w:val="Normal"/>
    <w:pPr>
      <w:tabs>
        <w:tab w:val="right" w:pos="9026"/>
      </w:tabs>
    </w:pPr>
    <w:rPr>
      <w:rFonts w:ascii="Verdana" w:hAnsi="Verdana"/>
      <w:b/>
      <w:bCs/>
    </w:rPr>
  </w:style>
  <w:style w:type="character" w:customStyle="1" w:styleId="DocLabelChar">
    <w:name w:val="Doc Label Char"/>
    <w:basedOn w:val="DefaultParagraphFont"/>
    <w:rPr>
      <w:rFonts w:ascii="Verdana" w:eastAsia="MS Mincho" w:hAnsi="Verdana"/>
      <w:b/>
      <w:color w:val="43C7F4"/>
      <w:sz w:val="32"/>
      <w:szCs w:val="36"/>
      <w:lang w:eastAsia="en-AU"/>
    </w:rPr>
  </w:style>
  <w:style w:type="paragraph" w:customStyle="1" w:styleId="Letterhead1">
    <w:name w:val="Letterhead 1"/>
    <w:basedOn w:val="Normal"/>
    <w:pPr>
      <w:tabs>
        <w:tab w:val="left" w:pos="3855"/>
        <w:tab w:val="center" w:pos="4513"/>
        <w:tab w:val="right" w:pos="9026"/>
      </w:tabs>
      <w:spacing w:after="0"/>
      <w:jc w:val="right"/>
    </w:pPr>
    <w:rPr>
      <w:rFonts w:ascii="Verdana" w:hAnsi="Verdana"/>
      <w:b/>
      <w:bCs/>
      <w:i/>
      <w:spacing w:val="8"/>
      <w:sz w:val="19"/>
      <w:szCs w:val="20"/>
    </w:rPr>
  </w:style>
  <w:style w:type="character" w:customStyle="1" w:styleId="DocDateChar">
    <w:name w:val="Doc Date Char"/>
    <w:basedOn w:val="DefaultParagraphFont"/>
    <w:rPr>
      <w:rFonts w:ascii="Verdana" w:eastAsia="MS Mincho" w:hAnsi="Verdana"/>
      <w:b/>
      <w:bCs/>
      <w:lang w:eastAsia="en-AU"/>
    </w:rPr>
  </w:style>
  <w:style w:type="paragraph" w:customStyle="1" w:styleId="Letterhead2">
    <w:name w:val="Letterhead 2"/>
    <w:basedOn w:val="Normal"/>
    <w:pPr>
      <w:tabs>
        <w:tab w:val="left" w:pos="1843"/>
        <w:tab w:val="center" w:pos="4513"/>
        <w:tab w:val="right" w:pos="9026"/>
      </w:tabs>
      <w:spacing w:after="0" w:line="240" w:lineRule="auto"/>
      <w:ind w:hanging="851"/>
    </w:pPr>
    <w:rPr>
      <w:rFonts w:ascii="Gotham" w:hAnsi="Gotham"/>
      <w:b/>
      <w:bCs/>
      <w:i/>
      <w:iCs/>
      <w:color w:val="43C7F4"/>
    </w:rPr>
  </w:style>
  <w:style w:type="character" w:customStyle="1" w:styleId="Letterhead1Char">
    <w:name w:val="Letterhead 1 Char"/>
    <w:basedOn w:val="DefaultParagraphFont"/>
    <w:rPr>
      <w:rFonts w:ascii="Verdana" w:eastAsia="MS Mincho" w:hAnsi="Verdana"/>
      <w:b/>
      <w:bCs/>
      <w:i/>
      <w:spacing w:val="8"/>
      <w:sz w:val="19"/>
      <w:szCs w:val="20"/>
      <w:lang w:eastAsia="en-AU"/>
    </w:rPr>
  </w:style>
  <w:style w:type="paragraph" w:styleId="NoSpacing">
    <w:name w:val="No Spacing"/>
    <w:pPr>
      <w:suppressAutoHyphens/>
      <w:spacing w:after="0" w:line="240" w:lineRule="auto"/>
    </w:pPr>
    <w:rPr>
      <w:rFonts w:eastAsia="MS Mincho"/>
      <w:lang w:eastAsia="en-AU"/>
    </w:rPr>
  </w:style>
  <w:style w:type="character" w:customStyle="1" w:styleId="Letterhead2Char">
    <w:name w:val="Letterhead 2 Char"/>
    <w:basedOn w:val="DefaultParagraphFont"/>
    <w:rPr>
      <w:rFonts w:ascii="Gotham" w:eastAsia="MS Mincho" w:hAnsi="Gotham"/>
      <w:b/>
      <w:bCs/>
      <w:i/>
      <w:iCs/>
      <w:color w:val="43C7F4"/>
      <w:lang w:eastAsia="en-AU"/>
    </w:rPr>
  </w:style>
  <w:style w:type="character" w:styleId="IntenseEmphasis">
    <w:name w:val="Intense Emphasis"/>
    <w:basedOn w:val="DefaultParagraphFont"/>
    <w:rPr>
      <w:i/>
      <w:iCs/>
      <w:color w:val="43C7F4"/>
    </w:rPr>
  </w:style>
  <w:style w:type="paragraph" w:customStyle="1" w:styleId="Recommendation">
    <w:name w:val="Recommendation"/>
    <w:basedOn w:val="Normal"/>
    <w:pPr>
      <w:numPr>
        <w:numId w:val="2"/>
      </w:numPr>
      <w:pBdr>
        <w:top w:val="single" w:sz="18" w:space="6" w:color="44C8F5"/>
        <w:left w:val="single" w:sz="18" w:space="5" w:color="44C8F5"/>
        <w:bottom w:val="single" w:sz="18" w:space="6" w:color="44C8F5"/>
        <w:right w:val="single" w:sz="18" w:space="5" w:color="44C8F5"/>
      </w:pBdr>
      <w:spacing w:before="100" w:after="100" w:line="240" w:lineRule="auto"/>
      <w:ind w:right="851"/>
    </w:pPr>
    <w:rPr>
      <w:lang w:eastAsia="en-US"/>
    </w:rPr>
  </w:style>
  <w:style w:type="character" w:customStyle="1" w:styleId="RecommendationChar">
    <w:name w:val="Recommendation Char"/>
    <w:basedOn w:val="DefaultParagraphFont"/>
    <w:rPr>
      <w:rFonts w:ascii="Calibri" w:eastAsia="MS Mincho" w:hAnsi="Calibri"/>
    </w:rPr>
  </w:style>
  <w:style w:type="character" w:customStyle="1" w:styleId="Bulletlist3Char">
    <w:name w:val="Bullet list 3 Char"/>
    <w:basedOn w:val="Bulletlist2Char"/>
    <w:rPr>
      <w:rFonts w:ascii="Calibri" w:eastAsia="MS Mincho" w:hAnsi="Calibri"/>
      <w:lang w:eastAsia="en-AU"/>
    </w:rPr>
  </w:style>
  <w:style w:type="paragraph" w:customStyle="1" w:styleId="Footnotes">
    <w:name w:val="Footnotes"/>
    <w:basedOn w:val="Normal"/>
    <w:rPr>
      <w:sz w:val="20"/>
      <w:szCs w:val="20"/>
    </w:rPr>
  </w:style>
  <w:style w:type="character" w:customStyle="1" w:styleId="FootnotesChar">
    <w:name w:val="Footnotes Char"/>
    <w:basedOn w:val="DefaultParagraphFont"/>
    <w:rPr>
      <w:rFonts w:eastAsia="MS Mincho"/>
      <w:sz w:val="20"/>
      <w:szCs w:val="20"/>
      <w:lang w:eastAsia="en-AU"/>
    </w:rPr>
  </w:style>
  <w:style w:type="paragraph" w:styleId="Header">
    <w:name w:val="header"/>
    <w:basedOn w:val="Normal"/>
    <w:pPr>
      <w:tabs>
        <w:tab w:val="center" w:pos="4680"/>
        <w:tab w:val="right" w:pos="9360"/>
      </w:tabs>
      <w:spacing w:after="0" w:line="240" w:lineRule="auto"/>
    </w:pPr>
  </w:style>
  <w:style w:type="character" w:customStyle="1" w:styleId="HeaderChar">
    <w:name w:val="Header Char"/>
    <w:basedOn w:val="DefaultParagraphFont"/>
    <w:rPr>
      <w:rFonts w:eastAsia="MS Mincho"/>
      <w:lang w:eastAsia="en-AU"/>
    </w:rPr>
  </w:style>
  <w:style w:type="paragraph" w:styleId="Footer">
    <w:name w:val="footer"/>
    <w:basedOn w:val="Normal"/>
    <w:pPr>
      <w:tabs>
        <w:tab w:val="center" w:pos="4680"/>
        <w:tab w:val="right" w:pos="9360"/>
      </w:tabs>
      <w:spacing w:after="0" w:line="240" w:lineRule="auto"/>
    </w:pPr>
  </w:style>
  <w:style w:type="character" w:customStyle="1" w:styleId="FooterChar">
    <w:name w:val="Footer Char"/>
    <w:basedOn w:val="DefaultParagraphFont"/>
    <w:rPr>
      <w:rFonts w:eastAsia="MS Mincho"/>
      <w:lang w:eastAsia="en-AU"/>
    </w:rPr>
  </w:style>
  <w:style w:type="numbering" w:customStyle="1" w:styleId="Bullets">
    <w:name w:val="Bullets"/>
    <w:basedOn w:val="NoList"/>
    <w:pPr>
      <w:numPr>
        <w:numId w:val="1"/>
      </w:numPr>
    </w:pPr>
  </w:style>
  <w:style w:type="numbering" w:customStyle="1" w:styleId="Recommendations">
    <w:name w:val="Recommendations"/>
    <w:basedOn w:val="NoList"/>
    <w:pPr>
      <w:numPr>
        <w:numId w:val="2"/>
      </w:numPr>
    </w:pPr>
  </w:style>
  <w:style w:type="paragraph" w:styleId="CommentText">
    <w:name w:val="annotation text"/>
    <w:basedOn w:val="Normal"/>
    <w:link w:val="CommentTextChar"/>
    <w:uiPriority w:val="99"/>
    <w:unhideWhenUsed/>
    <w:rsid w:val="009561C0"/>
    <w:pPr>
      <w:spacing w:line="240" w:lineRule="auto"/>
    </w:pPr>
    <w:rPr>
      <w:sz w:val="20"/>
      <w:szCs w:val="20"/>
    </w:rPr>
  </w:style>
  <w:style w:type="character" w:customStyle="1" w:styleId="CommentTextChar">
    <w:name w:val="Comment Text Char"/>
    <w:basedOn w:val="DefaultParagraphFont"/>
    <w:link w:val="CommentText"/>
    <w:uiPriority w:val="99"/>
    <w:rsid w:val="009561C0"/>
    <w:rPr>
      <w:rFonts w:eastAsia="MS Mincho"/>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93782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s://accan.org.au/about-us/reporting/reconcilitiation-action-plan"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con.gouskos@accan.org.au" TargetMode="External"/><Relationship Id="rId2" Type="http://schemas.openxmlformats.org/officeDocument/2006/relationships/customXml" Target="../customXml/item2.xml"/><Relationship Id="rId16" Type="http://schemas.openxmlformats.org/officeDocument/2006/relationships/hyperlink" Target="mailto:EnforcementCoordination@accc.gov.a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climateactive.org.au/buy-climate-active/certified-members/belong" TargetMode="External"/><Relationship Id="rId3" Type="http://schemas.openxmlformats.org/officeDocument/2006/relationships/hyperlink" Target="https://accan.org.au/accans-work/submissions/2151-greenwashing-inquiry" TargetMode="External"/><Relationship Id="rId7" Type="http://schemas.openxmlformats.org/officeDocument/2006/relationships/hyperlink" Target="https://felixmobile.com.au/purpose/carbon-neutral" TargetMode="External"/><Relationship Id="rId2" Type="http://schemas.openxmlformats.org/officeDocument/2006/relationships/hyperlink" Target="https://www.accc.gov.au/about-us/publications/environmental-and-sustainability-claims-draft-guidance-for-business" TargetMode="External"/><Relationship Id="rId1" Type="http://schemas.openxmlformats.org/officeDocument/2006/relationships/hyperlink" Target="https://accan.org.au/accans-work/submissions/2151-greenwashing-inquiry" TargetMode="External"/><Relationship Id="rId6" Type="http://schemas.openxmlformats.org/officeDocument/2006/relationships/hyperlink" Target="https://www.telstra.com.au/climate/reducing-our-carbon-footprint" TargetMode="External"/><Relationship Id="rId5" Type="http://schemas.openxmlformats.org/officeDocument/2006/relationships/hyperlink" Target="https://www.goodtel.com.au/blog/were-officially-carbon-neutral" TargetMode="External"/><Relationship Id="rId4" Type="http://schemas.openxmlformats.org/officeDocument/2006/relationships/hyperlink" Target="https://cprc.org.au/greenclaims/" TargetMode="External"/><Relationship Id="rId9" Type="http://schemas.openxmlformats.org/officeDocument/2006/relationships/hyperlink" Target="https://accan.org.au/accans-work/submissions/2151-greenwashing-inquir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nGouskos\OneDrive%20-%20ACCAN\Documents\DocumentTemplate-Submi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2afa1a33-c191-48ee-b288-192490d33fec">
      <UserInfo>
        <DisplayName>Rebekah Sarkoezy</DisplayName>
        <AccountId>16</AccountId>
        <AccountType/>
      </UserInfo>
      <UserInfo>
        <DisplayName>Meredith Lea</DisplayName>
        <AccountId>27</AccountId>
        <AccountType/>
      </UserInfo>
    </SharedWithUsers>
    <TaxCatchAll xmlns="2afa1a33-c191-48ee-b288-192490d33fec" xsi:nil="true"/>
    <lcf76f155ced4ddcb4097134ff3c332f xmlns="25af2f0e-673d-4721-b64c-73e7c4e9e0c5">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E4A5C17F963D4A81626FBA9D0C3C6E" ma:contentTypeVersion="15" ma:contentTypeDescription="Create a new document." ma:contentTypeScope="" ma:versionID="a5978e58511f3cd016f47c7aa00a46b3">
  <xsd:schema xmlns:xsd="http://www.w3.org/2001/XMLSchema" xmlns:xs="http://www.w3.org/2001/XMLSchema" xmlns:p="http://schemas.microsoft.com/office/2006/metadata/properties" xmlns:ns2="25af2f0e-673d-4721-b64c-73e7c4e9e0c5" xmlns:ns3="2afa1a33-c191-48ee-b288-192490d33fec" targetNamespace="http://schemas.microsoft.com/office/2006/metadata/properties" ma:root="true" ma:fieldsID="42169dfad3ace78a0c7156903a1212ae" ns2:_="" ns3:_="">
    <xsd:import namespace="25af2f0e-673d-4721-b64c-73e7c4e9e0c5"/>
    <xsd:import namespace="2afa1a33-c191-48ee-b288-192490d33f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f2f0e-673d-4721-b64c-73e7c4e9e0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69d907b-a4f2-42ff-8dc5-96e66a0aa2df"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fa1a33-c191-48ee-b288-192490d33fe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6d9b9666-9797-4e44-9182-60ce046d5dd1}" ma:internalName="TaxCatchAll" ma:showField="CatchAllData" ma:web="2afa1a33-c191-48ee-b288-192490d33f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C65A5B-D082-4F59-B2FF-EDA447D6D79F}">
  <ds:schemaRefs>
    <ds:schemaRef ds:uri="http://schemas.microsoft.com/sharepoint/v3/contenttype/forms"/>
  </ds:schemaRefs>
</ds:datastoreItem>
</file>

<file path=customXml/itemProps2.xml><?xml version="1.0" encoding="utf-8"?>
<ds:datastoreItem xmlns:ds="http://schemas.openxmlformats.org/officeDocument/2006/customXml" ds:itemID="{0ABDAF0F-FB26-4AF8-9CB9-C148037F5390}">
  <ds:schemaRefs>
    <ds:schemaRef ds:uri="http://schemas.openxmlformats.org/officeDocument/2006/bibliography"/>
  </ds:schemaRefs>
</ds:datastoreItem>
</file>

<file path=customXml/itemProps3.xml><?xml version="1.0" encoding="utf-8"?>
<ds:datastoreItem xmlns:ds="http://schemas.openxmlformats.org/officeDocument/2006/customXml" ds:itemID="{B4B56478-4A88-4B23-B8D3-861B3861A758}">
  <ds:schemaRefs>
    <ds:schemaRef ds:uri="http://schemas.microsoft.com/office/2006/metadata/properties"/>
    <ds:schemaRef ds:uri="http://schemas.microsoft.com/office/infopath/2007/PartnerControls"/>
    <ds:schemaRef ds:uri="2afa1a33-c191-48ee-b288-192490d33fec"/>
    <ds:schemaRef ds:uri="a8216cc2-e404-46cc-a0b4-4841820a541e"/>
  </ds:schemaRefs>
</ds:datastoreItem>
</file>

<file path=customXml/itemProps4.xml><?xml version="1.0" encoding="utf-8"?>
<ds:datastoreItem xmlns:ds="http://schemas.openxmlformats.org/officeDocument/2006/customXml" ds:itemID="{1F205791-0CEC-4879-A185-EC10FE87B678}"/>
</file>

<file path=docProps/app.xml><?xml version="1.0" encoding="utf-8"?>
<Properties xmlns="http://schemas.openxmlformats.org/officeDocument/2006/extended-properties" xmlns:vt="http://schemas.openxmlformats.org/officeDocument/2006/docPropsVTypes">
  <Template>DocumentTemplate-Submission</Template>
  <TotalTime>383</TotalTime>
  <Pages>4</Pages>
  <Words>1081</Words>
  <Characters>6168</Characters>
  <Application>Microsoft Office Word</Application>
  <DocSecurity>0</DocSecurity>
  <Lines>51</Lines>
  <Paragraphs>14</Paragraphs>
  <ScaleCrop>false</ScaleCrop>
  <Company/>
  <LinksUpToDate>false</LinksUpToDate>
  <CharactersWithSpaces>7235</CharactersWithSpaces>
  <SharedDoc>false</SharedDoc>
  <HLinks>
    <vt:vector size="72" baseType="variant">
      <vt:variant>
        <vt:i4>4784136</vt:i4>
      </vt:variant>
      <vt:variant>
        <vt:i4>6</vt:i4>
      </vt:variant>
      <vt:variant>
        <vt:i4>0</vt:i4>
      </vt:variant>
      <vt:variant>
        <vt:i4>5</vt:i4>
      </vt:variant>
      <vt:variant>
        <vt:lpwstr>https://accan.org.au/about-us/reporting/reconcilitiation-action-plan</vt:lpwstr>
      </vt:variant>
      <vt:variant>
        <vt:lpwstr/>
      </vt:variant>
      <vt:variant>
        <vt:i4>6291528</vt:i4>
      </vt:variant>
      <vt:variant>
        <vt:i4>3</vt:i4>
      </vt:variant>
      <vt:variant>
        <vt:i4>0</vt:i4>
      </vt:variant>
      <vt:variant>
        <vt:i4>5</vt:i4>
      </vt:variant>
      <vt:variant>
        <vt:lpwstr>mailto:con.gouskos@accan.org.au</vt:lpwstr>
      </vt:variant>
      <vt:variant>
        <vt:lpwstr/>
      </vt:variant>
      <vt:variant>
        <vt:i4>7143430</vt:i4>
      </vt:variant>
      <vt:variant>
        <vt:i4>0</vt:i4>
      </vt:variant>
      <vt:variant>
        <vt:i4>0</vt:i4>
      </vt:variant>
      <vt:variant>
        <vt:i4>5</vt:i4>
      </vt:variant>
      <vt:variant>
        <vt:lpwstr>mailto:EnforcementCoordination@accc.gov.au</vt:lpwstr>
      </vt:variant>
      <vt:variant>
        <vt:lpwstr/>
      </vt:variant>
      <vt:variant>
        <vt:i4>7929917</vt:i4>
      </vt:variant>
      <vt:variant>
        <vt:i4>24</vt:i4>
      </vt:variant>
      <vt:variant>
        <vt:i4>0</vt:i4>
      </vt:variant>
      <vt:variant>
        <vt:i4>5</vt:i4>
      </vt:variant>
      <vt:variant>
        <vt:lpwstr>https://accan.org.au/accans-work/submissions/2151-greenwashing-inquiry</vt:lpwstr>
      </vt:variant>
      <vt:variant>
        <vt:lpwstr/>
      </vt:variant>
      <vt:variant>
        <vt:i4>524299</vt:i4>
      </vt:variant>
      <vt:variant>
        <vt:i4>21</vt:i4>
      </vt:variant>
      <vt:variant>
        <vt:i4>0</vt:i4>
      </vt:variant>
      <vt:variant>
        <vt:i4>5</vt:i4>
      </vt:variant>
      <vt:variant>
        <vt:lpwstr>https://www.climateactive.org.au/buy-climate-active/certified-members/belong</vt:lpwstr>
      </vt:variant>
      <vt:variant>
        <vt:lpwstr/>
      </vt:variant>
      <vt:variant>
        <vt:i4>5177420</vt:i4>
      </vt:variant>
      <vt:variant>
        <vt:i4>18</vt:i4>
      </vt:variant>
      <vt:variant>
        <vt:i4>0</vt:i4>
      </vt:variant>
      <vt:variant>
        <vt:i4>5</vt:i4>
      </vt:variant>
      <vt:variant>
        <vt:lpwstr>https://felixmobile.com.au/purpose/carbon-neutral</vt:lpwstr>
      </vt:variant>
      <vt:variant>
        <vt:lpwstr/>
      </vt:variant>
      <vt:variant>
        <vt:i4>6225920</vt:i4>
      </vt:variant>
      <vt:variant>
        <vt:i4>15</vt:i4>
      </vt:variant>
      <vt:variant>
        <vt:i4>0</vt:i4>
      </vt:variant>
      <vt:variant>
        <vt:i4>5</vt:i4>
      </vt:variant>
      <vt:variant>
        <vt:lpwstr>https://www.telstra.com.au/climate/reducing-our-carbon-footprint</vt:lpwstr>
      </vt:variant>
      <vt:variant>
        <vt:lpwstr/>
      </vt:variant>
      <vt:variant>
        <vt:i4>3932259</vt:i4>
      </vt:variant>
      <vt:variant>
        <vt:i4>12</vt:i4>
      </vt:variant>
      <vt:variant>
        <vt:i4>0</vt:i4>
      </vt:variant>
      <vt:variant>
        <vt:i4>5</vt:i4>
      </vt:variant>
      <vt:variant>
        <vt:lpwstr>https://www.goodtel.com.au/blog/were-officially-carbon-neutral</vt:lpwstr>
      </vt:variant>
      <vt:variant>
        <vt:lpwstr/>
      </vt:variant>
      <vt:variant>
        <vt:i4>2818127</vt:i4>
      </vt:variant>
      <vt:variant>
        <vt:i4>9</vt:i4>
      </vt:variant>
      <vt:variant>
        <vt:i4>0</vt:i4>
      </vt:variant>
      <vt:variant>
        <vt:i4>5</vt:i4>
      </vt:variant>
      <vt:variant>
        <vt:lpwstr>https://cprc.org.au/wpcontent/uploads/2022/12/CPRC-Green-Claims_Final.pdf</vt:lpwstr>
      </vt:variant>
      <vt:variant>
        <vt:lpwstr/>
      </vt:variant>
      <vt:variant>
        <vt:i4>7929917</vt:i4>
      </vt:variant>
      <vt:variant>
        <vt:i4>6</vt:i4>
      </vt:variant>
      <vt:variant>
        <vt:i4>0</vt:i4>
      </vt:variant>
      <vt:variant>
        <vt:i4>5</vt:i4>
      </vt:variant>
      <vt:variant>
        <vt:lpwstr>https://accan.org.au/accans-work/submissions/2151-greenwashing-inquiry</vt:lpwstr>
      </vt:variant>
      <vt:variant>
        <vt:lpwstr/>
      </vt:variant>
      <vt:variant>
        <vt:i4>65624</vt:i4>
      </vt:variant>
      <vt:variant>
        <vt:i4>3</vt:i4>
      </vt:variant>
      <vt:variant>
        <vt:i4>0</vt:i4>
      </vt:variant>
      <vt:variant>
        <vt:i4>5</vt:i4>
      </vt:variant>
      <vt:variant>
        <vt:lpwstr>https://www.accc.gov.au/about-us/publications/environmental-and-sustainability-claims-draft-guidance-for-business</vt:lpwstr>
      </vt:variant>
      <vt:variant>
        <vt:lpwstr/>
      </vt:variant>
      <vt:variant>
        <vt:i4>7929917</vt:i4>
      </vt:variant>
      <vt:variant>
        <vt:i4>0</vt:i4>
      </vt:variant>
      <vt:variant>
        <vt:i4>0</vt:i4>
      </vt:variant>
      <vt:variant>
        <vt:i4>5</vt:i4>
      </vt:variant>
      <vt:variant>
        <vt:lpwstr>https://accan.org.au/accans-work/submissions/2151-greenwashing-inquiry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 Gouskos</dc:creator>
  <cp:keywords/>
  <cp:lastModifiedBy>Andrew Williams</cp:lastModifiedBy>
  <cp:revision>299</cp:revision>
  <cp:lastPrinted>2022-03-29T02:13:00Z</cp:lastPrinted>
  <dcterms:created xsi:type="dcterms:W3CDTF">2023-08-23T00:08:00Z</dcterms:created>
  <dcterms:modified xsi:type="dcterms:W3CDTF">2023-09-08T03:28:00Z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0x0101008E1B8366B727E549B51F19B2B16DD61A</vt:lpwstr>
  </property>
  <property fmtid="{D5CDD505-2E9C-101B-9397-08002B2CF9AE}" pid="3" name="SharedWithUsers">
    <vt:lpwstr>16;#Rebekah Sarkoezy;#27;#Meredith Lea</vt:lpwstr>
  </property>
  <property fmtid="{D5CDD505-2E9C-101B-9397-08002B2CF9AE}" pid="4" name="MediaServiceImageTags">
    <vt:lpwstr/>
  </property>
</Properties>
</file>