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8EA95" w14:textId="77777777" w:rsidR="00BB3EC8" w:rsidRDefault="00BB3EC8" w:rsidP="00BB3EC8">
      <w:pPr>
        <w:pStyle w:val="Letterhead1"/>
      </w:pPr>
      <w:bookmarkStart w:id="0" w:name="_Hlk95835868"/>
      <w:r>
        <w:rPr>
          <w:noProof/>
        </w:rPr>
        <w:drawing>
          <wp:anchor distT="0" distB="0" distL="114300" distR="114300" simplePos="0" relativeHeight="251658244" behindDoc="1" locked="0" layoutInCell="1" allowOverlap="1" wp14:anchorId="79CDDDA4" wp14:editId="69BCD848">
            <wp:simplePos x="0" y="0"/>
            <wp:positionH relativeFrom="column">
              <wp:posOffset>4862195</wp:posOffset>
            </wp:positionH>
            <wp:positionV relativeFrom="page">
              <wp:posOffset>563880</wp:posOffset>
            </wp:positionV>
            <wp:extent cx="191770" cy="191770"/>
            <wp:effectExtent l="0" t="0" r="0" b="0"/>
            <wp:wrapSquare wrapText="bothSides"/>
            <wp:docPr id="11" name="Picture 11"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witter Icon">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5" behindDoc="0" locked="0" layoutInCell="1" allowOverlap="1" wp14:anchorId="0CC23E2B" wp14:editId="12D79C57">
            <wp:simplePos x="0" y="0"/>
            <wp:positionH relativeFrom="column">
              <wp:posOffset>5092065</wp:posOffset>
            </wp:positionH>
            <wp:positionV relativeFrom="page">
              <wp:posOffset>560070</wp:posOffset>
            </wp:positionV>
            <wp:extent cx="191770" cy="191770"/>
            <wp:effectExtent l="0" t="0" r="0" b="0"/>
            <wp:wrapSquare wrapText="bothSides"/>
            <wp:docPr id="6" name="Picture 6"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acebook icon">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pic:spPr>
                </pic:pic>
              </a:graphicData>
            </a:graphic>
            <wp14:sizeRelH relativeFrom="page">
              <wp14:pctWidth>0</wp14:pctWidth>
            </wp14:sizeRelH>
            <wp14:sizeRelV relativeFrom="margin">
              <wp14:pctHeight>0</wp14:pctHeight>
            </wp14:sizeRelV>
          </wp:anchor>
        </w:drawing>
      </w:r>
      <w:r>
        <w:rPr>
          <w:noProof/>
        </w:rPr>
        <w:drawing>
          <wp:anchor distT="0" distB="0" distL="114300" distR="114300" simplePos="0" relativeHeight="251658246" behindDoc="0" locked="0" layoutInCell="1" allowOverlap="1" wp14:anchorId="7495693A" wp14:editId="22F2DC0B">
            <wp:simplePos x="0" y="0"/>
            <wp:positionH relativeFrom="column">
              <wp:posOffset>5326380</wp:posOffset>
            </wp:positionH>
            <wp:positionV relativeFrom="page">
              <wp:posOffset>560070</wp:posOffset>
            </wp:positionV>
            <wp:extent cx="191770" cy="191770"/>
            <wp:effectExtent l="0" t="0" r="0" b="0"/>
            <wp:wrapSquare wrapText="bothSides"/>
            <wp:docPr id="4" name="Picture 4"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inked in icon">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pic:spPr>
                </pic:pic>
              </a:graphicData>
            </a:graphic>
            <wp14:sizeRelH relativeFrom="page">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anchorId="59F06324" wp14:editId="7618516A">
            <wp:simplePos x="0" y="0"/>
            <wp:positionH relativeFrom="column">
              <wp:posOffset>5546725</wp:posOffset>
            </wp:positionH>
            <wp:positionV relativeFrom="page">
              <wp:posOffset>560070</wp:posOffset>
            </wp:positionV>
            <wp:extent cx="191770" cy="191770"/>
            <wp:effectExtent l="0" t="0" r="0" b="0"/>
            <wp:wrapSquare wrapText="bothSides"/>
            <wp:docPr id="3" name="Picture 3"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stagram icon">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pic:spPr>
                </pic:pic>
              </a:graphicData>
            </a:graphic>
            <wp14:sizeRelH relativeFrom="page">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1DF83A95" wp14:editId="56EC2F55">
            <wp:simplePos x="0" y="0"/>
            <wp:positionH relativeFrom="column">
              <wp:posOffset>4445</wp:posOffset>
            </wp:positionH>
            <wp:positionV relativeFrom="page">
              <wp:posOffset>421005</wp:posOffset>
            </wp:positionV>
            <wp:extent cx="2035810" cy="880110"/>
            <wp:effectExtent l="0" t="0" r="2540" b="0"/>
            <wp:wrapSquare wrapText="bothSides"/>
            <wp:docPr id="2" name="Picture 2"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CCAN logo">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pic:spPr>
                </pic:pic>
              </a:graphicData>
            </a:graphic>
            <wp14:sizeRelH relativeFrom="margin">
              <wp14:pctWidth>0</wp14:pctWidth>
            </wp14:sizeRelH>
            <wp14:sizeRelV relativeFrom="margin">
              <wp14:pctHeight>0</wp14:pctHeight>
            </wp14:sizeRelV>
          </wp:anchor>
        </w:drawing>
      </w:r>
      <w:r>
        <w:t>www.accan.org.au</w:t>
      </w:r>
    </w:p>
    <w:p w14:paraId="6DBC4AF1" w14:textId="77777777" w:rsidR="00BB3EC8" w:rsidRDefault="00BB3EC8" w:rsidP="00BB3EC8">
      <w:pPr>
        <w:pStyle w:val="Letterhead1"/>
      </w:pPr>
      <w:r>
        <w:t>info@accan.org.au</w:t>
      </w:r>
    </w:p>
    <w:p w14:paraId="6B93E035" w14:textId="77777777" w:rsidR="00BB3EC8" w:rsidRDefault="00BB3EC8" w:rsidP="00BB3EC8">
      <w:pPr>
        <w:pStyle w:val="Letterhead1"/>
      </w:pPr>
      <w:r>
        <w:t>02 9288 4000</w:t>
      </w:r>
    </w:p>
    <w:p w14:paraId="230D3762" w14:textId="77777777" w:rsidR="000D3021" w:rsidRDefault="000D3021" w:rsidP="000D3021">
      <w:pPr>
        <w:tabs>
          <w:tab w:val="left" w:pos="3855"/>
        </w:tabs>
        <w:rPr>
          <w:rFonts w:ascii="Gotham" w:hAnsi="Gotham"/>
          <w:b/>
          <w:bCs/>
          <w:lang w:val="en-US"/>
        </w:rPr>
      </w:pPr>
      <w:r w:rsidRPr="002C5882">
        <w:rPr>
          <w:noProof/>
        </w:rPr>
        <mc:AlternateContent>
          <mc:Choice Requires="wps">
            <w:drawing>
              <wp:anchor distT="0" distB="0" distL="114300" distR="114300" simplePos="0" relativeHeight="251658241" behindDoc="1" locked="0" layoutInCell="1" allowOverlap="1" wp14:anchorId="3DE0BB7A" wp14:editId="71850ADD">
                <wp:simplePos x="0" y="0"/>
                <wp:positionH relativeFrom="column">
                  <wp:posOffset>-627380</wp:posOffset>
                </wp:positionH>
                <wp:positionV relativeFrom="page">
                  <wp:posOffset>1675572</wp:posOffset>
                </wp:positionV>
                <wp:extent cx="6892290" cy="45085"/>
                <wp:effectExtent l="0" t="0" r="3810" b="0"/>
                <wp:wrapNone/>
                <wp:docPr id="5" name="Rectangle 5"/>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B8B8256" id="Rectangle 5" o:spid="_x0000_s1026" style="position:absolute;margin-left:-49.4pt;margin-top:131.95pt;width:542.7pt;height:3.5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p w14:paraId="4D127441" w14:textId="77777777" w:rsidR="00B47285" w:rsidRDefault="00B47285" w:rsidP="00B47285">
      <w:pPr>
        <w:tabs>
          <w:tab w:val="left" w:pos="3855"/>
        </w:tabs>
        <w:rPr>
          <w:rFonts w:ascii="Gotham" w:hAnsi="Gotham"/>
          <w:b/>
          <w:bCs/>
          <w:lang w:val="en-US"/>
        </w:rPr>
      </w:pPr>
      <w:r w:rsidRPr="002C5882">
        <w:rPr>
          <w:noProof/>
        </w:rPr>
        <mc:AlternateContent>
          <mc:Choice Requires="wps">
            <w:drawing>
              <wp:anchor distT="0" distB="0" distL="114300" distR="114300" simplePos="0" relativeHeight="251658240" behindDoc="1" locked="0" layoutInCell="1" allowOverlap="1" wp14:anchorId="17FEAE6F" wp14:editId="20768C67">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C21C1D0" id="Rectangle 4379" o:spid="_x0000_s1026"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p w14:paraId="5802D0A8" w14:textId="3852BCBA" w:rsidR="00F45BDC" w:rsidRPr="000B3FAC" w:rsidRDefault="008912FE" w:rsidP="00AA7049">
      <w:pPr>
        <w:tabs>
          <w:tab w:val="right" w:pos="9026"/>
        </w:tabs>
        <w:rPr>
          <w:rFonts w:ascii="Gotham Black" w:hAnsi="Gotham Black"/>
          <w:color w:val="43C7F4"/>
          <w:sz w:val="36"/>
          <w:szCs w:val="36"/>
        </w:rPr>
      </w:pPr>
      <w:r w:rsidRPr="00F63872">
        <w:rPr>
          <w:rStyle w:val="DocLabelChar"/>
        </w:rPr>
        <w:t>Submission</w:t>
      </w:r>
      <w:r w:rsidR="00F45BDC" w:rsidRPr="006F47E7">
        <w:rPr>
          <w:rFonts w:ascii="Gotham Black" w:hAnsi="Gotham Black"/>
          <w:color w:val="44C7F4"/>
          <w:sz w:val="36"/>
          <w:szCs w:val="36"/>
        </w:rPr>
        <w:tab/>
      </w:r>
      <w:r w:rsidR="007A5927">
        <w:rPr>
          <w:rStyle w:val="DocDateChar"/>
        </w:rPr>
        <w:t>6</w:t>
      </w:r>
      <w:r w:rsidR="00DE11E8">
        <w:rPr>
          <w:rStyle w:val="DocDateChar"/>
        </w:rPr>
        <w:t xml:space="preserve"> June 2023</w:t>
      </w:r>
    </w:p>
    <w:bookmarkEnd w:id="0"/>
    <w:p w14:paraId="7F0B9E36" w14:textId="77777777" w:rsidR="00771AA7" w:rsidRDefault="00771AA7" w:rsidP="006B1CBA"/>
    <w:p w14:paraId="7BC16E02" w14:textId="08909185" w:rsidR="009518F7" w:rsidRPr="00C81175" w:rsidRDefault="00FF0EA6" w:rsidP="00A93E4B">
      <w:pPr>
        <w:pStyle w:val="Title"/>
        <w:jc w:val="center"/>
      </w:pPr>
      <w:r>
        <w:t xml:space="preserve">ACCAN Response to </w:t>
      </w:r>
      <w:r w:rsidR="00A93E4B" w:rsidRPr="00A93E4B">
        <w:t>Telecommunications Consumer Protections (TCP) Code Review 2024</w:t>
      </w:r>
    </w:p>
    <w:p w14:paraId="46A62E40" w14:textId="5A9F8945" w:rsidR="008B6A77" w:rsidRPr="00C1798D" w:rsidRDefault="008B6A77" w:rsidP="00771AA7">
      <w:pPr>
        <w:pStyle w:val="Heading1"/>
        <w:jc w:val="center"/>
      </w:pPr>
      <w:bookmarkStart w:id="1" w:name="_Toc99975355"/>
      <w:bookmarkStart w:id="2" w:name="_Toc99975401"/>
      <w:bookmarkStart w:id="3" w:name="_Toc99975438"/>
      <w:bookmarkStart w:id="4" w:name="_Toc99975451"/>
      <w:bookmarkStart w:id="5" w:name="_Toc99975568"/>
      <w:r w:rsidRPr="00C1798D">
        <w:t xml:space="preserve">Submission by the Australian Communications Consumer Action Network </w:t>
      </w:r>
      <w:r w:rsidR="0012556A" w:rsidRPr="00C1798D">
        <w:t xml:space="preserve">(ACCAN) </w:t>
      </w:r>
      <w:r w:rsidRPr="00C1798D">
        <w:t xml:space="preserve">to </w:t>
      </w:r>
      <w:bookmarkEnd w:id="1"/>
      <w:bookmarkEnd w:id="2"/>
      <w:bookmarkEnd w:id="3"/>
      <w:bookmarkEnd w:id="4"/>
      <w:bookmarkEnd w:id="5"/>
      <w:r w:rsidR="00FF0EA6">
        <w:t>Communications Alliance</w:t>
      </w:r>
    </w:p>
    <w:p w14:paraId="704919E6" w14:textId="77777777" w:rsidR="00E95EF3" w:rsidRPr="00E95EF3" w:rsidRDefault="00E95EF3" w:rsidP="006B1CBA">
      <w:pPr>
        <w:rPr>
          <w:lang w:val="en-US" w:eastAsia="en-US"/>
        </w:rPr>
      </w:pPr>
    </w:p>
    <w:p w14:paraId="3F7385CA" w14:textId="77777777" w:rsidR="00A761CF" w:rsidRDefault="00A761CF" w:rsidP="006B1CBA">
      <w:r>
        <w:br w:type="page"/>
      </w:r>
    </w:p>
    <w:p w14:paraId="4DE06C53" w14:textId="77777777" w:rsidR="00B41CA8" w:rsidRPr="00B41CA8" w:rsidRDefault="00B41CA8" w:rsidP="00B41CA8">
      <w:pPr>
        <w:spacing w:before="100" w:beforeAutospacing="1" w:after="100" w:afterAutospacing="1" w:line="240" w:lineRule="auto"/>
        <w:rPr>
          <w:rFonts w:ascii="Calibri" w:eastAsia="MS Mincho" w:hAnsi="Calibri" w:cs="Arial"/>
          <w:b/>
        </w:rPr>
      </w:pPr>
      <w:r w:rsidRPr="00B41CA8">
        <w:rPr>
          <w:rFonts w:ascii="Calibri" w:eastAsia="MS Mincho" w:hAnsi="Calibri" w:cs="Arial"/>
          <w:b/>
        </w:rPr>
        <w:t xml:space="preserve">About ACCAN </w:t>
      </w:r>
    </w:p>
    <w:p w14:paraId="35A8931B" w14:textId="77777777" w:rsidR="00B41CA8" w:rsidRPr="00B41CA8" w:rsidRDefault="00B41CA8" w:rsidP="005537B6">
      <w:r w:rsidRPr="00B41CA8">
        <w:t>The Australian Communications Consumer Action Network (</w:t>
      </w:r>
      <w:r w:rsidRPr="00F7128C">
        <w:rPr>
          <w:b/>
        </w:rPr>
        <w:t>ACCAN</w:t>
      </w:r>
      <w:r w:rsidRPr="00B41CA8">
        <w:t xml:space="preserve">) is the peak body that represents all consumers on communications issues including telecommunications, broadband and emerging new services. ACCAN provides a strong </w:t>
      </w:r>
      <w:r w:rsidRPr="007B1E9D">
        <w:t>unified</w:t>
      </w:r>
      <w:r w:rsidRPr="00B41CA8">
        <w:t xml:space="preserve"> voice to industry and government as consumers work towards communications services that are trusted, inclusive and available for all.</w:t>
      </w:r>
    </w:p>
    <w:p w14:paraId="1F203C51" w14:textId="77777777" w:rsidR="00B41CA8" w:rsidRPr="00B41CA8" w:rsidRDefault="00B41CA8" w:rsidP="005537B6">
      <w:r w:rsidRPr="00B41CA8">
        <w:t xml:space="preserve">Consumers need ACCAN to promote better consumer protection outcomes ensuring speedy responses to complaints and issues. ACCAN aims to empower consumers so that they are well informed and can make good choices about products and services. As a peak body, ACCAN will represent the views of its broad and diverse membership base to policy makers, </w:t>
      </w:r>
      <w:proofErr w:type="gramStart"/>
      <w:r w:rsidRPr="00B41CA8">
        <w:t>government</w:t>
      </w:r>
      <w:proofErr w:type="gramEnd"/>
      <w:r w:rsidRPr="00B41CA8">
        <w:t xml:space="preserve"> and industry to get better outcomes for all communications consumers. </w:t>
      </w:r>
    </w:p>
    <w:p w14:paraId="629AA807" w14:textId="3F420E7C" w:rsidR="007672C3" w:rsidRDefault="00B41CA8" w:rsidP="005537B6">
      <w:pPr>
        <w:rPr>
          <w:color w:val="0000FF"/>
          <w:u w:val="single"/>
        </w:rPr>
      </w:pPr>
      <w:r w:rsidRPr="00B41CA8">
        <w:t>PO Box A1158</w:t>
      </w:r>
      <w:r w:rsidR="005537B6" w:rsidRPr="00B41CA8">
        <w:br/>
      </w:r>
      <w:r w:rsidRPr="00B41CA8">
        <w:t>Sydney South NSW 1235</w:t>
      </w:r>
      <w:r w:rsidRPr="00B41CA8">
        <w:br/>
        <w:t xml:space="preserve">Email: </w:t>
      </w:r>
      <w:hyperlink r:id="rId21" w:history="1">
        <w:r w:rsidRPr="00B41CA8">
          <w:rPr>
            <w:color w:val="0000FF"/>
            <w:u w:val="single"/>
          </w:rPr>
          <w:t>info@accan.org.au</w:t>
        </w:r>
      </w:hyperlink>
      <w:r w:rsidRPr="00B41CA8">
        <w:rPr>
          <w:color w:val="0000FF"/>
          <w:u w:val="single"/>
        </w:rPr>
        <w:br/>
      </w:r>
      <w:r w:rsidRPr="00B41CA8">
        <w:t>Phone: (02) 9288 4000</w:t>
      </w:r>
      <w:r w:rsidRPr="00B41CA8">
        <w:br/>
        <w:t xml:space="preserve">Contact us through the </w:t>
      </w:r>
      <w:hyperlink r:id="rId22" w:history="1">
        <w:r w:rsidRPr="00B41CA8">
          <w:rPr>
            <w:color w:val="0000FF"/>
            <w:u w:val="single"/>
          </w:rPr>
          <w:t>National Relay Service</w:t>
        </w:r>
      </w:hyperlink>
    </w:p>
    <w:p w14:paraId="70D8F63C" w14:textId="77777777" w:rsidR="007672C3" w:rsidRPr="00B41CA8" w:rsidRDefault="007672C3" w:rsidP="005537B6"/>
    <w:p w14:paraId="67AC7887" w14:textId="4503DBB7" w:rsidR="005537B6" w:rsidRPr="0017456B" w:rsidRDefault="000547D7" w:rsidP="0017456B">
      <w:r>
        <w:br w:type="page"/>
      </w:r>
    </w:p>
    <w:p w14:paraId="5E98B8DE" w14:textId="77777777" w:rsidR="00B41CA8" w:rsidRPr="00FB2211" w:rsidRDefault="006A30FD" w:rsidP="008F5831">
      <w:pPr>
        <w:pStyle w:val="Title"/>
      </w:pPr>
      <w:bookmarkStart w:id="6" w:name="_Toc99975569"/>
      <w:bookmarkStart w:id="7" w:name="_Hlk134690756"/>
      <w:r>
        <w:t>Executive Summary</w:t>
      </w:r>
      <w:bookmarkEnd w:id="6"/>
    </w:p>
    <w:p w14:paraId="20981AB2" w14:textId="1B98807C" w:rsidR="00EE730D" w:rsidRDefault="006108ED" w:rsidP="00E73B46">
      <w:pPr>
        <w:rPr>
          <w:lang w:val="en-US" w:eastAsia="en-US"/>
        </w:rPr>
      </w:pPr>
      <w:bookmarkStart w:id="8" w:name="_Toc99975453"/>
      <w:bookmarkStart w:id="9" w:name="_Toc99975570"/>
      <w:bookmarkEnd w:id="7"/>
      <w:r>
        <w:rPr>
          <w:lang w:val="en-US" w:eastAsia="en-US"/>
        </w:rPr>
        <w:t>C</w:t>
      </w:r>
      <w:r w:rsidR="004370D8">
        <w:rPr>
          <w:lang w:val="en-US" w:eastAsia="en-US"/>
        </w:rPr>
        <w:t>ommunications are essential</w:t>
      </w:r>
      <w:r w:rsidR="0086427C">
        <w:rPr>
          <w:lang w:val="en-US" w:eastAsia="en-US"/>
        </w:rPr>
        <w:t xml:space="preserve">, their delivery, and the consumer protection arrangements that underpin </w:t>
      </w:r>
      <w:r w:rsidR="005F7DFB">
        <w:rPr>
          <w:lang w:val="en-US" w:eastAsia="en-US"/>
        </w:rPr>
        <w:t xml:space="preserve">them </w:t>
      </w:r>
      <w:r w:rsidR="0086427C">
        <w:rPr>
          <w:lang w:val="en-US" w:eastAsia="en-US"/>
        </w:rPr>
        <w:t xml:space="preserve">are critical to the welfare of consumers and the broader community. </w:t>
      </w:r>
      <w:r w:rsidR="00DB6010">
        <w:rPr>
          <w:lang w:val="en-US" w:eastAsia="en-US"/>
        </w:rPr>
        <w:t>ACCAN thanks Communications Alliance for the opportunity to engage with the review of the Telecommunications Consumer Protections (</w:t>
      </w:r>
      <w:r w:rsidR="00DB6010" w:rsidRPr="004F521B">
        <w:rPr>
          <w:b/>
          <w:bCs/>
          <w:lang w:val="en-US" w:eastAsia="en-US"/>
        </w:rPr>
        <w:t>TCP</w:t>
      </w:r>
      <w:r w:rsidR="00DB6010">
        <w:rPr>
          <w:lang w:val="en-US" w:eastAsia="en-US"/>
        </w:rPr>
        <w:t xml:space="preserve">) Code. </w:t>
      </w:r>
    </w:p>
    <w:p w14:paraId="29A038DE" w14:textId="42ED7F8A" w:rsidR="007877BC" w:rsidRDefault="00DB6010" w:rsidP="003A11DE">
      <w:pPr>
        <w:rPr>
          <w:lang w:val="en-US" w:eastAsia="en-US"/>
        </w:rPr>
      </w:pPr>
      <w:r>
        <w:rPr>
          <w:lang w:val="en-US" w:eastAsia="en-US"/>
        </w:rPr>
        <w:t xml:space="preserve">The review provides a timely opportunity to reflect on the effectiveness of </w:t>
      </w:r>
      <w:r w:rsidR="00250448">
        <w:rPr>
          <w:lang w:val="en-US" w:eastAsia="en-US"/>
        </w:rPr>
        <w:t xml:space="preserve">consumer protections set out in the TCP Code and </w:t>
      </w:r>
      <w:r w:rsidR="00734823">
        <w:rPr>
          <w:lang w:val="en-US" w:eastAsia="en-US"/>
        </w:rPr>
        <w:t>the broader regulatory framework that underpins the code. A</w:t>
      </w:r>
      <w:r w:rsidR="00CC6002" w:rsidRPr="3B17BCBD">
        <w:rPr>
          <w:lang w:val="en-US" w:eastAsia="en-US"/>
        </w:rPr>
        <w:t>CCAN</w:t>
      </w:r>
      <w:r w:rsidR="00925560">
        <w:rPr>
          <w:lang w:val="en-US" w:eastAsia="en-US"/>
        </w:rPr>
        <w:t>’</w:t>
      </w:r>
      <w:r w:rsidR="00CC6002" w:rsidRPr="3B17BCBD">
        <w:rPr>
          <w:lang w:val="en-US" w:eastAsia="en-US"/>
        </w:rPr>
        <w:t>s</w:t>
      </w:r>
      <w:r w:rsidR="00CC6002" w:rsidRPr="3B17BCBD" w:rsidDel="0010185E">
        <w:rPr>
          <w:lang w:val="en-US" w:eastAsia="en-US"/>
        </w:rPr>
        <w:t xml:space="preserve"> </w:t>
      </w:r>
      <w:r w:rsidR="00CC6002" w:rsidRPr="3B17BCBD">
        <w:rPr>
          <w:lang w:val="en-US" w:eastAsia="en-US"/>
        </w:rPr>
        <w:t>engagement with consumers, consumer representatives, peak bodies</w:t>
      </w:r>
      <w:r w:rsidR="005078D8">
        <w:rPr>
          <w:lang w:val="en-US" w:eastAsia="en-US"/>
        </w:rPr>
        <w:t>,</w:t>
      </w:r>
      <w:r w:rsidR="00CC6002" w:rsidRPr="3B17BCBD">
        <w:rPr>
          <w:lang w:val="en-US" w:eastAsia="en-US"/>
        </w:rPr>
        <w:t xml:space="preserve"> and consumer groups has</w:t>
      </w:r>
      <w:r w:rsidR="00165303">
        <w:rPr>
          <w:lang w:val="en-US" w:eastAsia="en-US"/>
        </w:rPr>
        <w:t xml:space="preserve"> elicited a common view that the</w:t>
      </w:r>
      <w:r w:rsidR="00734823">
        <w:rPr>
          <w:lang w:val="en-US" w:eastAsia="en-US"/>
        </w:rPr>
        <w:t xml:space="preserve"> TCP Code</w:t>
      </w:r>
      <w:r w:rsidR="00165303">
        <w:rPr>
          <w:lang w:val="en-US" w:eastAsia="en-US"/>
        </w:rPr>
        <w:t xml:space="preserve"> </w:t>
      </w:r>
      <w:r w:rsidR="00252F86">
        <w:rPr>
          <w:lang w:val="en-US" w:eastAsia="en-US"/>
        </w:rPr>
        <w:t>provides inadequate</w:t>
      </w:r>
      <w:r w:rsidR="00C15600">
        <w:rPr>
          <w:lang w:val="en-US" w:eastAsia="en-US"/>
        </w:rPr>
        <w:t xml:space="preserve"> consumer protections</w:t>
      </w:r>
      <w:r w:rsidR="00252F86">
        <w:rPr>
          <w:lang w:val="en-US" w:eastAsia="en-US"/>
        </w:rPr>
        <w:t xml:space="preserve"> and is not underpinned by effect compliance, </w:t>
      </w:r>
      <w:proofErr w:type="gramStart"/>
      <w:r w:rsidR="00252F86">
        <w:rPr>
          <w:lang w:val="en-US" w:eastAsia="en-US"/>
        </w:rPr>
        <w:t>enforcement</w:t>
      </w:r>
      <w:proofErr w:type="gramEnd"/>
      <w:r w:rsidR="00252F86">
        <w:rPr>
          <w:lang w:val="en-US" w:eastAsia="en-US"/>
        </w:rPr>
        <w:t xml:space="preserve"> and penalty arrangements.</w:t>
      </w:r>
      <w:r w:rsidR="007877BC">
        <w:rPr>
          <w:lang w:val="en-US" w:eastAsia="en-US"/>
        </w:rPr>
        <w:t xml:space="preserve"> </w:t>
      </w:r>
    </w:p>
    <w:p w14:paraId="61112FBA" w14:textId="30BC2DA8" w:rsidR="00C82D4F" w:rsidRDefault="00101F57" w:rsidP="003A11DE">
      <w:pPr>
        <w:rPr>
          <w:lang w:val="en-US" w:eastAsia="en-US"/>
        </w:rPr>
      </w:pPr>
      <w:r>
        <w:rPr>
          <w:lang w:val="en-US" w:eastAsia="en-US"/>
        </w:rPr>
        <w:t xml:space="preserve">ACCAN </w:t>
      </w:r>
      <w:r w:rsidR="000016DA">
        <w:rPr>
          <w:lang w:val="en-US" w:eastAsia="en-US"/>
        </w:rPr>
        <w:t>welcomes</w:t>
      </w:r>
      <w:r w:rsidR="008B363A">
        <w:rPr>
          <w:lang w:val="en-US" w:eastAsia="en-US"/>
        </w:rPr>
        <w:t xml:space="preserve"> recent positive engagement with the sector on consumer protection arrangements and the TCP Code.</w:t>
      </w:r>
      <w:r>
        <w:rPr>
          <w:lang w:val="en-US" w:eastAsia="en-US"/>
        </w:rPr>
        <w:t xml:space="preserve"> However,</w:t>
      </w:r>
      <w:r w:rsidR="008B363A">
        <w:rPr>
          <w:lang w:val="en-US" w:eastAsia="en-US"/>
        </w:rPr>
        <w:t xml:space="preserve"> </w:t>
      </w:r>
      <w:r w:rsidR="00FC0FAF">
        <w:rPr>
          <w:lang w:val="en-US" w:eastAsia="en-US"/>
        </w:rPr>
        <w:t xml:space="preserve">while </w:t>
      </w:r>
      <w:r>
        <w:rPr>
          <w:lang w:val="en-US" w:eastAsia="en-US"/>
        </w:rPr>
        <w:t>g</w:t>
      </w:r>
      <w:r w:rsidR="008B363A">
        <w:rPr>
          <w:lang w:val="en-US" w:eastAsia="en-US"/>
        </w:rPr>
        <w:t>oodwill on the part of industry participants is welcome,</w:t>
      </w:r>
      <w:r w:rsidR="00997646">
        <w:rPr>
          <w:lang w:val="en-US" w:eastAsia="en-US"/>
        </w:rPr>
        <w:t xml:space="preserve"> </w:t>
      </w:r>
      <w:r w:rsidR="00FC0FAF">
        <w:rPr>
          <w:lang w:val="en-US" w:eastAsia="en-US"/>
        </w:rPr>
        <w:t xml:space="preserve">it is </w:t>
      </w:r>
      <w:r w:rsidR="008B363A">
        <w:rPr>
          <w:lang w:val="en-US" w:eastAsia="en-US"/>
        </w:rPr>
        <w:t xml:space="preserve">insufficient to address the fundamental </w:t>
      </w:r>
      <w:r w:rsidR="00402A95">
        <w:rPr>
          <w:lang w:val="en-US" w:eastAsia="en-US"/>
        </w:rPr>
        <w:t>conflict of interest in</w:t>
      </w:r>
      <w:r w:rsidR="00E73B46">
        <w:rPr>
          <w:lang w:val="en-US" w:eastAsia="en-US"/>
        </w:rPr>
        <w:t xml:space="preserve">herent in industry </w:t>
      </w:r>
      <w:r w:rsidR="00FC0FAF">
        <w:rPr>
          <w:lang w:val="en-US" w:eastAsia="en-US"/>
        </w:rPr>
        <w:t xml:space="preserve">being responsible for </w:t>
      </w:r>
      <w:r w:rsidR="00E73B46">
        <w:rPr>
          <w:lang w:val="en-US" w:eastAsia="en-US"/>
        </w:rPr>
        <w:t xml:space="preserve">drafting the primary instrument for consumer </w:t>
      </w:r>
      <w:r w:rsidR="0081102A">
        <w:rPr>
          <w:lang w:val="en-US" w:eastAsia="en-US"/>
        </w:rPr>
        <w:t>protection.</w:t>
      </w:r>
    </w:p>
    <w:p w14:paraId="11CF4232" w14:textId="4FAB43BF" w:rsidR="002F06F7" w:rsidRDefault="008B363A" w:rsidP="008B363A">
      <w:pPr>
        <w:spacing w:after="160" w:line="259" w:lineRule="auto"/>
        <w:rPr>
          <w:rFonts w:ascii="Calibri" w:eastAsia="Calibri" w:hAnsi="Calibri" w:cs="Times New Roman"/>
          <w:kern w:val="2"/>
          <w:lang w:val="en-US" w:eastAsia="en-US"/>
          <w14:ligatures w14:val="standardContextual"/>
        </w:rPr>
      </w:pPr>
      <w:r>
        <w:rPr>
          <w:rFonts w:ascii="Calibri" w:eastAsia="Calibri" w:hAnsi="Calibri" w:cs="Times New Roman"/>
          <w:kern w:val="2"/>
          <w:lang w:val="en-US" w:eastAsia="en-US"/>
          <w14:ligatures w14:val="standardContextual"/>
        </w:rPr>
        <w:t xml:space="preserve">Progressing improved consumer protections requires a re-evaluation of the balance of direct regulation and self-regulation currently in place in the sector. While self-regulation has been effective in driving the improved functioning of specific aspects of the sector </w:t>
      </w:r>
      <w:proofErr w:type="gramStart"/>
      <w:r>
        <w:rPr>
          <w:rFonts w:ascii="Calibri" w:eastAsia="Calibri" w:hAnsi="Calibri" w:cs="Times New Roman"/>
          <w:kern w:val="2"/>
          <w:lang w:val="en-US" w:eastAsia="en-US"/>
          <w14:ligatures w14:val="standardContextual"/>
        </w:rPr>
        <w:t>e.g.</w:t>
      </w:r>
      <w:proofErr w:type="gramEnd"/>
      <w:r>
        <w:rPr>
          <w:rFonts w:ascii="Calibri" w:eastAsia="Calibri" w:hAnsi="Calibri" w:cs="Times New Roman"/>
          <w:kern w:val="2"/>
          <w:lang w:val="en-US" w:eastAsia="en-US"/>
          <w14:ligatures w14:val="standardContextual"/>
        </w:rPr>
        <w:t xml:space="preserve"> through technical codes, w</w:t>
      </w:r>
      <w:r w:rsidR="00402A95">
        <w:rPr>
          <w:rFonts w:ascii="Calibri" w:eastAsia="Calibri" w:hAnsi="Calibri" w:cs="Times New Roman"/>
          <w:kern w:val="2"/>
          <w:lang w:val="en-US" w:eastAsia="en-US"/>
          <w14:ligatures w14:val="standardContextual"/>
        </w:rPr>
        <w:t xml:space="preserve">e are unpersuaded that industry has the </w:t>
      </w:r>
      <w:r w:rsidR="001C508D">
        <w:rPr>
          <w:rFonts w:ascii="Calibri" w:eastAsia="Calibri" w:hAnsi="Calibri" w:cs="Times New Roman"/>
          <w:kern w:val="2"/>
          <w:lang w:val="en-US" w:eastAsia="en-US"/>
          <w14:ligatures w14:val="standardContextual"/>
        </w:rPr>
        <w:t xml:space="preserve">capacity </w:t>
      </w:r>
      <w:r w:rsidR="00402A95">
        <w:rPr>
          <w:rFonts w:ascii="Calibri" w:eastAsia="Calibri" w:hAnsi="Calibri" w:cs="Times New Roman"/>
          <w:kern w:val="2"/>
          <w:lang w:val="en-US" w:eastAsia="en-US"/>
          <w14:ligatures w14:val="standardContextual"/>
        </w:rPr>
        <w:t xml:space="preserve">to resolve </w:t>
      </w:r>
      <w:r w:rsidR="004C5A6A">
        <w:rPr>
          <w:rFonts w:ascii="Calibri" w:eastAsia="Calibri" w:hAnsi="Calibri" w:cs="Times New Roman"/>
          <w:kern w:val="2"/>
          <w:lang w:val="en-US" w:eastAsia="en-US"/>
          <w14:ligatures w14:val="standardContextual"/>
        </w:rPr>
        <w:t>questions of consumer protections in a manner consistent with the public interest</w:t>
      </w:r>
      <w:r w:rsidR="00442E90">
        <w:rPr>
          <w:rFonts w:ascii="Calibri" w:eastAsia="Calibri" w:hAnsi="Calibri" w:cs="Times New Roman"/>
          <w:kern w:val="2"/>
          <w:lang w:val="en-US" w:eastAsia="en-US"/>
          <w14:ligatures w14:val="standardContextual"/>
        </w:rPr>
        <w:t>, due to the fundamental tension between commercial and consumer interests</w:t>
      </w:r>
      <w:r w:rsidR="004C5A6A">
        <w:rPr>
          <w:rFonts w:ascii="Calibri" w:eastAsia="Calibri" w:hAnsi="Calibri" w:cs="Times New Roman"/>
          <w:kern w:val="2"/>
          <w:lang w:val="en-US" w:eastAsia="en-US"/>
          <w14:ligatures w14:val="standardContextual"/>
        </w:rPr>
        <w:t>.</w:t>
      </w:r>
      <w:r w:rsidR="002F06F7">
        <w:rPr>
          <w:rFonts w:ascii="Calibri" w:eastAsia="Calibri" w:hAnsi="Calibri" w:cs="Times New Roman"/>
          <w:kern w:val="2"/>
          <w:lang w:val="en-US" w:eastAsia="en-US"/>
          <w14:ligatures w14:val="standardContextual"/>
        </w:rPr>
        <w:t xml:space="preserve"> </w:t>
      </w:r>
    </w:p>
    <w:p w14:paraId="3969E85C" w14:textId="79AE763B" w:rsidR="002F06F7" w:rsidRPr="00062788" w:rsidRDefault="0081102A" w:rsidP="00062788">
      <w:pPr>
        <w:spacing w:after="160" w:line="259" w:lineRule="auto"/>
        <w:rPr>
          <w:rFonts w:ascii="Calibri" w:eastAsia="Calibri" w:hAnsi="Calibri" w:cs="Times New Roman"/>
          <w:kern w:val="2"/>
          <w:lang w:val="en-US" w:eastAsia="en-US"/>
          <w14:ligatures w14:val="standardContextual"/>
        </w:rPr>
      </w:pPr>
      <w:r>
        <w:rPr>
          <w:rFonts w:ascii="Calibri" w:eastAsia="Calibri" w:hAnsi="Calibri" w:cs="Times New Roman"/>
          <w:kern w:val="2"/>
          <w:lang w:val="en-US" w:eastAsia="en-US"/>
          <w14:ligatures w14:val="standardContextual"/>
        </w:rPr>
        <w:t xml:space="preserve">This </w:t>
      </w:r>
      <w:r w:rsidR="00DA4B29">
        <w:rPr>
          <w:rFonts w:ascii="Calibri" w:eastAsia="Calibri" w:hAnsi="Calibri" w:cs="Times New Roman"/>
          <w:kern w:val="2"/>
          <w:lang w:val="en-US" w:eastAsia="en-US"/>
          <w14:ligatures w14:val="standardContextual"/>
        </w:rPr>
        <w:t xml:space="preserve">statement </w:t>
      </w:r>
      <w:r w:rsidR="002F06F7">
        <w:rPr>
          <w:rFonts w:ascii="Calibri" w:eastAsia="Calibri" w:hAnsi="Calibri" w:cs="Times New Roman"/>
          <w:kern w:val="2"/>
          <w:lang w:val="en-US" w:eastAsia="en-US"/>
          <w14:ligatures w14:val="standardContextual"/>
        </w:rPr>
        <w:t>is not intended to be a critique of the efforts put forward by many in industry in good faith, but rather reflects the fundamental commercial imperatives that drive the communications market.</w:t>
      </w:r>
      <w:r w:rsidR="00E948B4">
        <w:rPr>
          <w:rFonts w:ascii="Calibri" w:eastAsia="Calibri" w:hAnsi="Calibri" w:cs="Times New Roman"/>
          <w:kern w:val="2"/>
          <w:lang w:val="en-US" w:eastAsia="en-US"/>
          <w14:ligatures w14:val="standardContextual"/>
        </w:rPr>
        <w:t xml:space="preserve"> These commercial imperatives have driven much value for consumers through improved access to </w:t>
      </w:r>
      <w:r w:rsidR="00A553C2">
        <w:rPr>
          <w:rFonts w:ascii="Calibri" w:eastAsia="Calibri" w:hAnsi="Calibri" w:cs="Times New Roman"/>
          <w:kern w:val="2"/>
          <w:lang w:val="en-US" w:eastAsia="en-US"/>
          <w14:ligatures w14:val="standardContextual"/>
        </w:rPr>
        <w:t xml:space="preserve">services at more affordable prices, however they </w:t>
      </w:r>
      <w:r w:rsidR="00E3467A">
        <w:rPr>
          <w:rFonts w:ascii="Calibri" w:eastAsia="Calibri" w:hAnsi="Calibri" w:cs="Times New Roman"/>
          <w:kern w:val="2"/>
          <w:lang w:val="en-US" w:eastAsia="en-US"/>
          <w14:ligatures w14:val="standardContextual"/>
        </w:rPr>
        <w:t xml:space="preserve">are not conducive to the development of </w:t>
      </w:r>
      <w:r w:rsidR="00A553C2">
        <w:rPr>
          <w:rFonts w:ascii="Calibri" w:eastAsia="Calibri" w:hAnsi="Calibri" w:cs="Times New Roman"/>
          <w:kern w:val="2"/>
          <w:lang w:val="en-US" w:eastAsia="en-US"/>
          <w14:ligatures w14:val="standardContextual"/>
        </w:rPr>
        <w:t>improved consumer protections.</w:t>
      </w:r>
    </w:p>
    <w:p w14:paraId="411D672A" w14:textId="2771B25E" w:rsidR="00014781" w:rsidRDefault="00014781" w:rsidP="003A11DE">
      <w:pPr>
        <w:rPr>
          <w:lang w:val="en-US" w:eastAsia="en-US"/>
        </w:rPr>
      </w:pPr>
      <w:r>
        <w:rPr>
          <w:lang w:val="en-US" w:eastAsia="en-US"/>
        </w:rPr>
        <w:t xml:space="preserve">ACCAN considers that material revisions to the content of consumer protection arrangements is required. In our view, this is best advanced through direct regulation drafted by government, in keeping with their role of safeguarding and advancing the public interest. Revising the content of consumer protections, however, must be </w:t>
      </w:r>
      <w:r w:rsidR="0018733A">
        <w:rPr>
          <w:lang w:val="en-US" w:eastAsia="en-US"/>
        </w:rPr>
        <w:t>progressed in conjunction with reform to strengthen and empower an effective regulator</w:t>
      </w:r>
      <w:r w:rsidR="00052D75">
        <w:rPr>
          <w:lang w:val="en-US" w:eastAsia="en-US"/>
        </w:rPr>
        <w:t>.</w:t>
      </w:r>
    </w:p>
    <w:p w14:paraId="2D2B95C8" w14:textId="58FF38F5" w:rsidR="0081102A" w:rsidRDefault="001A78DA" w:rsidP="003A11DE">
      <w:pPr>
        <w:rPr>
          <w:lang w:val="en-US" w:eastAsia="en-US"/>
        </w:rPr>
      </w:pPr>
      <w:r>
        <w:rPr>
          <w:lang w:val="en-US" w:eastAsia="en-US"/>
        </w:rPr>
        <w:t xml:space="preserve">ACCAN considers that direct regulation of communications consumer protections is needed to </w:t>
      </w:r>
      <w:r w:rsidR="00414755">
        <w:rPr>
          <w:lang w:val="en-US" w:eastAsia="en-US"/>
        </w:rPr>
        <w:t xml:space="preserve">address </w:t>
      </w:r>
      <w:r>
        <w:rPr>
          <w:lang w:val="en-US" w:eastAsia="en-US"/>
        </w:rPr>
        <w:t xml:space="preserve">the problems that </w:t>
      </w:r>
      <w:r w:rsidR="00414755">
        <w:rPr>
          <w:lang w:val="en-US" w:eastAsia="en-US"/>
        </w:rPr>
        <w:t xml:space="preserve">vulnerable </w:t>
      </w:r>
      <w:r>
        <w:rPr>
          <w:lang w:val="en-US" w:eastAsia="en-US"/>
        </w:rPr>
        <w:t>consumers face. Accordingly, w</w:t>
      </w:r>
      <w:r w:rsidRPr="00FC7B86">
        <w:rPr>
          <w:lang w:val="en-US" w:eastAsia="en-US"/>
        </w:rPr>
        <w:t xml:space="preserve">e consider that action to address the lack of protections on </w:t>
      </w:r>
      <w:r>
        <w:rPr>
          <w:lang w:val="en-US" w:eastAsia="en-US"/>
        </w:rPr>
        <w:t>domestic and family violence (</w:t>
      </w:r>
      <w:r w:rsidRPr="00B15F63">
        <w:rPr>
          <w:b/>
          <w:lang w:val="en-US" w:eastAsia="en-US"/>
        </w:rPr>
        <w:t>DFV</w:t>
      </w:r>
      <w:r>
        <w:rPr>
          <w:lang w:val="en-US" w:eastAsia="en-US"/>
        </w:rPr>
        <w:t>)</w:t>
      </w:r>
      <w:r w:rsidRPr="00FC7B86">
        <w:rPr>
          <w:lang w:val="en-US" w:eastAsia="en-US"/>
        </w:rPr>
        <w:t xml:space="preserve"> and long-standing issues with financial hardship</w:t>
      </w:r>
      <w:r>
        <w:rPr>
          <w:lang w:val="en-US" w:eastAsia="en-US"/>
        </w:rPr>
        <w:t>,</w:t>
      </w:r>
      <w:r w:rsidRPr="00FC7B86">
        <w:rPr>
          <w:lang w:val="en-US" w:eastAsia="en-US"/>
        </w:rPr>
        <w:t xml:space="preserve"> credit assessment</w:t>
      </w:r>
      <w:r>
        <w:rPr>
          <w:lang w:val="en-US" w:eastAsia="en-US"/>
        </w:rPr>
        <w:t xml:space="preserve">, mis-selling and payment options </w:t>
      </w:r>
      <w:r w:rsidRPr="00FC7B86">
        <w:rPr>
          <w:lang w:val="en-US" w:eastAsia="en-US"/>
        </w:rPr>
        <w:t>should be expedited</w:t>
      </w:r>
      <w:r>
        <w:rPr>
          <w:lang w:val="en-US" w:eastAsia="en-US"/>
        </w:rPr>
        <w:t xml:space="preserve"> for direct regulation</w:t>
      </w:r>
      <w:r w:rsidRPr="00FC7B86">
        <w:rPr>
          <w:lang w:val="en-US" w:eastAsia="en-US"/>
        </w:rPr>
        <w:t>.</w:t>
      </w:r>
    </w:p>
    <w:p w14:paraId="1EF21F3E" w14:textId="77777777" w:rsidR="007479FB" w:rsidRDefault="007479FB" w:rsidP="003A11DE">
      <w:pPr>
        <w:rPr>
          <w:lang w:val="en-US" w:eastAsia="en-US"/>
        </w:rPr>
      </w:pPr>
    </w:p>
    <w:p w14:paraId="7F0D857A" w14:textId="77777777" w:rsidR="00F7128C" w:rsidRDefault="00F7128C" w:rsidP="003A11DE">
      <w:pPr>
        <w:rPr>
          <w:lang w:val="en-US" w:eastAsia="en-US"/>
        </w:rPr>
      </w:pPr>
    </w:p>
    <w:p w14:paraId="2FC21898" w14:textId="77777777" w:rsidR="00F3640D" w:rsidRDefault="00F3640D" w:rsidP="003A11DE">
      <w:pPr>
        <w:rPr>
          <w:lang w:val="en-US" w:eastAsia="en-US"/>
        </w:rPr>
      </w:pPr>
    </w:p>
    <w:bookmarkEnd w:id="8"/>
    <w:bookmarkEnd w:id="9"/>
    <w:p w14:paraId="0A0728FE" w14:textId="3A136A14" w:rsidR="00A93E4B" w:rsidRPr="00A93E4B" w:rsidRDefault="00A93E4B" w:rsidP="00A93E4B">
      <w:pPr>
        <w:pStyle w:val="Title"/>
      </w:pPr>
      <w:r w:rsidRPr="00A93E4B">
        <w:rPr>
          <w:lang w:val="en-AU"/>
        </w:rPr>
        <w:t xml:space="preserve">Response to </w:t>
      </w:r>
      <w:r>
        <w:rPr>
          <w:lang w:val="en-AU"/>
        </w:rPr>
        <w:t>Q</w:t>
      </w:r>
      <w:r w:rsidRPr="00A93E4B">
        <w:rPr>
          <w:lang w:val="en-AU"/>
        </w:rPr>
        <w:t xml:space="preserve">uestions </w:t>
      </w:r>
    </w:p>
    <w:p w14:paraId="5BA13EFF" w14:textId="77777777" w:rsidR="003573DB" w:rsidRDefault="003573DB" w:rsidP="00047413">
      <w:pPr>
        <w:pStyle w:val="Heading1"/>
        <w:rPr>
          <w:lang w:val="en-US" w:eastAsia="en-US"/>
        </w:rPr>
      </w:pPr>
      <w:bookmarkStart w:id="10" w:name="_Toc99975405"/>
      <w:bookmarkStart w:id="11" w:name="_Toc99975456"/>
      <w:bookmarkStart w:id="12" w:name="_Toc99975573"/>
      <w:r w:rsidRPr="003573DB">
        <w:rPr>
          <w:lang w:val="en-US" w:eastAsia="en-US"/>
        </w:rPr>
        <w:t>Response to question 1</w:t>
      </w:r>
      <w:bookmarkEnd w:id="10"/>
      <w:bookmarkEnd w:id="11"/>
      <w:bookmarkEnd w:id="12"/>
    </w:p>
    <w:p w14:paraId="0C9A2415" w14:textId="77777777" w:rsidR="007672C3" w:rsidRDefault="00A93E4B" w:rsidP="00D506E1">
      <w:pPr>
        <w:rPr>
          <w:b/>
          <w:bCs/>
          <w:lang w:eastAsia="en-US"/>
        </w:rPr>
      </w:pPr>
      <w:r w:rsidRPr="00BE45B9">
        <w:rPr>
          <w:b/>
          <w:bCs/>
          <w:lang w:eastAsia="en-US"/>
        </w:rPr>
        <w:t>Question: What do you understand the TCP Code’s objectives to be?</w:t>
      </w:r>
    </w:p>
    <w:p w14:paraId="72A46C31" w14:textId="1C46951A" w:rsidR="00B31954" w:rsidRDefault="00B31954" w:rsidP="00D506E1">
      <w:pPr>
        <w:rPr>
          <w:lang w:val="en-US" w:eastAsia="en-US"/>
        </w:rPr>
      </w:pPr>
      <w:r w:rsidRPr="00B31954">
        <w:rPr>
          <w:lang w:val="en-US" w:eastAsia="en-US"/>
        </w:rPr>
        <w:t xml:space="preserve">The TCP Code </w:t>
      </w:r>
      <w:r w:rsidR="001000C6">
        <w:rPr>
          <w:lang w:val="en-US" w:eastAsia="en-US"/>
        </w:rPr>
        <w:t>sets</w:t>
      </w:r>
      <w:r w:rsidR="001000C6" w:rsidRPr="00B31954">
        <w:rPr>
          <w:lang w:val="en-US" w:eastAsia="en-US"/>
        </w:rPr>
        <w:t xml:space="preserve"> </w:t>
      </w:r>
      <w:r w:rsidRPr="00B31954">
        <w:rPr>
          <w:lang w:val="en-US" w:eastAsia="en-US"/>
        </w:rPr>
        <w:t>o</w:t>
      </w:r>
      <w:r w:rsidR="001000C6">
        <w:rPr>
          <w:lang w:val="en-US" w:eastAsia="en-US"/>
        </w:rPr>
        <w:t>ut</w:t>
      </w:r>
      <w:r w:rsidRPr="00B31954">
        <w:rPr>
          <w:lang w:val="en-US" w:eastAsia="en-US"/>
        </w:rPr>
        <w:t xml:space="preserve"> rules for the communications industry in Australia. </w:t>
      </w:r>
      <w:r w:rsidR="00554F8B">
        <w:rPr>
          <w:lang w:val="en-US" w:eastAsia="en-US"/>
        </w:rPr>
        <w:t>Ostensibly</w:t>
      </w:r>
      <w:r w:rsidRPr="00B31954">
        <w:rPr>
          <w:lang w:val="en-US" w:eastAsia="en-US"/>
        </w:rPr>
        <w:t xml:space="preserve">, the TCP Code aims to </w:t>
      </w:r>
      <w:r w:rsidR="00EE5181">
        <w:rPr>
          <w:lang w:val="en-US" w:eastAsia="en-US"/>
        </w:rPr>
        <w:t xml:space="preserve">provide baseline </w:t>
      </w:r>
      <w:r w:rsidRPr="00B31954">
        <w:rPr>
          <w:lang w:val="en-US" w:eastAsia="en-US"/>
        </w:rPr>
        <w:t>protect</w:t>
      </w:r>
      <w:r w:rsidR="00EE5181">
        <w:rPr>
          <w:lang w:val="en-US" w:eastAsia="en-US"/>
        </w:rPr>
        <w:t>ions for</w:t>
      </w:r>
      <w:r w:rsidRPr="00B31954">
        <w:rPr>
          <w:lang w:val="en-US" w:eastAsia="en-US"/>
        </w:rPr>
        <w:t xml:space="preserve"> </w:t>
      </w:r>
      <w:r w:rsidR="0072165E">
        <w:rPr>
          <w:lang w:val="en-US" w:eastAsia="en-US"/>
        </w:rPr>
        <w:t xml:space="preserve">communications </w:t>
      </w:r>
      <w:r w:rsidRPr="00B31954">
        <w:rPr>
          <w:lang w:val="en-US" w:eastAsia="en-US"/>
        </w:rPr>
        <w:t>consumers</w:t>
      </w:r>
      <w:r w:rsidR="00095DF2">
        <w:rPr>
          <w:lang w:val="en-US" w:eastAsia="en-US"/>
        </w:rPr>
        <w:t>.</w:t>
      </w:r>
      <w:r w:rsidR="006E4796">
        <w:rPr>
          <w:lang w:val="en-US" w:eastAsia="en-US"/>
        </w:rPr>
        <w:t xml:space="preserve"> </w:t>
      </w:r>
      <w:r w:rsidR="00AE7200">
        <w:rPr>
          <w:lang w:val="en-US" w:eastAsia="en-US"/>
        </w:rPr>
        <w:t>I</w:t>
      </w:r>
      <w:r w:rsidR="0071783D">
        <w:rPr>
          <w:lang w:val="en-US" w:eastAsia="en-US"/>
        </w:rPr>
        <w:t>ndustry compliance with the TCP Code is voluntary unless the</w:t>
      </w:r>
      <w:r w:rsidR="006222E3">
        <w:rPr>
          <w:lang w:val="en-US" w:eastAsia="en-US"/>
        </w:rPr>
        <w:t xml:space="preserve"> Australian Communications and Media Authority</w:t>
      </w:r>
      <w:r w:rsidR="0071783D">
        <w:rPr>
          <w:lang w:val="en-US" w:eastAsia="en-US"/>
        </w:rPr>
        <w:t xml:space="preserve"> </w:t>
      </w:r>
      <w:r w:rsidR="006222E3">
        <w:rPr>
          <w:lang w:val="en-US" w:eastAsia="en-US"/>
        </w:rPr>
        <w:t>(</w:t>
      </w:r>
      <w:r w:rsidR="0071783D" w:rsidRPr="0061784D">
        <w:rPr>
          <w:b/>
          <w:bCs/>
          <w:lang w:val="en-US" w:eastAsia="en-US"/>
        </w:rPr>
        <w:t>ACMA</w:t>
      </w:r>
      <w:r w:rsidR="006222E3">
        <w:rPr>
          <w:lang w:val="en-US" w:eastAsia="en-US"/>
        </w:rPr>
        <w:t>)</w:t>
      </w:r>
      <w:r w:rsidR="0071783D">
        <w:rPr>
          <w:lang w:val="en-US" w:eastAsia="en-US"/>
        </w:rPr>
        <w:t xml:space="preserve"> directs a participant to comply</w:t>
      </w:r>
      <w:r w:rsidR="00EA0AB9">
        <w:rPr>
          <w:lang w:val="en-US" w:eastAsia="en-US"/>
        </w:rPr>
        <w:t>.</w:t>
      </w:r>
      <w:r w:rsidR="00EA0AB9" w:rsidDel="0085219C">
        <w:rPr>
          <w:rStyle w:val="FootnoteReference"/>
          <w:lang w:val="en-US" w:eastAsia="en-US"/>
        </w:rPr>
        <w:footnoteReference w:id="2"/>
      </w:r>
    </w:p>
    <w:p w14:paraId="7841524B" w14:textId="76D0CD0D" w:rsidR="005334A5" w:rsidRDefault="005334A5" w:rsidP="00D506E1">
      <w:pPr>
        <w:rPr>
          <w:lang w:val="en-US" w:eastAsia="en-US"/>
        </w:rPr>
      </w:pPr>
      <w:r>
        <w:rPr>
          <w:lang w:eastAsia="en-US"/>
        </w:rPr>
        <w:t>While ACCAN supports the development of a consumer protection framework with which industry is capable of complying, we consider that the TCP Code’s focus on minimum protection has</w:t>
      </w:r>
      <w:r w:rsidR="00B17A14">
        <w:rPr>
          <w:lang w:eastAsia="en-US"/>
        </w:rPr>
        <w:t>,</w:t>
      </w:r>
      <w:r>
        <w:rPr>
          <w:lang w:eastAsia="en-US"/>
        </w:rPr>
        <w:t xml:space="preserve"> at times, led to the drafting of consumer safeguards that reflect the</w:t>
      </w:r>
      <w:r w:rsidR="00601505">
        <w:rPr>
          <w:lang w:eastAsia="en-US"/>
        </w:rPr>
        <w:t xml:space="preserve"> ability to comply of the</w:t>
      </w:r>
      <w:r>
        <w:rPr>
          <w:lang w:eastAsia="en-US"/>
        </w:rPr>
        <w:t xml:space="preserve"> least resourced and capable industry participant. Noting that the communications market is highly concentrated, with most participants well resourced, we consider that directly regulated minimum consumer protections could be strengthened considerably, while still providing a proportionate set of obligations. </w:t>
      </w:r>
    </w:p>
    <w:p w14:paraId="0C40C447" w14:textId="7F2C2273" w:rsidR="0005295B" w:rsidRDefault="006A292F" w:rsidP="006A292F">
      <w:pPr>
        <w:rPr>
          <w:lang w:val="en-US" w:eastAsia="en-US"/>
        </w:rPr>
      </w:pPr>
      <w:r>
        <w:rPr>
          <w:lang w:eastAsia="en-US"/>
        </w:rPr>
        <w:t xml:space="preserve">ACCAN queries whether the TCP Code and broader regulatory arrangements are achieving its stated objective of providing minimum protections, noting that it is voluntary and underpinned by limited external compliance and enforcement powers. </w:t>
      </w:r>
      <w:r>
        <w:rPr>
          <w:lang w:val="en-US" w:eastAsia="en-US"/>
        </w:rPr>
        <w:t xml:space="preserve">The </w:t>
      </w:r>
      <w:r w:rsidR="001C508D">
        <w:rPr>
          <w:lang w:val="en-US" w:eastAsia="en-US"/>
        </w:rPr>
        <w:t>limitations</w:t>
      </w:r>
      <w:r>
        <w:rPr>
          <w:lang w:val="en-US" w:eastAsia="en-US"/>
        </w:rPr>
        <w:t xml:space="preserve"> of existing arrangements ha</w:t>
      </w:r>
      <w:r w:rsidR="0053521E">
        <w:rPr>
          <w:lang w:val="en-US" w:eastAsia="en-US"/>
        </w:rPr>
        <w:t>ve</w:t>
      </w:r>
      <w:r>
        <w:rPr>
          <w:lang w:val="en-US" w:eastAsia="en-US"/>
        </w:rPr>
        <w:t xml:space="preserve"> seen many ACCAN members and stakeholders express the view that the TCP Code overwhelmingly serves the interests of industry participants due to the weak protections it affords, poor overall compliance, and the absence of mandatory consumer protections measures. ACCAN has been advised on several occasions that the community sector views the TCP Code as an ineffectual instrument intended to forestall genuine engagement on consumer protection matters. </w:t>
      </w:r>
    </w:p>
    <w:p w14:paraId="01BBD5DD" w14:textId="77777777" w:rsidR="00E95BD5" w:rsidRDefault="003573DB" w:rsidP="00047413">
      <w:pPr>
        <w:pStyle w:val="Heading1"/>
        <w:rPr>
          <w:lang w:eastAsia="en-US"/>
        </w:rPr>
      </w:pPr>
      <w:bookmarkStart w:id="13" w:name="_Toc99975406"/>
      <w:bookmarkStart w:id="14" w:name="_Toc99975457"/>
      <w:bookmarkStart w:id="15" w:name="_Toc99975574"/>
      <w:r w:rsidRPr="003573DB">
        <w:rPr>
          <w:lang w:val="en-US" w:eastAsia="en-US"/>
        </w:rPr>
        <w:t>Response to question 2</w:t>
      </w:r>
      <w:bookmarkEnd w:id="13"/>
      <w:bookmarkEnd w:id="14"/>
      <w:bookmarkEnd w:id="15"/>
    </w:p>
    <w:p w14:paraId="68D4E094" w14:textId="77777777" w:rsidR="007B7DD3" w:rsidRDefault="00091018" w:rsidP="007B7DD3">
      <w:pPr>
        <w:rPr>
          <w:b/>
          <w:bCs/>
          <w:lang w:val="en-US" w:eastAsia="en-US"/>
        </w:rPr>
      </w:pPr>
      <w:r w:rsidRPr="00BE45B9">
        <w:rPr>
          <w:b/>
          <w:bCs/>
          <w:lang w:val="en-US" w:eastAsia="en-US"/>
        </w:rPr>
        <w:t xml:space="preserve">Question: </w:t>
      </w:r>
      <w:r w:rsidR="007B7DD3" w:rsidRPr="00BE45B9">
        <w:rPr>
          <w:b/>
          <w:bCs/>
          <w:lang w:val="en-US" w:eastAsia="en-US"/>
        </w:rPr>
        <w:t xml:space="preserve">What areas of the TCP Code do you think are working well, and why? Please provide as much detail as possible to help us understand why you hold this view. </w:t>
      </w:r>
    </w:p>
    <w:p w14:paraId="1BABA669" w14:textId="53A84B66" w:rsidR="00354534" w:rsidRDefault="00800E4B" w:rsidP="000B0350">
      <w:pPr>
        <w:spacing w:after="160" w:line="259" w:lineRule="auto"/>
        <w:rPr>
          <w:rFonts w:ascii="Calibri" w:eastAsia="Calibri" w:hAnsi="Calibri" w:cs="Times New Roman"/>
          <w:kern w:val="2"/>
          <w:lang w:val="en-US" w:eastAsia="en-US"/>
          <w14:ligatures w14:val="standardContextual"/>
        </w:rPr>
      </w:pPr>
      <w:r>
        <w:rPr>
          <w:rFonts w:ascii="Calibri" w:eastAsia="Calibri" w:hAnsi="Calibri" w:cs="Times New Roman"/>
          <w:kern w:val="2"/>
          <w:lang w:val="en-US" w:eastAsia="en-US"/>
          <w14:ligatures w14:val="standardContextual"/>
        </w:rPr>
        <w:t xml:space="preserve">ACCAN’s response to this question is informed </w:t>
      </w:r>
      <w:r w:rsidR="00831D32">
        <w:rPr>
          <w:rFonts w:ascii="Calibri" w:eastAsia="Calibri" w:hAnsi="Calibri" w:cs="Times New Roman"/>
          <w:kern w:val="2"/>
          <w:lang w:val="en-US" w:eastAsia="en-US"/>
          <w14:ligatures w14:val="standardContextual"/>
        </w:rPr>
        <w:t>by</w:t>
      </w:r>
      <w:r>
        <w:rPr>
          <w:rFonts w:ascii="Calibri" w:eastAsia="Calibri" w:hAnsi="Calibri" w:cs="Times New Roman"/>
          <w:kern w:val="2"/>
          <w:lang w:val="en-US" w:eastAsia="en-US"/>
          <w14:ligatures w14:val="standardContextual"/>
        </w:rPr>
        <w:t xml:space="preserve"> our engagement with </w:t>
      </w:r>
      <w:r w:rsidR="00442E3D">
        <w:rPr>
          <w:rFonts w:ascii="Calibri" w:eastAsia="Calibri" w:hAnsi="Calibri" w:cs="Times New Roman"/>
          <w:kern w:val="2"/>
          <w:lang w:val="en-US" w:eastAsia="en-US"/>
          <w14:ligatures w14:val="standardContextual"/>
        </w:rPr>
        <w:t xml:space="preserve">our members and stakeholders </w:t>
      </w:r>
      <w:r w:rsidR="00815161">
        <w:rPr>
          <w:rFonts w:ascii="Calibri" w:eastAsia="Calibri" w:hAnsi="Calibri" w:cs="Times New Roman"/>
          <w:kern w:val="2"/>
          <w:lang w:val="en-US" w:eastAsia="en-US"/>
          <w14:ligatures w14:val="standardContextual"/>
        </w:rPr>
        <w:t>who have</w:t>
      </w:r>
      <w:r w:rsidR="00831D32">
        <w:rPr>
          <w:rFonts w:ascii="Calibri" w:eastAsia="Calibri" w:hAnsi="Calibri" w:cs="Times New Roman"/>
          <w:kern w:val="2"/>
          <w:lang w:val="en-US" w:eastAsia="en-US"/>
          <w14:ligatures w14:val="standardContextual"/>
        </w:rPr>
        <w:t xml:space="preserve"> </w:t>
      </w:r>
      <w:r w:rsidR="007618B4">
        <w:rPr>
          <w:rFonts w:ascii="Calibri" w:eastAsia="Calibri" w:hAnsi="Calibri" w:cs="Times New Roman"/>
          <w:kern w:val="2"/>
          <w:lang w:val="en-US" w:eastAsia="en-US"/>
          <w14:ligatures w14:val="standardContextual"/>
        </w:rPr>
        <w:t>extensive experience safeguarding communications consumers</w:t>
      </w:r>
      <w:r w:rsidR="00831D32">
        <w:rPr>
          <w:rFonts w:ascii="Calibri" w:eastAsia="Calibri" w:hAnsi="Calibri" w:cs="Times New Roman"/>
          <w:kern w:val="2"/>
          <w:lang w:val="en-US" w:eastAsia="en-US"/>
          <w14:ligatures w14:val="standardContextual"/>
        </w:rPr>
        <w:t>’</w:t>
      </w:r>
      <w:r w:rsidR="007618B4">
        <w:rPr>
          <w:rFonts w:ascii="Calibri" w:eastAsia="Calibri" w:hAnsi="Calibri" w:cs="Times New Roman"/>
          <w:kern w:val="2"/>
          <w:lang w:val="en-US" w:eastAsia="en-US"/>
          <w14:ligatures w14:val="standardContextual"/>
        </w:rPr>
        <w:t xml:space="preserve"> rights and interests</w:t>
      </w:r>
      <w:r w:rsidR="00B5212F">
        <w:rPr>
          <w:rFonts w:ascii="Calibri" w:eastAsia="Calibri" w:hAnsi="Calibri" w:cs="Times New Roman"/>
          <w:kern w:val="2"/>
          <w:lang w:val="en-US" w:eastAsia="en-US"/>
          <w14:ligatures w14:val="standardContextual"/>
        </w:rPr>
        <w:t xml:space="preserve"> in Australia</w:t>
      </w:r>
      <w:r w:rsidR="007618B4">
        <w:rPr>
          <w:rFonts w:ascii="Calibri" w:eastAsia="Calibri" w:hAnsi="Calibri" w:cs="Times New Roman"/>
          <w:kern w:val="2"/>
          <w:lang w:val="en-US" w:eastAsia="en-US"/>
          <w14:ligatures w14:val="standardContextual"/>
        </w:rPr>
        <w:t xml:space="preserve">. </w:t>
      </w:r>
      <w:r w:rsidR="00B5212F">
        <w:rPr>
          <w:rFonts w:ascii="Calibri" w:eastAsia="Calibri" w:hAnsi="Calibri" w:cs="Times New Roman"/>
          <w:kern w:val="2"/>
          <w:lang w:val="en-US" w:eastAsia="en-US"/>
          <w14:ligatures w14:val="standardContextual"/>
        </w:rPr>
        <w:t>Through</w:t>
      </w:r>
      <w:r w:rsidR="00991AEA">
        <w:rPr>
          <w:rFonts w:ascii="Calibri" w:eastAsia="Calibri" w:hAnsi="Calibri" w:cs="Times New Roman"/>
          <w:kern w:val="2"/>
          <w:lang w:val="en-US" w:eastAsia="en-US"/>
          <w14:ligatures w14:val="standardContextual"/>
        </w:rPr>
        <w:t xml:space="preserve">out our </w:t>
      </w:r>
      <w:r w:rsidR="00B5212F">
        <w:rPr>
          <w:rFonts w:ascii="Calibri" w:eastAsia="Calibri" w:hAnsi="Calibri" w:cs="Times New Roman"/>
          <w:kern w:val="2"/>
          <w:lang w:val="en-US" w:eastAsia="en-US"/>
          <w14:ligatures w14:val="standardContextual"/>
        </w:rPr>
        <w:t>consultation</w:t>
      </w:r>
      <w:r w:rsidR="00991AEA">
        <w:rPr>
          <w:rFonts w:ascii="Calibri" w:eastAsia="Calibri" w:hAnsi="Calibri" w:cs="Times New Roman"/>
          <w:kern w:val="2"/>
          <w:lang w:val="en-US" w:eastAsia="en-US"/>
          <w14:ligatures w14:val="standardContextual"/>
        </w:rPr>
        <w:t>s</w:t>
      </w:r>
      <w:r w:rsidR="00B5212F">
        <w:rPr>
          <w:rFonts w:ascii="Calibri" w:eastAsia="Calibri" w:hAnsi="Calibri" w:cs="Times New Roman"/>
          <w:kern w:val="2"/>
          <w:lang w:val="en-US" w:eastAsia="en-US"/>
          <w14:ligatures w14:val="standardContextual"/>
        </w:rPr>
        <w:t xml:space="preserve">, </w:t>
      </w:r>
      <w:r w:rsidR="000B0350">
        <w:rPr>
          <w:rFonts w:ascii="Calibri" w:eastAsia="Calibri" w:hAnsi="Calibri" w:cs="Times New Roman"/>
          <w:kern w:val="2"/>
          <w:lang w:val="en-US" w:eastAsia="en-US"/>
          <w14:ligatures w14:val="standardContextual"/>
        </w:rPr>
        <w:t xml:space="preserve">ACCAN members </w:t>
      </w:r>
      <w:r w:rsidR="001B2B06">
        <w:rPr>
          <w:rFonts w:ascii="Calibri" w:eastAsia="Calibri" w:hAnsi="Calibri" w:cs="Times New Roman"/>
          <w:kern w:val="2"/>
          <w:lang w:val="en-US" w:eastAsia="en-US"/>
          <w14:ligatures w14:val="standardContextual"/>
        </w:rPr>
        <w:t xml:space="preserve">and stakeholders </w:t>
      </w:r>
      <w:r w:rsidR="00272B9E">
        <w:rPr>
          <w:rFonts w:ascii="Calibri" w:eastAsia="Calibri" w:hAnsi="Calibri" w:cs="Times New Roman"/>
          <w:kern w:val="2"/>
          <w:lang w:val="en-US" w:eastAsia="en-US"/>
          <w14:ligatures w14:val="standardContextual"/>
        </w:rPr>
        <w:t>no</w:t>
      </w:r>
      <w:r w:rsidR="007A783B" w:rsidRPr="007A783B">
        <w:rPr>
          <w:rFonts w:ascii="Calibri" w:eastAsia="Calibri" w:hAnsi="Calibri" w:cs="Times New Roman"/>
          <w:kern w:val="2"/>
          <w:lang w:val="en-US" w:eastAsia="en-US"/>
          <w14:ligatures w14:val="standardContextual"/>
        </w:rPr>
        <w:t>ted</w:t>
      </w:r>
      <w:r w:rsidR="00286846" w:rsidDel="00CA5741">
        <w:rPr>
          <w:rFonts w:ascii="Calibri" w:eastAsia="Calibri" w:hAnsi="Calibri" w:cs="Times New Roman"/>
          <w:kern w:val="2"/>
          <w:lang w:val="en-US" w:eastAsia="en-US"/>
          <w14:ligatures w14:val="standardContextual"/>
        </w:rPr>
        <w:t xml:space="preserve"> </w:t>
      </w:r>
      <w:r w:rsidR="00CA5741">
        <w:rPr>
          <w:rFonts w:ascii="Calibri" w:eastAsia="Calibri" w:hAnsi="Calibri" w:cs="Times New Roman"/>
          <w:kern w:val="2"/>
          <w:lang w:val="en-US" w:eastAsia="en-US"/>
          <w14:ligatures w14:val="standardContextual"/>
        </w:rPr>
        <w:t xml:space="preserve">limited </w:t>
      </w:r>
      <w:r w:rsidR="00286846">
        <w:rPr>
          <w:rFonts w:ascii="Calibri" w:eastAsia="Calibri" w:hAnsi="Calibri" w:cs="Times New Roman"/>
          <w:kern w:val="2"/>
          <w:lang w:val="en-US" w:eastAsia="en-US"/>
          <w14:ligatures w14:val="standardContextual"/>
        </w:rPr>
        <w:t>positive interaction</w:t>
      </w:r>
      <w:r w:rsidR="000B0350">
        <w:rPr>
          <w:rFonts w:ascii="Calibri" w:eastAsia="Calibri" w:hAnsi="Calibri" w:cs="Times New Roman"/>
          <w:kern w:val="2"/>
          <w:lang w:val="en-US" w:eastAsia="en-US"/>
          <w14:ligatures w14:val="standardContextual"/>
        </w:rPr>
        <w:t>s</w:t>
      </w:r>
      <w:r w:rsidR="00CA5741">
        <w:rPr>
          <w:rFonts w:ascii="Calibri" w:eastAsia="Calibri" w:hAnsi="Calibri" w:cs="Times New Roman"/>
          <w:kern w:val="2"/>
          <w:lang w:val="en-US" w:eastAsia="en-US"/>
          <w14:ligatures w14:val="standardContextual"/>
        </w:rPr>
        <w:t xml:space="preserve"> with industry participants </w:t>
      </w:r>
      <w:r w:rsidR="001B2B06">
        <w:rPr>
          <w:rFonts w:ascii="Calibri" w:eastAsia="Calibri" w:hAnsi="Calibri" w:cs="Times New Roman"/>
          <w:kern w:val="2"/>
          <w:lang w:val="en-US" w:eastAsia="en-US"/>
          <w14:ligatures w14:val="standardContextual"/>
        </w:rPr>
        <w:t xml:space="preserve">when engaging with provisions of the </w:t>
      </w:r>
      <w:r w:rsidR="00CA5741">
        <w:rPr>
          <w:rFonts w:ascii="Calibri" w:eastAsia="Calibri" w:hAnsi="Calibri" w:cs="Times New Roman"/>
          <w:kern w:val="2"/>
          <w:lang w:val="en-US" w:eastAsia="en-US"/>
          <w14:ligatures w14:val="standardContextual"/>
        </w:rPr>
        <w:t xml:space="preserve">TCP Code. </w:t>
      </w:r>
      <w:r w:rsidR="00F94652">
        <w:rPr>
          <w:rFonts w:ascii="Calibri" w:eastAsia="Calibri" w:hAnsi="Calibri" w:cs="Times New Roman"/>
          <w:kern w:val="2"/>
          <w:lang w:val="en-US" w:eastAsia="en-US"/>
          <w14:ligatures w14:val="standardContextual"/>
        </w:rPr>
        <w:t>ACCAN members and s</w:t>
      </w:r>
      <w:r w:rsidR="00F2774C">
        <w:rPr>
          <w:rFonts w:ascii="Calibri" w:eastAsia="Calibri" w:hAnsi="Calibri" w:cs="Times New Roman"/>
          <w:kern w:val="2"/>
          <w:lang w:val="en-US" w:eastAsia="en-US"/>
          <w14:ligatures w14:val="standardContextual"/>
        </w:rPr>
        <w:t xml:space="preserve">takeholders advised </w:t>
      </w:r>
      <w:r w:rsidR="007E34FA">
        <w:rPr>
          <w:rFonts w:ascii="Calibri" w:eastAsia="Calibri" w:hAnsi="Calibri" w:cs="Times New Roman"/>
          <w:kern w:val="2"/>
          <w:lang w:val="en-US" w:eastAsia="en-US"/>
          <w14:ligatures w14:val="standardContextual"/>
        </w:rPr>
        <w:t xml:space="preserve">us that they </w:t>
      </w:r>
      <w:r w:rsidR="00F2774C">
        <w:rPr>
          <w:rFonts w:ascii="Calibri" w:eastAsia="Calibri" w:hAnsi="Calibri" w:cs="Times New Roman"/>
          <w:kern w:val="2"/>
          <w:lang w:val="en-US" w:eastAsia="en-US"/>
          <w14:ligatures w14:val="standardContextual"/>
        </w:rPr>
        <w:t>fr</w:t>
      </w:r>
      <w:r w:rsidR="007E34FA">
        <w:rPr>
          <w:rFonts w:ascii="Calibri" w:eastAsia="Calibri" w:hAnsi="Calibri" w:cs="Times New Roman"/>
          <w:kern w:val="2"/>
          <w:lang w:val="en-US" w:eastAsia="en-US"/>
          <w14:ligatures w14:val="standardContextual"/>
        </w:rPr>
        <w:t>equently</w:t>
      </w:r>
      <w:r w:rsidR="00F2774C">
        <w:rPr>
          <w:rFonts w:ascii="Calibri" w:eastAsia="Calibri" w:hAnsi="Calibri" w:cs="Times New Roman"/>
          <w:kern w:val="2"/>
          <w:lang w:val="en-US" w:eastAsia="en-US"/>
          <w14:ligatures w14:val="standardContextual"/>
        </w:rPr>
        <w:t xml:space="preserve"> rais</w:t>
      </w:r>
      <w:r w:rsidR="007E34FA">
        <w:rPr>
          <w:rFonts w:ascii="Calibri" w:eastAsia="Calibri" w:hAnsi="Calibri" w:cs="Times New Roman"/>
          <w:kern w:val="2"/>
          <w:lang w:val="en-US" w:eastAsia="en-US"/>
          <w14:ligatures w14:val="standardContextual"/>
        </w:rPr>
        <w:t>ed</w:t>
      </w:r>
      <w:r w:rsidR="00F2774C">
        <w:rPr>
          <w:rFonts w:ascii="Calibri" w:eastAsia="Calibri" w:hAnsi="Calibri" w:cs="Times New Roman"/>
          <w:kern w:val="2"/>
          <w:lang w:val="en-US" w:eastAsia="en-US"/>
          <w14:ligatures w14:val="standardContextual"/>
        </w:rPr>
        <w:t xml:space="preserve"> provisions of the TCP Code and these provisions being </w:t>
      </w:r>
      <w:r w:rsidR="004777D6">
        <w:rPr>
          <w:rFonts w:ascii="Calibri" w:eastAsia="Calibri" w:hAnsi="Calibri" w:cs="Times New Roman"/>
          <w:kern w:val="2"/>
          <w:lang w:val="en-US" w:eastAsia="en-US"/>
          <w14:ligatures w14:val="standardContextual"/>
        </w:rPr>
        <w:t xml:space="preserve">frequently </w:t>
      </w:r>
      <w:r w:rsidR="00F2774C">
        <w:rPr>
          <w:rFonts w:ascii="Calibri" w:eastAsia="Calibri" w:hAnsi="Calibri" w:cs="Times New Roman"/>
          <w:kern w:val="2"/>
          <w:lang w:val="en-US" w:eastAsia="en-US"/>
          <w14:ligatures w14:val="standardContextual"/>
        </w:rPr>
        <w:t xml:space="preserve">read down or </w:t>
      </w:r>
      <w:r w:rsidR="004777D6">
        <w:rPr>
          <w:rFonts w:ascii="Calibri" w:eastAsia="Calibri" w:hAnsi="Calibri" w:cs="Times New Roman"/>
          <w:kern w:val="2"/>
          <w:lang w:val="en-US" w:eastAsia="en-US"/>
          <w14:ligatures w14:val="standardContextual"/>
        </w:rPr>
        <w:t>ignored</w:t>
      </w:r>
      <w:r w:rsidR="00036165">
        <w:rPr>
          <w:rFonts w:ascii="Calibri" w:eastAsia="Calibri" w:hAnsi="Calibri" w:cs="Times New Roman"/>
          <w:kern w:val="2"/>
          <w:lang w:val="en-US" w:eastAsia="en-US"/>
          <w14:ligatures w14:val="standardContextual"/>
        </w:rPr>
        <w:t xml:space="preserve"> by industry participants.</w:t>
      </w:r>
    </w:p>
    <w:p w14:paraId="0C6B1A43" w14:textId="0BD1550D" w:rsidR="001A579D" w:rsidRDefault="009E4A07" w:rsidP="00CB663A">
      <w:pPr>
        <w:spacing w:after="160" w:line="259" w:lineRule="auto"/>
        <w:rPr>
          <w:rFonts w:ascii="Calibri" w:eastAsia="Calibri" w:hAnsi="Calibri" w:cs="Times New Roman"/>
          <w:kern w:val="2"/>
          <w:lang w:val="en-US" w:eastAsia="en-US"/>
          <w14:ligatures w14:val="standardContextual"/>
        </w:rPr>
      </w:pPr>
      <w:r>
        <w:rPr>
          <w:rFonts w:ascii="Calibri" w:eastAsia="Calibri" w:hAnsi="Calibri" w:cs="Times New Roman"/>
          <w:kern w:val="2"/>
          <w:lang w:val="en-US" w:eastAsia="en-US"/>
          <w14:ligatures w14:val="standardContextual"/>
        </w:rPr>
        <w:t>We note that the</w:t>
      </w:r>
      <w:r w:rsidRPr="00193BED">
        <w:rPr>
          <w:rFonts w:ascii="Calibri" w:eastAsia="Calibri" w:hAnsi="Calibri" w:cs="Times New Roman"/>
          <w:kern w:val="2"/>
          <w:lang w:val="en-US" w:eastAsia="en-US"/>
          <w14:ligatures w14:val="standardContextual"/>
        </w:rPr>
        <w:t xml:space="preserve"> standing of the </w:t>
      </w:r>
      <w:r>
        <w:rPr>
          <w:rFonts w:ascii="Calibri" w:eastAsia="Calibri" w:hAnsi="Calibri" w:cs="Times New Roman"/>
          <w:kern w:val="2"/>
          <w:lang w:val="en-US" w:eastAsia="en-US"/>
          <w14:ligatures w14:val="standardContextual"/>
        </w:rPr>
        <w:t>TCP C</w:t>
      </w:r>
      <w:r w:rsidRPr="00193BED">
        <w:rPr>
          <w:rFonts w:ascii="Calibri" w:eastAsia="Calibri" w:hAnsi="Calibri" w:cs="Times New Roman"/>
          <w:kern w:val="2"/>
          <w:lang w:val="en-US" w:eastAsia="en-US"/>
          <w14:ligatures w14:val="standardContextual"/>
        </w:rPr>
        <w:t xml:space="preserve">ode amongst our members and stakeholders has deteriorated to the extent that </w:t>
      </w:r>
      <w:r>
        <w:rPr>
          <w:rFonts w:ascii="Calibri" w:eastAsia="Calibri" w:hAnsi="Calibri" w:cs="Times New Roman"/>
          <w:kern w:val="2"/>
          <w:lang w:val="en-US" w:eastAsia="en-US"/>
          <w14:ligatures w14:val="standardContextual"/>
        </w:rPr>
        <w:t>a senior representative</w:t>
      </w:r>
      <w:r w:rsidRPr="00193BED">
        <w:rPr>
          <w:rFonts w:ascii="Calibri" w:eastAsia="Calibri" w:hAnsi="Calibri" w:cs="Times New Roman"/>
          <w:kern w:val="2"/>
          <w:lang w:val="en-US" w:eastAsia="en-US"/>
          <w14:ligatures w14:val="standardContextual"/>
        </w:rPr>
        <w:t xml:space="preserve"> of a financial counselling </w:t>
      </w:r>
      <w:proofErr w:type="spellStart"/>
      <w:r w:rsidR="0061784D">
        <w:rPr>
          <w:rFonts w:ascii="Calibri" w:eastAsia="Calibri" w:hAnsi="Calibri" w:cs="Times New Roman"/>
          <w:kern w:val="2"/>
          <w:lang w:val="en-US" w:eastAsia="en-US"/>
          <w14:ligatures w14:val="standardContextual"/>
        </w:rPr>
        <w:t>organi</w:t>
      </w:r>
      <w:r w:rsidR="00B17A14">
        <w:rPr>
          <w:rFonts w:ascii="Calibri" w:eastAsia="Calibri" w:hAnsi="Calibri" w:cs="Times New Roman"/>
          <w:kern w:val="2"/>
          <w:lang w:val="en-US" w:eastAsia="en-US"/>
          <w14:ligatures w14:val="standardContextual"/>
        </w:rPr>
        <w:t>s</w:t>
      </w:r>
      <w:r w:rsidR="0061784D">
        <w:rPr>
          <w:rFonts w:ascii="Calibri" w:eastAsia="Calibri" w:hAnsi="Calibri" w:cs="Times New Roman"/>
          <w:kern w:val="2"/>
          <w:lang w:val="en-US" w:eastAsia="en-US"/>
          <w14:ligatures w14:val="standardContextual"/>
        </w:rPr>
        <w:t>ation</w:t>
      </w:r>
      <w:proofErr w:type="spellEnd"/>
      <w:r w:rsidR="0061784D">
        <w:rPr>
          <w:rFonts w:ascii="Calibri" w:eastAsia="Calibri" w:hAnsi="Calibri" w:cs="Times New Roman"/>
          <w:kern w:val="2"/>
          <w:lang w:val="en-US" w:eastAsia="en-US"/>
          <w14:ligatures w14:val="standardContextual"/>
        </w:rPr>
        <w:t xml:space="preserve"> </w:t>
      </w:r>
      <w:r w:rsidRPr="00193BED">
        <w:rPr>
          <w:rFonts w:ascii="Calibri" w:eastAsia="Calibri" w:hAnsi="Calibri" w:cs="Times New Roman"/>
          <w:kern w:val="2"/>
          <w:lang w:val="en-US" w:eastAsia="en-US"/>
          <w14:ligatures w14:val="standardContextual"/>
        </w:rPr>
        <w:t xml:space="preserve">noted that they no longer see value in ACCAN providing training on the TCP Code due to the limited value </w:t>
      </w:r>
      <w:r>
        <w:rPr>
          <w:rFonts w:ascii="Calibri" w:eastAsia="Calibri" w:hAnsi="Calibri" w:cs="Times New Roman"/>
          <w:kern w:val="2"/>
          <w:lang w:val="en-US" w:eastAsia="en-US"/>
          <w14:ligatures w14:val="standardContextual"/>
        </w:rPr>
        <w:t xml:space="preserve">this voluntary industry code has for </w:t>
      </w:r>
      <w:r w:rsidRPr="00193BED">
        <w:rPr>
          <w:rFonts w:ascii="Calibri" w:eastAsia="Calibri" w:hAnsi="Calibri" w:cs="Times New Roman"/>
          <w:kern w:val="2"/>
          <w:lang w:val="en-US" w:eastAsia="en-US"/>
          <w14:ligatures w14:val="standardContextual"/>
        </w:rPr>
        <w:t xml:space="preserve">financial counsellors. </w:t>
      </w:r>
    </w:p>
    <w:p w14:paraId="650497AB" w14:textId="51D9807B" w:rsidR="006E0A3D" w:rsidRPr="001A579D" w:rsidRDefault="004777D6" w:rsidP="00CB663A">
      <w:pPr>
        <w:spacing w:after="160" w:line="259" w:lineRule="auto"/>
        <w:rPr>
          <w:rFonts w:ascii="Calibri" w:eastAsia="Calibri" w:hAnsi="Calibri" w:cs="Times New Roman"/>
          <w:kern w:val="2"/>
          <w:lang w:val="en-US" w:eastAsia="en-US"/>
          <w14:ligatures w14:val="standardContextual"/>
        </w:rPr>
      </w:pPr>
      <w:r>
        <w:rPr>
          <w:rFonts w:ascii="Calibri" w:eastAsia="Calibri" w:hAnsi="Calibri" w:cs="Times New Roman"/>
          <w:kern w:val="2"/>
          <w:lang w:val="en-US" w:eastAsia="en-US"/>
          <w14:ligatures w14:val="standardContextual"/>
        </w:rPr>
        <w:t xml:space="preserve">When pressed, </w:t>
      </w:r>
      <w:r w:rsidR="00DB00FE">
        <w:rPr>
          <w:rFonts w:ascii="Calibri" w:eastAsia="Calibri" w:hAnsi="Calibri" w:cs="Times New Roman"/>
          <w:kern w:val="2"/>
          <w:lang w:val="en-US" w:eastAsia="en-US"/>
          <w14:ligatures w14:val="standardContextual"/>
        </w:rPr>
        <w:t xml:space="preserve">ACCAN </w:t>
      </w:r>
      <w:r>
        <w:rPr>
          <w:rFonts w:ascii="Calibri" w:eastAsia="Calibri" w:hAnsi="Calibri" w:cs="Times New Roman"/>
          <w:kern w:val="2"/>
          <w:lang w:val="en-US" w:eastAsia="en-US"/>
          <w14:ligatures w14:val="standardContextual"/>
        </w:rPr>
        <w:t xml:space="preserve">stakeholders </w:t>
      </w:r>
      <w:r w:rsidR="00DB00FE">
        <w:rPr>
          <w:rFonts w:ascii="Calibri" w:eastAsia="Calibri" w:hAnsi="Calibri" w:cs="Times New Roman"/>
          <w:kern w:val="2"/>
          <w:lang w:val="en-US" w:eastAsia="en-US"/>
          <w14:ligatures w14:val="standardContextual"/>
        </w:rPr>
        <w:t xml:space="preserve">and members </w:t>
      </w:r>
      <w:r>
        <w:rPr>
          <w:rFonts w:ascii="Calibri" w:eastAsia="Calibri" w:hAnsi="Calibri" w:cs="Times New Roman"/>
          <w:kern w:val="2"/>
          <w:lang w:val="en-US" w:eastAsia="en-US"/>
          <w14:ligatures w14:val="standardContextual"/>
        </w:rPr>
        <w:t>indicated improvements in complaint handling</w:t>
      </w:r>
      <w:r w:rsidR="003A1DD5">
        <w:rPr>
          <w:rFonts w:ascii="Calibri" w:eastAsia="Calibri" w:hAnsi="Calibri" w:cs="Times New Roman"/>
          <w:kern w:val="2"/>
          <w:lang w:val="en-US" w:eastAsia="en-US"/>
          <w14:ligatures w14:val="standardContextual"/>
        </w:rPr>
        <w:t xml:space="preserve">, a section of the TCP Code that ACCAN notes is now covered by </w:t>
      </w:r>
      <w:r w:rsidR="003941DA">
        <w:rPr>
          <w:rFonts w:ascii="Calibri" w:eastAsia="Calibri" w:hAnsi="Calibri" w:cs="Times New Roman"/>
          <w:kern w:val="2"/>
          <w:lang w:val="en-US" w:eastAsia="en-US"/>
          <w14:ligatures w14:val="standardContextual"/>
        </w:rPr>
        <w:t>direct regulation in the form of a standard</w:t>
      </w:r>
      <w:r w:rsidR="003A1DD5">
        <w:rPr>
          <w:rFonts w:ascii="Calibri" w:eastAsia="Calibri" w:hAnsi="Calibri" w:cs="Times New Roman"/>
          <w:kern w:val="2"/>
          <w:lang w:val="en-US" w:eastAsia="en-US"/>
          <w14:ligatures w14:val="standardContextual"/>
        </w:rPr>
        <w:t>.</w:t>
      </w:r>
      <w:r w:rsidR="00691D55">
        <w:rPr>
          <w:rStyle w:val="FootnoteReference"/>
          <w:rFonts w:ascii="Calibri" w:eastAsia="Calibri" w:hAnsi="Calibri" w:cs="Times New Roman"/>
          <w:kern w:val="2"/>
          <w:lang w:val="en-US" w:eastAsia="en-US"/>
          <w14:ligatures w14:val="standardContextual"/>
        </w:rPr>
        <w:footnoteReference w:id="3"/>
      </w:r>
    </w:p>
    <w:p w14:paraId="4B106E0D" w14:textId="2E70D8A6" w:rsidR="008D6772" w:rsidRDefault="008D6772" w:rsidP="008D6772">
      <w:pPr>
        <w:pStyle w:val="Heading1"/>
        <w:rPr>
          <w:lang w:val="en-US" w:eastAsia="en-US"/>
        </w:rPr>
      </w:pPr>
      <w:r w:rsidRPr="003573DB">
        <w:rPr>
          <w:lang w:val="en-US" w:eastAsia="en-US"/>
        </w:rPr>
        <w:t xml:space="preserve">Response to question </w:t>
      </w:r>
      <w:r>
        <w:rPr>
          <w:lang w:val="en-US" w:eastAsia="en-US"/>
        </w:rPr>
        <w:t>3</w:t>
      </w:r>
    </w:p>
    <w:p w14:paraId="7ED95998" w14:textId="304C2A32" w:rsidR="008D6772" w:rsidRPr="00D11C2A" w:rsidRDefault="006C08C2" w:rsidP="008D6772">
      <w:pPr>
        <w:rPr>
          <w:b/>
          <w:bCs/>
          <w:lang w:val="en-US" w:eastAsia="en-US"/>
        </w:rPr>
      </w:pPr>
      <w:r w:rsidRPr="00D11C2A">
        <w:rPr>
          <w:b/>
          <w:bCs/>
          <w:lang w:val="en-US" w:eastAsia="en-US"/>
        </w:rPr>
        <w:t>Question 3: What areas of the TCP Code do you think are working less well, and why? Please provide as much detail as possible to help us understand the problem (and, therefore, possible solutions).</w:t>
      </w:r>
    </w:p>
    <w:p w14:paraId="07B09E6F" w14:textId="2FC51A96" w:rsidR="00987515" w:rsidRDefault="00987515" w:rsidP="00987515">
      <w:pPr>
        <w:spacing w:after="160" w:line="259" w:lineRule="auto"/>
        <w:rPr>
          <w:rFonts w:ascii="Calibri" w:eastAsia="Calibri" w:hAnsi="Calibri" w:cs="Times New Roman"/>
          <w:kern w:val="2"/>
          <w:lang w:val="en-US" w:eastAsia="en-US"/>
          <w14:ligatures w14:val="standardContextual"/>
        </w:rPr>
      </w:pPr>
      <w:r w:rsidRPr="00987515">
        <w:rPr>
          <w:rFonts w:ascii="Calibri" w:eastAsia="Calibri" w:hAnsi="Calibri" w:cs="Times New Roman"/>
          <w:kern w:val="2"/>
          <w:lang w:val="en-US" w:eastAsia="en-US"/>
          <w14:ligatures w14:val="standardContextual"/>
        </w:rPr>
        <w:t xml:space="preserve">ACCAN is a member-based </w:t>
      </w:r>
      <w:proofErr w:type="spellStart"/>
      <w:r w:rsidRPr="00987515">
        <w:rPr>
          <w:rFonts w:ascii="Calibri" w:eastAsia="Calibri" w:hAnsi="Calibri" w:cs="Times New Roman"/>
          <w:kern w:val="2"/>
          <w:lang w:val="en-US" w:eastAsia="en-US"/>
          <w14:ligatures w14:val="standardContextual"/>
        </w:rPr>
        <w:t>organi</w:t>
      </w:r>
      <w:r w:rsidR="00FF3DDF">
        <w:rPr>
          <w:rFonts w:ascii="Calibri" w:eastAsia="Calibri" w:hAnsi="Calibri" w:cs="Times New Roman"/>
          <w:kern w:val="2"/>
          <w:lang w:val="en-US" w:eastAsia="en-US"/>
          <w14:ligatures w14:val="standardContextual"/>
        </w:rPr>
        <w:t>s</w:t>
      </w:r>
      <w:r w:rsidRPr="00987515">
        <w:rPr>
          <w:rFonts w:ascii="Calibri" w:eastAsia="Calibri" w:hAnsi="Calibri" w:cs="Times New Roman"/>
          <w:kern w:val="2"/>
          <w:lang w:val="en-US" w:eastAsia="en-US"/>
          <w14:ligatures w14:val="standardContextual"/>
        </w:rPr>
        <w:t>ation</w:t>
      </w:r>
      <w:proofErr w:type="spellEnd"/>
      <w:r w:rsidR="00C22510">
        <w:rPr>
          <w:rFonts w:ascii="Calibri" w:eastAsia="Calibri" w:hAnsi="Calibri" w:cs="Times New Roman"/>
          <w:kern w:val="2"/>
          <w:lang w:val="en-US" w:eastAsia="en-US"/>
          <w14:ligatures w14:val="standardContextual"/>
        </w:rPr>
        <w:t xml:space="preserve"> </w:t>
      </w:r>
      <w:r w:rsidRPr="00987515">
        <w:rPr>
          <w:rFonts w:ascii="Calibri" w:eastAsia="Calibri" w:hAnsi="Calibri" w:cs="Times New Roman"/>
          <w:kern w:val="2"/>
          <w:lang w:val="en-US" w:eastAsia="en-US"/>
          <w14:ligatures w14:val="standardContextual"/>
        </w:rPr>
        <w:t xml:space="preserve">and has received a significant amount of feedback related to the shortcomings of the TCP </w:t>
      </w:r>
      <w:r w:rsidR="00FF3DDF">
        <w:rPr>
          <w:rFonts w:ascii="Calibri" w:eastAsia="Calibri" w:hAnsi="Calibri" w:cs="Times New Roman"/>
          <w:kern w:val="2"/>
          <w:lang w:val="en-US" w:eastAsia="en-US"/>
          <w14:ligatures w14:val="standardContextual"/>
        </w:rPr>
        <w:t>C</w:t>
      </w:r>
      <w:r w:rsidRPr="00987515">
        <w:rPr>
          <w:rFonts w:ascii="Calibri" w:eastAsia="Calibri" w:hAnsi="Calibri" w:cs="Times New Roman"/>
          <w:kern w:val="2"/>
          <w:lang w:val="en-US" w:eastAsia="en-US"/>
          <w14:ligatures w14:val="standardContextual"/>
        </w:rPr>
        <w:t xml:space="preserve">ode. This feedback has come from ACCAN’s membership base of peak bodies, consumer representative groups, financial counsellors, </w:t>
      </w:r>
      <w:r w:rsidR="00E417D1">
        <w:rPr>
          <w:rFonts w:ascii="Calibri" w:eastAsia="Calibri" w:hAnsi="Calibri" w:cs="Times New Roman"/>
          <w:kern w:val="2"/>
          <w:lang w:val="en-US" w:eastAsia="en-US"/>
          <w14:ligatures w14:val="standardContextual"/>
        </w:rPr>
        <w:t xml:space="preserve">community legal </w:t>
      </w:r>
      <w:r w:rsidR="009B57A7">
        <w:rPr>
          <w:rFonts w:ascii="Calibri" w:eastAsia="Calibri" w:hAnsi="Calibri" w:cs="Times New Roman"/>
          <w:kern w:val="2"/>
          <w:lang w:val="en-US" w:eastAsia="en-US"/>
          <w14:ligatures w14:val="standardContextual"/>
        </w:rPr>
        <w:t>centers</w:t>
      </w:r>
      <w:r w:rsidR="00A34DB5">
        <w:rPr>
          <w:rFonts w:ascii="Calibri" w:eastAsia="Calibri" w:hAnsi="Calibri" w:cs="Times New Roman"/>
          <w:kern w:val="2"/>
          <w:lang w:val="en-US" w:eastAsia="en-US"/>
          <w14:ligatures w14:val="standardContextual"/>
        </w:rPr>
        <w:t>,</w:t>
      </w:r>
      <w:r w:rsidR="00E417D1">
        <w:rPr>
          <w:rFonts w:ascii="Calibri" w:eastAsia="Calibri" w:hAnsi="Calibri" w:cs="Times New Roman"/>
          <w:kern w:val="2"/>
          <w:lang w:val="en-US" w:eastAsia="en-US"/>
          <w14:ligatures w14:val="standardContextual"/>
        </w:rPr>
        <w:t xml:space="preserve"> </w:t>
      </w:r>
      <w:r w:rsidRPr="00987515">
        <w:rPr>
          <w:rFonts w:ascii="Calibri" w:eastAsia="Calibri" w:hAnsi="Calibri" w:cs="Times New Roman"/>
          <w:kern w:val="2"/>
          <w:lang w:val="en-US" w:eastAsia="en-US"/>
          <w14:ligatures w14:val="standardContextual"/>
        </w:rPr>
        <w:t xml:space="preserve">and consumers. </w:t>
      </w:r>
    </w:p>
    <w:p w14:paraId="16A51129" w14:textId="3EA49343" w:rsidR="00BB2C34" w:rsidRDefault="00BB2C34" w:rsidP="00987515">
      <w:pPr>
        <w:spacing w:after="160" w:line="259" w:lineRule="auto"/>
        <w:rPr>
          <w:rFonts w:ascii="Calibri" w:eastAsia="Calibri" w:hAnsi="Calibri" w:cs="Times New Roman"/>
          <w:kern w:val="2"/>
          <w:lang w:val="en-US" w:eastAsia="en-US"/>
          <w14:ligatures w14:val="standardContextual"/>
        </w:rPr>
      </w:pPr>
      <w:r>
        <w:rPr>
          <w:rFonts w:ascii="Calibri" w:eastAsia="Calibri" w:hAnsi="Calibri" w:cs="Times New Roman"/>
          <w:kern w:val="2"/>
          <w:lang w:val="en-US" w:eastAsia="en-US"/>
          <w14:ligatures w14:val="standardContextual"/>
        </w:rPr>
        <w:t xml:space="preserve">We note that much of this feedback has been provided to </w:t>
      </w:r>
      <w:r w:rsidRPr="00B33E5F">
        <w:rPr>
          <w:rFonts w:ascii="Calibri" w:eastAsia="Calibri" w:hAnsi="Calibri" w:cs="Times New Roman"/>
          <w:kern w:val="2"/>
          <w:lang w:eastAsia="en-US"/>
          <w14:ligatures w14:val="standardContextual"/>
        </w:rPr>
        <w:t>Communications</w:t>
      </w:r>
      <w:r>
        <w:rPr>
          <w:rFonts w:ascii="Calibri" w:eastAsia="Calibri" w:hAnsi="Calibri" w:cs="Times New Roman"/>
          <w:kern w:val="2"/>
          <w:lang w:val="en-US" w:eastAsia="en-US"/>
          <w14:ligatures w14:val="standardContextual"/>
        </w:rPr>
        <w:t xml:space="preserve"> Alliance as part of previous TCP Code </w:t>
      </w:r>
      <w:r w:rsidR="00BA4F25">
        <w:rPr>
          <w:rFonts w:ascii="Calibri" w:eastAsia="Calibri" w:hAnsi="Calibri" w:cs="Times New Roman"/>
          <w:kern w:val="2"/>
          <w:lang w:val="en-US" w:eastAsia="en-US"/>
          <w14:ligatures w14:val="standardContextual"/>
        </w:rPr>
        <w:t>reviews.</w:t>
      </w:r>
      <w:r w:rsidR="00A16450">
        <w:rPr>
          <w:rFonts w:ascii="Calibri" w:eastAsia="Calibri" w:hAnsi="Calibri" w:cs="Times New Roman"/>
          <w:kern w:val="2"/>
          <w:lang w:val="en-US" w:eastAsia="en-US"/>
          <w14:ligatures w14:val="standardContextual"/>
        </w:rPr>
        <w:t xml:space="preserve"> Accordingly,</w:t>
      </w:r>
      <w:r w:rsidR="00BA4F25">
        <w:rPr>
          <w:rFonts w:ascii="Calibri" w:eastAsia="Calibri" w:hAnsi="Calibri" w:cs="Times New Roman"/>
          <w:kern w:val="2"/>
          <w:lang w:val="en-US" w:eastAsia="en-US"/>
          <w14:ligatures w14:val="standardContextual"/>
        </w:rPr>
        <w:t xml:space="preserve"> </w:t>
      </w:r>
      <w:r w:rsidR="00A16450">
        <w:rPr>
          <w:rFonts w:ascii="Calibri" w:eastAsia="Calibri" w:hAnsi="Calibri" w:cs="Times New Roman"/>
          <w:kern w:val="2"/>
          <w:lang w:val="en-US" w:eastAsia="en-US"/>
          <w14:ligatures w14:val="standardContextual"/>
        </w:rPr>
        <w:t>n</w:t>
      </w:r>
      <w:r w:rsidR="00BA4F25">
        <w:rPr>
          <w:rFonts w:ascii="Calibri" w:eastAsia="Calibri" w:hAnsi="Calibri" w:cs="Times New Roman"/>
          <w:kern w:val="2"/>
          <w:lang w:val="en-US" w:eastAsia="en-US"/>
          <w14:ligatures w14:val="standardContextual"/>
        </w:rPr>
        <w:t>oting the resource limitations faced by community organisations, many of whom have a focus on delivering services for the most vulnerable people in Australia, we encourage Communications Alliance to review historical comments on the TCP Code.</w:t>
      </w:r>
      <w:r w:rsidR="00CA5B2A">
        <w:rPr>
          <w:rStyle w:val="FootnoteReference"/>
          <w:rFonts w:ascii="Calibri" w:eastAsia="Calibri" w:hAnsi="Calibri" w:cs="Times New Roman"/>
          <w:kern w:val="2"/>
          <w:lang w:val="en-US" w:eastAsia="en-US"/>
          <w14:ligatures w14:val="standardContextual"/>
        </w:rPr>
        <w:footnoteReference w:id="4"/>
      </w:r>
    </w:p>
    <w:p w14:paraId="19267A89" w14:textId="59C6D02D" w:rsidR="006E0A3D" w:rsidRDefault="00E417D1" w:rsidP="00987515">
      <w:pPr>
        <w:spacing w:after="160" w:line="259" w:lineRule="auto"/>
        <w:rPr>
          <w:rFonts w:ascii="Calibri" w:eastAsia="Calibri" w:hAnsi="Calibri" w:cs="Times New Roman"/>
          <w:kern w:val="2"/>
          <w:lang w:val="en-US" w:eastAsia="en-US"/>
          <w14:ligatures w14:val="standardContextual"/>
        </w:rPr>
      </w:pPr>
      <w:r>
        <w:rPr>
          <w:rFonts w:ascii="Calibri" w:eastAsia="Calibri" w:hAnsi="Calibri" w:cs="Times New Roman"/>
          <w:kern w:val="2"/>
          <w:lang w:val="en-US" w:eastAsia="en-US"/>
          <w14:ligatures w14:val="standardContextual"/>
        </w:rPr>
        <w:t>Feedback received from stakeholders indicate material concerns with respect to</w:t>
      </w:r>
      <w:r w:rsidR="00B818D4">
        <w:rPr>
          <w:rFonts w:ascii="Calibri" w:eastAsia="Calibri" w:hAnsi="Calibri" w:cs="Times New Roman"/>
          <w:kern w:val="2"/>
          <w:lang w:val="en-US" w:eastAsia="en-US"/>
          <w14:ligatures w14:val="standardContextual"/>
        </w:rPr>
        <w:t xml:space="preserve"> the effectiveness of TCP Code provisions relating to:</w:t>
      </w:r>
    </w:p>
    <w:p w14:paraId="527FD02F" w14:textId="74C30516" w:rsidR="00B818D4" w:rsidRDefault="00B818D4" w:rsidP="005F7DFB">
      <w:pPr>
        <w:pStyle w:val="Bulletlist1"/>
        <w:rPr>
          <w:rFonts w:eastAsia="Calibri" w:cs="Times New Roman"/>
          <w:kern w:val="2"/>
          <w:lang w:val="en-US" w:eastAsia="en-US"/>
          <w14:ligatures w14:val="standardContextual"/>
        </w:rPr>
      </w:pPr>
      <w:r>
        <w:rPr>
          <w:lang w:val="en-US" w:eastAsia="en-US"/>
        </w:rPr>
        <w:t>Financial Hardship</w:t>
      </w:r>
      <w:r w:rsidR="009B57A7">
        <w:rPr>
          <w:rFonts w:eastAsia="Calibri" w:cs="Times New Roman"/>
          <w:kern w:val="2"/>
          <w:lang w:val="en-US" w:eastAsia="en-US"/>
          <w14:ligatures w14:val="standardContextual"/>
        </w:rPr>
        <w:t>.</w:t>
      </w:r>
    </w:p>
    <w:p w14:paraId="36F73885" w14:textId="19A67AE6" w:rsidR="00B818D4" w:rsidRDefault="00B818D4" w:rsidP="005F7DFB">
      <w:pPr>
        <w:pStyle w:val="Bulletlist1"/>
        <w:rPr>
          <w:rFonts w:eastAsia="Calibri" w:cs="Times New Roman"/>
          <w:kern w:val="2"/>
          <w:lang w:val="en-US" w:eastAsia="en-US"/>
          <w14:ligatures w14:val="standardContextual"/>
        </w:rPr>
      </w:pPr>
      <w:r>
        <w:rPr>
          <w:lang w:val="en-US" w:eastAsia="en-US"/>
        </w:rPr>
        <w:t>Credit Assessment</w:t>
      </w:r>
      <w:r w:rsidR="009B57A7">
        <w:rPr>
          <w:rFonts w:eastAsia="Calibri" w:cs="Times New Roman"/>
          <w:kern w:val="2"/>
          <w:lang w:val="en-US" w:eastAsia="en-US"/>
          <w14:ligatures w14:val="standardContextual"/>
        </w:rPr>
        <w:t>.</w:t>
      </w:r>
    </w:p>
    <w:p w14:paraId="4966997D" w14:textId="40EA2CB5" w:rsidR="00B818D4" w:rsidRDefault="00B818D4" w:rsidP="005F7DFB">
      <w:pPr>
        <w:pStyle w:val="Bulletlist1"/>
        <w:rPr>
          <w:rFonts w:eastAsia="Calibri" w:cs="Times New Roman"/>
          <w:kern w:val="2"/>
          <w:lang w:val="en-US" w:eastAsia="en-US"/>
          <w14:ligatures w14:val="standardContextual"/>
        </w:rPr>
      </w:pPr>
      <w:r>
        <w:rPr>
          <w:lang w:val="en-US" w:eastAsia="en-US"/>
        </w:rPr>
        <w:t>Payment Options</w:t>
      </w:r>
      <w:r w:rsidR="009B57A7">
        <w:rPr>
          <w:rFonts w:eastAsia="Calibri" w:cs="Times New Roman"/>
          <w:kern w:val="2"/>
          <w:lang w:val="en-US" w:eastAsia="en-US"/>
          <w14:ligatures w14:val="standardContextual"/>
        </w:rPr>
        <w:t>.</w:t>
      </w:r>
    </w:p>
    <w:p w14:paraId="03AEA623" w14:textId="6F0D513F" w:rsidR="00B818D4" w:rsidRPr="00A26962" w:rsidRDefault="00B818D4" w:rsidP="005F7DFB">
      <w:pPr>
        <w:pStyle w:val="Bulletlist1"/>
        <w:rPr>
          <w:rFonts w:eastAsia="Calibri" w:cs="Times New Roman"/>
          <w:kern w:val="2"/>
          <w:lang w:val="en-US" w:eastAsia="en-US"/>
          <w14:ligatures w14:val="standardContextual"/>
        </w:rPr>
      </w:pPr>
      <w:r>
        <w:rPr>
          <w:lang w:val="en-US" w:eastAsia="en-US"/>
        </w:rPr>
        <w:t xml:space="preserve">Sales </w:t>
      </w:r>
      <w:r>
        <w:rPr>
          <w:rFonts w:eastAsia="Calibri" w:cs="Times New Roman"/>
          <w:kern w:val="2"/>
          <w:lang w:val="en-US" w:eastAsia="en-US"/>
          <w14:ligatures w14:val="standardContextual"/>
        </w:rPr>
        <w:t>incentives and Mis-Selling</w:t>
      </w:r>
      <w:r w:rsidR="009B57A7">
        <w:rPr>
          <w:rFonts w:eastAsia="Calibri" w:cs="Times New Roman"/>
          <w:kern w:val="2"/>
          <w:lang w:val="en-US" w:eastAsia="en-US"/>
          <w14:ligatures w14:val="standardContextual"/>
        </w:rPr>
        <w:t>.</w:t>
      </w:r>
    </w:p>
    <w:p w14:paraId="6827C072" w14:textId="0C28D97B" w:rsidR="00E758DE" w:rsidRDefault="00A906EA" w:rsidP="00987515">
      <w:pPr>
        <w:spacing w:after="160" w:line="259" w:lineRule="auto"/>
        <w:rPr>
          <w:rFonts w:ascii="Calibri" w:eastAsia="Calibri" w:hAnsi="Calibri" w:cs="Times New Roman"/>
          <w:kern w:val="2"/>
          <w:lang w:val="en-US" w:eastAsia="en-US"/>
          <w14:ligatures w14:val="standardContextual"/>
        </w:rPr>
      </w:pPr>
      <w:r>
        <w:rPr>
          <w:rFonts w:ascii="Calibri" w:eastAsia="Calibri" w:hAnsi="Calibri" w:cs="Times New Roman"/>
          <w:kern w:val="2"/>
          <w:lang w:val="en-US" w:eastAsia="en-US"/>
          <w14:ligatures w14:val="standardContextual"/>
        </w:rPr>
        <w:t xml:space="preserve">While we note that DFV protections have been raised </w:t>
      </w:r>
      <w:r w:rsidR="00A61D2D">
        <w:rPr>
          <w:rFonts w:ascii="Calibri" w:eastAsia="Calibri" w:hAnsi="Calibri" w:cs="Times New Roman"/>
          <w:kern w:val="2"/>
          <w:lang w:val="en-US" w:eastAsia="en-US"/>
          <w14:ligatures w14:val="standardContextual"/>
        </w:rPr>
        <w:t xml:space="preserve">as </w:t>
      </w:r>
      <w:r>
        <w:rPr>
          <w:rFonts w:ascii="Calibri" w:eastAsia="Calibri" w:hAnsi="Calibri" w:cs="Times New Roman"/>
          <w:kern w:val="2"/>
          <w:lang w:val="en-US" w:eastAsia="en-US"/>
          <w14:ligatures w14:val="standardContextual"/>
        </w:rPr>
        <w:t xml:space="preserve">a potential expansion to the TCP Code, </w:t>
      </w:r>
      <w:r w:rsidR="00B00BEC">
        <w:rPr>
          <w:rFonts w:ascii="Calibri" w:eastAsia="Calibri" w:hAnsi="Calibri" w:cs="Times New Roman"/>
          <w:kern w:val="2"/>
          <w:lang w:val="en-US" w:eastAsia="en-US"/>
          <w14:ligatures w14:val="standardContextual"/>
        </w:rPr>
        <w:t>we do not believe a</w:t>
      </w:r>
      <w:r w:rsidR="00A26A50" w:rsidRPr="0018766D">
        <w:rPr>
          <w:rFonts w:ascii="Calibri" w:eastAsia="Calibri" w:hAnsi="Calibri" w:cs="Times New Roman"/>
          <w:kern w:val="2"/>
          <w:lang w:val="en-US" w:eastAsia="en-US"/>
          <w14:ligatures w14:val="standardContextual"/>
        </w:rPr>
        <w:t xml:space="preserve"> voluntary industry code is </w:t>
      </w:r>
      <w:r w:rsidR="00A612E2">
        <w:rPr>
          <w:rFonts w:ascii="Calibri" w:eastAsia="Calibri" w:hAnsi="Calibri" w:cs="Times New Roman"/>
          <w:kern w:val="2"/>
          <w:lang w:val="en-US" w:eastAsia="en-US"/>
          <w14:ligatures w14:val="standardContextual"/>
        </w:rPr>
        <w:t>the appropriate instrument to ensure</w:t>
      </w:r>
      <w:r w:rsidR="00A26A50" w:rsidRPr="0018766D">
        <w:rPr>
          <w:rFonts w:ascii="Calibri" w:eastAsia="Calibri" w:hAnsi="Calibri" w:cs="Times New Roman"/>
          <w:kern w:val="2"/>
          <w:lang w:val="en-US" w:eastAsia="en-US"/>
          <w14:ligatures w14:val="standardContextual"/>
        </w:rPr>
        <w:t xml:space="preserve"> </w:t>
      </w:r>
      <w:r w:rsidR="00A612E2">
        <w:rPr>
          <w:rFonts w:ascii="Calibri" w:eastAsia="Calibri" w:hAnsi="Calibri" w:cs="Times New Roman"/>
          <w:kern w:val="2"/>
          <w:lang w:val="en-US" w:eastAsia="en-US"/>
          <w14:ligatures w14:val="standardContextual"/>
        </w:rPr>
        <w:t>the</w:t>
      </w:r>
      <w:r w:rsidR="00A26A50" w:rsidRPr="0018766D">
        <w:rPr>
          <w:rFonts w:ascii="Calibri" w:eastAsia="Calibri" w:hAnsi="Calibri" w:cs="Times New Roman"/>
          <w:kern w:val="2"/>
          <w:lang w:val="en-US" w:eastAsia="en-US"/>
          <w14:ligatures w14:val="standardContextual"/>
        </w:rPr>
        <w:t xml:space="preserve"> protect</w:t>
      </w:r>
      <w:r w:rsidR="00A612E2">
        <w:rPr>
          <w:rFonts w:ascii="Calibri" w:eastAsia="Calibri" w:hAnsi="Calibri" w:cs="Times New Roman"/>
          <w:kern w:val="2"/>
          <w:lang w:val="en-US" w:eastAsia="en-US"/>
          <w14:ligatures w14:val="standardContextual"/>
        </w:rPr>
        <w:t>ion of</w:t>
      </w:r>
      <w:r w:rsidR="00A26A50" w:rsidRPr="0018766D">
        <w:rPr>
          <w:rFonts w:ascii="Calibri" w:eastAsia="Calibri" w:hAnsi="Calibri" w:cs="Times New Roman"/>
          <w:kern w:val="2"/>
          <w:lang w:val="en-US" w:eastAsia="en-US"/>
          <w14:ligatures w14:val="standardContextual"/>
        </w:rPr>
        <w:t xml:space="preserve"> vulnerable consumers.</w:t>
      </w:r>
      <w:r w:rsidR="00E758DE">
        <w:rPr>
          <w:rFonts w:ascii="Calibri" w:eastAsia="Calibri" w:hAnsi="Calibri" w:cs="Times New Roman"/>
          <w:kern w:val="2"/>
          <w:lang w:val="en-US" w:eastAsia="en-US"/>
          <w14:ligatures w14:val="standardContextual"/>
        </w:rPr>
        <w:t xml:space="preserve"> D</w:t>
      </w:r>
      <w:r w:rsidR="00E758DE" w:rsidRPr="0018766D">
        <w:rPr>
          <w:rFonts w:ascii="Calibri" w:eastAsia="Calibri" w:hAnsi="Calibri" w:cs="Times New Roman"/>
          <w:kern w:val="2"/>
          <w:lang w:val="en-US" w:eastAsia="en-US"/>
          <w14:ligatures w14:val="standardContextual"/>
        </w:rPr>
        <w:t xml:space="preserve">ue to the public safety risk posed by </w:t>
      </w:r>
      <w:r w:rsidR="00E758DE">
        <w:rPr>
          <w:rFonts w:ascii="Calibri" w:eastAsia="Calibri" w:hAnsi="Calibri" w:cs="Times New Roman"/>
          <w:kern w:val="2"/>
          <w:lang w:val="en-US" w:eastAsia="en-US"/>
          <w14:ligatures w14:val="standardContextual"/>
        </w:rPr>
        <w:t xml:space="preserve">DFV </w:t>
      </w:r>
      <w:r w:rsidR="00E758DE" w:rsidRPr="0018766D">
        <w:rPr>
          <w:rFonts w:ascii="Calibri" w:eastAsia="Calibri" w:hAnsi="Calibri" w:cs="Times New Roman"/>
          <w:kern w:val="2"/>
          <w:lang w:val="en-US" w:eastAsia="en-US"/>
          <w14:ligatures w14:val="standardContextual"/>
        </w:rPr>
        <w:t>and how communications may facilitate DFV,</w:t>
      </w:r>
      <w:r w:rsidR="00E758DE">
        <w:rPr>
          <w:rFonts w:ascii="Calibri" w:eastAsia="Calibri" w:hAnsi="Calibri" w:cs="Times New Roman"/>
          <w:kern w:val="2"/>
          <w:lang w:val="en-US" w:eastAsia="en-US"/>
          <w14:ligatures w14:val="standardContextual"/>
        </w:rPr>
        <w:t xml:space="preserve"> we considered that a binding framework of direct regulation is the appropriate mechanism through which protections are advanced.</w:t>
      </w:r>
    </w:p>
    <w:p w14:paraId="5EDD1869" w14:textId="250305DA" w:rsidR="007F406A" w:rsidRDefault="00FE50F8" w:rsidP="00987515">
      <w:pPr>
        <w:spacing w:after="160" w:line="259" w:lineRule="auto"/>
        <w:rPr>
          <w:rFonts w:ascii="Calibri" w:eastAsia="Calibri" w:hAnsi="Calibri" w:cs="Times New Roman"/>
          <w:kern w:val="2"/>
          <w:lang w:val="en-US" w:eastAsia="en-US"/>
          <w14:ligatures w14:val="standardContextual"/>
        </w:rPr>
      </w:pPr>
      <w:r>
        <w:rPr>
          <w:rFonts w:ascii="Calibri" w:eastAsia="Calibri" w:hAnsi="Calibri" w:cs="Times New Roman"/>
          <w:kern w:val="2"/>
          <w:lang w:val="en-US" w:eastAsia="en-US"/>
          <w14:ligatures w14:val="standardContextual"/>
        </w:rPr>
        <w:t xml:space="preserve">ACCAN </w:t>
      </w:r>
      <w:r w:rsidR="00207E2E">
        <w:rPr>
          <w:rFonts w:ascii="Calibri" w:eastAsia="Calibri" w:hAnsi="Calibri" w:cs="Times New Roman"/>
          <w:kern w:val="2"/>
          <w:lang w:val="en-US" w:eastAsia="en-US"/>
          <w14:ligatures w14:val="standardContextual"/>
        </w:rPr>
        <w:t>welcome</w:t>
      </w:r>
      <w:r>
        <w:rPr>
          <w:rFonts w:ascii="Calibri" w:eastAsia="Calibri" w:hAnsi="Calibri" w:cs="Times New Roman"/>
          <w:kern w:val="2"/>
          <w:lang w:val="en-US" w:eastAsia="en-US"/>
          <w14:ligatures w14:val="standardContextual"/>
        </w:rPr>
        <w:t>s</w:t>
      </w:r>
      <w:r w:rsidR="00207E2E">
        <w:rPr>
          <w:rFonts w:ascii="Calibri" w:eastAsia="Calibri" w:hAnsi="Calibri" w:cs="Times New Roman"/>
          <w:kern w:val="2"/>
          <w:lang w:val="en-US" w:eastAsia="en-US"/>
          <w14:ligatures w14:val="standardContextual"/>
        </w:rPr>
        <w:t xml:space="preserve"> </w:t>
      </w:r>
      <w:r w:rsidR="00062788">
        <w:rPr>
          <w:rFonts w:ascii="Calibri" w:eastAsia="Calibri" w:hAnsi="Calibri" w:cs="Times New Roman"/>
          <w:kern w:val="2"/>
          <w:lang w:val="en-US" w:eastAsia="en-US"/>
          <w14:ligatures w14:val="standardContextual"/>
        </w:rPr>
        <w:t>recent</w:t>
      </w:r>
      <w:r w:rsidR="00207E2E">
        <w:rPr>
          <w:rFonts w:ascii="Calibri" w:eastAsia="Calibri" w:hAnsi="Calibri" w:cs="Times New Roman"/>
          <w:kern w:val="2"/>
          <w:lang w:val="en-US" w:eastAsia="en-US"/>
          <w14:ligatures w14:val="standardContextual"/>
        </w:rPr>
        <w:t xml:space="preserve"> steps taken by industry to address </w:t>
      </w:r>
      <w:r>
        <w:rPr>
          <w:rFonts w:ascii="Calibri" w:eastAsia="Calibri" w:hAnsi="Calibri" w:cs="Times New Roman"/>
          <w:kern w:val="2"/>
          <w:lang w:val="en-US" w:eastAsia="en-US"/>
          <w14:ligatures w14:val="standardContextual"/>
        </w:rPr>
        <w:t xml:space="preserve">DFV issues </w:t>
      </w:r>
      <w:r w:rsidR="00207E2E">
        <w:rPr>
          <w:rFonts w:ascii="Calibri" w:eastAsia="Calibri" w:hAnsi="Calibri" w:cs="Times New Roman"/>
          <w:kern w:val="2"/>
          <w:lang w:val="en-US" w:eastAsia="en-US"/>
          <w14:ligatures w14:val="standardContextual"/>
        </w:rPr>
        <w:t xml:space="preserve">through </w:t>
      </w:r>
      <w:r w:rsidR="002A3F2B">
        <w:rPr>
          <w:rFonts w:ascii="Calibri" w:eastAsia="Calibri" w:hAnsi="Calibri" w:cs="Times New Roman"/>
          <w:kern w:val="2"/>
          <w:lang w:val="en-US" w:eastAsia="en-US"/>
          <w14:ligatures w14:val="standardContextual"/>
        </w:rPr>
        <w:t>the</w:t>
      </w:r>
      <w:r w:rsidR="00662D1D">
        <w:rPr>
          <w:rFonts w:ascii="Calibri" w:eastAsia="Calibri" w:hAnsi="Calibri" w:cs="Times New Roman"/>
          <w:kern w:val="2"/>
          <w:lang w:val="en-US" w:eastAsia="en-US"/>
          <w14:ligatures w14:val="standardContextual"/>
        </w:rPr>
        <w:t xml:space="preserve"> Assisting Consumers Affected by</w:t>
      </w:r>
      <w:r w:rsidR="002A3F2B">
        <w:rPr>
          <w:rFonts w:ascii="Calibri" w:eastAsia="Calibri" w:hAnsi="Calibri" w:cs="Times New Roman"/>
          <w:kern w:val="2"/>
          <w:lang w:val="en-US" w:eastAsia="en-US"/>
          <w14:ligatures w14:val="standardContextual"/>
        </w:rPr>
        <w:t xml:space="preserve"> Domestic </w:t>
      </w:r>
      <w:r w:rsidR="0022224B">
        <w:rPr>
          <w:rFonts w:ascii="Calibri" w:eastAsia="Calibri" w:hAnsi="Calibri" w:cs="Times New Roman"/>
          <w:kern w:val="2"/>
          <w:lang w:val="en-US" w:eastAsia="en-US"/>
          <w14:ligatures w14:val="standardContextual"/>
        </w:rPr>
        <w:t>and Family Violence</w:t>
      </w:r>
      <w:r w:rsidR="00207E2E">
        <w:rPr>
          <w:rFonts w:ascii="Calibri" w:eastAsia="Calibri" w:hAnsi="Calibri" w:cs="Times New Roman"/>
          <w:kern w:val="2"/>
          <w:lang w:val="en-US" w:eastAsia="en-US"/>
          <w14:ligatures w14:val="standardContextual"/>
        </w:rPr>
        <w:t xml:space="preserve"> </w:t>
      </w:r>
      <w:r w:rsidR="0022224B">
        <w:rPr>
          <w:rFonts w:ascii="Calibri" w:eastAsia="Calibri" w:hAnsi="Calibri" w:cs="Times New Roman"/>
          <w:kern w:val="2"/>
          <w:lang w:val="en-US" w:eastAsia="en-US"/>
          <w14:ligatures w14:val="standardContextual"/>
        </w:rPr>
        <w:t>G</w:t>
      </w:r>
      <w:r w:rsidR="00207E2E">
        <w:rPr>
          <w:rFonts w:ascii="Calibri" w:eastAsia="Calibri" w:hAnsi="Calibri" w:cs="Times New Roman"/>
          <w:kern w:val="2"/>
          <w:lang w:val="en-US" w:eastAsia="en-US"/>
          <w14:ligatures w14:val="standardContextual"/>
        </w:rPr>
        <w:t>uideline,</w:t>
      </w:r>
      <w:r w:rsidR="00E06D28">
        <w:rPr>
          <w:rStyle w:val="FootnoteReference"/>
          <w:rFonts w:ascii="Calibri" w:eastAsia="Calibri" w:hAnsi="Calibri" w:cs="Times New Roman"/>
          <w:kern w:val="2"/>
          <w:lang w:val="en-US" w:eastAsia="en-US"/>
          <w14:ligatures w14:val="standardContextual"/>
        </w:rPr>
        <w:footnoteReference w:id="5"/>
      </w:r>
      <w:r w:rsidR="00207E2E">
        <w:rPr>
          <w:rFonts w:ascii="Calibri" w:eastAsia="Calibri" w:hAnsi="Calibri" w:cs="Times New Roman"/>
          <w:kern w:val="2"/>
          <w:lang w:val="en-US" w:eastAsia="en-US"/>
          <w14:ligatures w14:val="standardContextual"/>
        </w:rPr>
        <w:t xml:space="preserve"> </w:t>
      </w:r>
      <w:r>
        <w:rPr>
          <w:rFonts w:ascii="Calibri" w:eastAsia="Calibri" w:hAnsi="Calibri" w:cs="Times New Roman"/>
          <w:kern w:val="2"/>
          <w:lang w:val="en-US" w:eastAsia="en-US"/>
          <w14:ligatures w14:val="standardContextual"/>
        </w:rPr>
        <w:t>but</w:t>
      </w:r>
      <w:r w:rsidR="00207E2E">
        <w:rPr>
          <w:rFonts w:ascii="Calibri" w:eastAsia="Calibri" w:hAnsi="Calibri" w:cs="Times New Roman"/>
          <w:kern w:val="2"/>
          <w:lang w:val="en-US" w:eastAsia="en-US"/>
          <w14:ligatures w14:val="standardContextual"/>
        </w:rPr>
        <w:t xml:space="preserve"> consider that </w:t>
      </w:r>
      <w:r>
        <w:rPr>
          <w:rFonts w:ascii="Calibri" w:eastAsia="Calibri" w:hAnsi="Calibri" w:cs="Times New Roman"/>
          <w:kern w:val="2"/>
          <w:lang w:val="en-US" w:eastAsia="en-US"/>
          <w14:ligatures w14:val="standardContextual"/>
        </w:rPr>
        <w:t xml:space="preserve">the </w:t>
      </w:r>
      <w:r w:rsidR="00207E2E">
        <w:rPr>
          <w:rFonts w:ascii="Calibri" w:eastAsia="Calibri" w:hAnsi="Calibri" w:cs="Times New Roman"/>
          <w:kern w:val="2"/>
          <w:lang w:val="en-US" w:eastAsia="en-US"/>
          <w14:ligatures w14:val="standardContextual"/>
        </w:rPr>
        <w:t>extensive case studies received by ACCAN indicates that direct regulation is required to address the endemic issues we are observing.</w:t>
      </w:r>
      <w:r w:rsidR="0022224B">
        <w:rPr>
          <w:rFonts w:ascii="Calibri" w:eastAsia="Calibri" w:hAnsi="Calibri" w:cs="Times New Roman"/>
          <w:kern w:val="2"/>
          <w:lang w:val="en-US" w:eastAsia="en-US"/>
          <w14:ligatures w14:val="standardContextual"/>
        </w:rPr>
        <w:t xml:space="preserve"> </w:t>
      </w:r>
    </w:p>
    <w:p w14:paraId="241AF32A" w14:textId="0DBD26E7" w:rsidR="00A26A50" w:rsidRDefault="00C5777F" w:rsidP="00987515">
      <w:pPr>
        <w:spacing w:after="160" w:line="259" w:lineRule="auto"/>
        <w:rPr>
          <w:rFonts w:ascii="Calibri" w:eastAsia="Calibri" w:hAnsi="Calibri" w:cs="Times New Roman"/>
          <w:b/>
          <w:bCs/>
          <w:kern w:val="2"/>
          <w:lang w:val="en-US" w:eastAsia="en-US"/>
          <w14:ligatures w14:val="standardContextual"/>
        </w:rPr>
      </w:pPr>
      <w:r w:rsidRPr="00C5777F">
        <w:rPr>
          <w:rFonts w:ascii="Calibri" w:eastAsia="Calibri" w:hAnsi="Calibri" w:cs="Times New Roman"/>
          <w:b/>
          <w:bCs/>
          <w:kern w:val="2"/>
          <w:lang w:val="en-US" w:eastAsia="en-US"/>
          <w14:ligatures w14:val="standardContextual"/>
        </w:rPr>
        <w:t xml:space="preserve">Financial Hardship </w:t>
      </w:r>
    </w:p>
    <w:p w14:paraId="0B94B6E9" w14:textId="606F14E9" w:rsidR="00857AC1" w:rsidRPr="001F160C" w:rsidRDefault="00C27AD3" w:rsidP="00987515">
      <w:pPr>
        <w:spacing w:after="160" w:line="259" w:lineRule="auto"/>
        <w:rPr>
          <w:rFonts w:ascii="Calibri" w:eastAsia="Calibri" w:hAnsi="Calibri" w:cs="Times New Roman"/>
          <w:kern w:val="2"/>
          <w:lang w:val="en-US" w:eastAsia="en-US"/>
          <w14:ligatures w14:val="standardContextual"/>
        </w:rPr>
      </w:pPr>
      <w:r w:rsidRPr="001F160C">
        <w:rPr>
          <w:rFonts w:ascii="Calibri" w:eastAsia="Calibri" w:hAnsi="Calibri" w:cs="Times New Roman"/>
          <w:kern w:val="2"/>
          <w:lang w:val="en-US" w:eastAsia="en-US"/>
          <w14:ligatures w14:val="standardContextual"/>
        </w:rPr>
        <w:t>Arrangements under the TCP Code are not reflective of best practice outcomes in financial hardship.</w:t>
      </w:r>
      <w:r w:rsidRPr="001F160C">
        <w:t xml:space="preserve"> </w:t>
      </w:r>
      <w:r w:rsidR="004B76B6" w:rsidRPr="000B0F57">
        <w:rPr>
          <w:rFonts w:ascii="Calibri" w:eastAsia="Calibri" w:hAnsi="Calibri" w:cs="Times New Roman"/>
          <w:kern w:val="2"/>
          <w:lang w:val="en-US" w:eastAsia="en-US"/>
          <w14:ligatures w14:val="standardContextual"/>
        </w:rPr>
        <w:t>Financial hardship arrangements in the TCP Code are inadequate for consumers experiencing vulnerability</w:t>
      </w:r>
      <w:r w:rsidR="0075361B">
        <w:rPr>
          <w:rFonts w:ascii="Calibri" w:eastAsia="Calibri" w:hAnsi="Calibri" w:cs="Times New Roman"/>
          <w:kern w:val="2"/>
          <w:lang w:val="en-US" w:eastAsia="en-US"/>
          <w14:ligatures w14:val="standardContextual"/>
        </w:rPr>
        <w:t>.</w:t>
      </w:r>
      <w:r w:rsidR="000A583C">
        <w:rPr>
          <w:rFonts w:ascii="Calibri" w:eastAsia="Calibri" w:hAnsi="Calibri" w:cs="Times New Roman"/>
          <w:kern w:val="2"/>
          <w:lang w:val="en-US" w:eastAsia="en-US"/>
          <w14:ligatures w14:val="standardContextual"/>
        </w:rPr>
        <w:t xml:space="preserve"> </w:t>
      </w:r>
      <w:r w:rsidRPr="001F160C">
        <w:rPr>
          <w:rFonts w:ascii="Calibri" w:eastAsia="Calibri" w:hAnsi="Calibri" w:cs="Times New Roman"/>
          <w:kern w:val="2"/>
          <w:lang w:val="en-US" w:eastAsia="en-US"/>
          <w14:ligatures w14:val="standardContextual"/>
        </w:rPr>
        <w:t xml:space="preserve">Current financial hardship provisions in the TCP Code: </w:t>
      </w:r>
    </w:p>
    <w:p w14:paraId="6BF7DA5D" w14:textId="77777777" w:rsidR="001F160C" w:rsidRPr="001F160C" w:rsidRDefault="001F160C" w:rsidP="001F160C">
      <w:pPr>
        <w:pStyle w:val="ListParagraph"/>
        <w:numPr>
          <w:ilvl w:val="0"/>
          <w:numId w:val="38"/>
        </w:numPr>
        <w:spacing w:after="160" w:line="259" w:lineRule="auto"/>
        <w:rPr>
          <w:rFonts w:ascii="Calibri" w:eastAsia="Calibri" w:hAnsi="Calibri" w:cs="Times New Roman"/>
          <w:kern w:val="2"/>
          <w:lang w:val="en-US" w:eastAsia="en-US"/>
          <w14:ligatures w14:val="standardContextual"/>
        </w:rPr>
      </w:pPr>
      <w:r w:rsidRPr="001F160C">
        <w:rPr>
          <w:rFonts w:ascii="Calibri" w:eastAsia="Calibri" w:hAnsi="Calibri" w:cs="Times New Roman"/>
          <w:kern w:val="2"/>
          <w:lang w:val="en-US" w:eastAsia="en-US"/>
          <w14:ligatures w14:val="standardContextual"/>
        </w:rPr>
        <w:t xml:space="preserve">Do not require telecommunications providers to proactively identify consumers they may believe are at risk of entering into financial hardship. </w:t>
      </w:r>
    </w:p>
    <w:p w14:paraId="42DF324B" w14:textId="72C0186A" w:rsidR="001F160C" w:rsidRPr="001F160C" w:rsidRDefault="001F160C" w:rsidP="001F160C">
      <w:pPr>
        <w:pStyle w:val="ListParagraph"/>
        <w:numPr>
          <w:ilvl w:val="0"/>
          <w:numId w:val="38"/>
        </w:numPr>
        <w:spacing w:after="160" w:line="259" w:lineRule="auto"/>
        <w:rPr>
          <w:rFonts w:ascii="Calibri" w:eastAsia="Calibri" w:hAnsi="Calibri" w:cs="Times New Roman"/>
          <w:kern w:val="2"/>
          <w:lang w:val="en-US" w:eastAsia="en-US"/>
          <w14:ligatures w14:val="standardContextual"/>
        </w:rPr>
      </w:pPr>
      <w:r w:rsidRPr="001F160C">
        <w:rPr>
          <w:rFonts w:ascii="Calibri" w:eastAsia="Calibri" w:hAnsi="Calibri" w:cs="Times New Roman"/>
          <w:kern w:val="2"/>
          <w:lang w:val="en-US" w:eastAsia="en-US"/>
          <w14:ligatures w14:val="standardContextual"/>
        </w:rPr>
        <w:t>Do not require that telecommunications providers offer consumers reasonable repayment options, only flexible repayment options.</w:t>
      </w:r>
      <w:r w:rsidR="00066B21">
        <w:rPr>
          <w:rStyle w:val="FootnoteReference"/>
          <w:rFonts w:ascii="Calibri" w:eastAsia="Calibri" w:hAnsi="Calibri" w:cs="Times New Roman"/>
          <w:kern w:val="2"/>
          <w:lang w:val="en-US" w:eastAsia="en-US"/>
          <w14:ligatures w14:val="standardContextual"/>
        </w:rPr>
        <w:footnoteReference w:id="6"/>
      </w:r>
      <w:r w:rsidRPr="001F160C">
        <w:rPr>
          <w:rFonts w:ascii="Calibri" w:eastAsia="Calibri" w:hAnsi="Calibri" w:cs="Times New Roman"/>
          <w:kern w:val="2"/>
          <w:lang w:val="en-US" w:eastAsia="en-US"/>
          <w14:ligatures w14:val="standardContextual"/>
        </w:rPr>
        <w:t xml:space="preserve"> F</w:t>
      </w:r>
      <w:r w:rsidR="00DF3F4C">
        <w:rPr>
          <w:rFonts w:ascii="Calibri" w:eastAsia="Calibri" w:hAnsi="Calibri" w:cs="Times New Roman"/>
          <w:kern w:val="2"/>
          <w:lang w:val="en-US" w:eastAsia="en-US"/>
          <w14:ligatures w14:val="standardContextual"/>
        </w:rPr>
        <w:t xml:space="preserve">inancial </w:t>
      </w:r>
      <w:r w:rsidRPr="001F160C">
        <w:rPr>
          <w:rFonts w:ascii="Calibri" w:eastAsia="Calibri" w:hAnsi="Calibri" w:cs="Times New Roman"/>
          <w:kern w:val="2"/>
          <w:lang w:val="en-US" w:eastAsia="en-US"/>
          <w14:ligatures w14:val="standardContextual"/>
        </w:rPr>
        <w:t>C</w:t>
      </w:r>
      <w:r w:rsidR="00DF3F4C">
        <w:rPr>
          <w:rFonts w:ascii="Calibri" w:eastAsia="Calibri" w:hAnsi="Calibri" w:cs="Times New Roman"/>
          <w:kern w:val="2"/>
          <w:lang w:val="en-US" w:eastAsia="en-US"/>
          <w14:ligatures w14:val="standardContextual"/>
        </w:rPr>
        <w:t>oun</w:t>
      </w:r>
      <w:r w:rsidR="001D5F85">
        <w:rPr>
          <w:rFonts w:ascii="Calibri" w:eastAsia="Calibri" w:hAnsi="Calibri" w:cs="Times New Roman"/>
          <w:kern w:val="2"/>
          <w:lang w:val="en-US" w:eastAsia="en-US"/>
          <w14:ligatures w14:val="standardContextual"/>
        </w:rPr>
        <w:t>selling Australia (</w:t>
      </w:r>
      <w:r w:rsidR="001D5F85" w:rsidRPr="00565F24">
        <w:rPr>
          <w:rFonts w:ascii="Calibri" w:eastAsia="Calibri" w:hAnsi="Calibri" w:cs="Times New Roman"/>
          <w:b/>
          <w:kern w:val="2"/>
          <w:lang w:val="en-US" w:eastAsia="en-US"/>
          <w14:ligatures w14:val="standardContextual"/>
        </w:rPr>
        <w:t>FCA</w:t>
      </w:r>
      <w:r w:rsidR="001D5F85">
        <w:rPr>
          <w:rFonts w:ascii="Calibri" w:eastAsia="Calibri" w:hAnsi="Calibri" w:cs="Times New Roman"/>
          <w:kern w:val="2"/>
          <w:lang w:val="en-US" w:eastAsia="en-US"/>
          <w14:ligatures w14:val="standardContextual"/>
        </w:rPr>
        <w:t>)</w:t>
      </w:r>
      <w:r w:rsidRPr="001F160C">
        <w:rPr>
          <w:rFonts w:ascii="Calibri" w:eastAsia="Calibri" w:hAnsi="Calibri" w:cs="Times New Roman"/>
          <w:kern w:val="2"/>
          <w:lang w:val="en-US" w:eastAsia="en-US"/>
          <w14:ligatures w14:val="standardContextual"/>
        </w:rPr>
        <w:t xml:space="preserve"> </w:t>
      </w:r>
      <w:r w:rsidR="00572ACC">
        <w:rPr>
          <w:rFonts w:ascii="Calibri" w:eastAsia="Calibri" w:hAnsi="Calibri" w:cs="Times New Roman"/>
          <w:kern w:val="2"/>
          <w:lang w:val="en-US" w:eastAsia="en-US"/>
          <w14:ligatures w14:val="standardContextual"/>
        </w:rPr>
        <w:t xml:space="preserve">noted </w:t>
      </w:r>
      <w:r w:rsidRPr="001F160C">
        <w:rPr>
          <w:rFonts w:ascii="Calibri" w:eastAsia="Calibri" w:hAnsi="Calibri" w:cs="Times New Roman"/>
          <w:kern w:val="2"/>
          <w:lang w:val="en-US" w:eastAsia="en-US"/>
          <w14:ligatures w14:val="standardContextual"/>
        </w:rPr>
        <w:t>that 50</w:t>
      </w:r>
      <w:r w:rsidR="00C9401A">
        <w:rPr>
          <w:rFonts w:ascii="Calibri" w:eastAsia="Calibri" w:hAnsi="Calibri" w:cs="Times New Roman"/>
          <w:kern w:val="2"/>
          <w:lang w:val="en-US" w:eastAsia="en-US"/>
          <w14:ligatures w14:val="standardContextual"/>
        </w:rPr>
        <w:t>%</w:t>
      </w:r>
      <w:r w:rsidRPr="001F160C">
        <w:rPr>
          <w:rFonts w:ascii="Calibri" w:eastAsia="Calibri" w:hAnsi="Calibri" w:cs="Times New Roman"/>
          <w:kern w:val="2"/>
          <w:lang w:val="en-US" w:eastAsia="en-US"/>
          <w14:ligatures w14:val="standardContextual"/>
        </w:rPr>
        <w:t xml:space="preserve"> of financial counsellors reported offers of unaffordable hardship arrangements by tel</w:t>
      </w:r>
      <w:r w:rsidR="0054055B">
        <w:rPr>
          <w:rFonts w:ascii="Calibri" w:eastAsia="Calibri" w:hAnsi="Calibri" w:cs="Times New Roman"/>
          <w:kern w:val="2"/>
          <w:lang w:val="en-US" w:eastAsia="en-US"/>
          <w14:ligatures w14:val="standardContextual"/>
        </w:rPr>
        <w:t>ecommunications providers</w:t>
      </w:r>
      <w:r w:rsidRPr="001F160C">
        <w:rPr>
          <w:rFonts w:ascii="Calibri" w:eastAsia="Calibri" w:hAnsi="Calibri" w:cs="Times New Roman"/>
          <w:kern w:val="2"/>
          <w:lang w:val="en-US" w:eastAsia="en-US"/>
          <w14:ligatures w14:val="standardContextual"/>
        </w:rPr>
        <w:t xml:space="preserve"> </w:t>
      </w:r>
      <w:r w:rsidR="00572ACC">
        <w:rPr>
          <w:rFonts w:ascii="Calibri" w:eastAsia="Calibri" w:hAnsi="Calibri" w:cs="Times New Roman"/>
          <w:kern w:val="2"/>
          <w:lang w:val="en-US" w:eastAsia="en-US"/>
          <w14:ligatures w14:val="standardContextual"/>
        </w:rPr>
        <w:t>happened</w:t>
      </w:r>
      <w:r w:rsidRPr="001F160C">
        <w:rPr>
          <w:rFonts w:ascii="Calibri" w:eastAsia="Calibri" w:hAnsi="Calibri" w:cs="Times New Roman"/>
          <w:kern w:val="2"/>
          <w:lang w:val="en-US" w:eastAsia="en-US"/>
          <w14:ligatures w14:val="standardContextual"/>
        </w:rPr>
        <w:t xml:space="preserve"> ‘regularly’ or ‘all the time’.</w:t>
      </w:r>
      <w:r w:rsidR="00066B21">
        <w:rPr>
          <w:rStyle w:val="FootnoteReference"/>
          <w:rFonts w:ascii="Calibri" w:eastAsia="Calibri" w:hAnsi="Calibri" w:cs="Times New Roman"/>
          <w:kern w:val="2"/>
          <w:lang w:val="en-US" w:eastAsia="en-US"/>
          <w14:ligatures w14:val="standardContextual"/>
        </w:rPr>
        <w:footnoteReference w:id="7"/>
      </w:r>
    </w:p>
    <w:p w14:paraId="5B05B2A5" w14:textId="5C8AE015" w:rsidR="001F160C" w:rsidRPr="001C0ABE" w:rsidRDefault="001F160C" w:rsidP="00987515">
      <w:pPr>
        <w:pStyle w:val="ListParagraph"/>
        <w:numPr>
          <w:ilvl w:val="0"/>
          <w:numId w:val="38"/>
        </w:numPr>
        <w:spacing w:after="160" w:line="259" w:lineRule="auto"/>
        <w:rPr>
          <w:rFonts w:ascii="Calibri" w:eastAsia="Calibri" w:hAnsi="Calibri" w:cs="Times New Roman"/>
          <w:kern w:val="2"/>
          <w:lang w:val="en-US" w:eastAsia="en-US"/>
          <w14:ligatures w14:val="standardContextual"/>
        </w:rPr>
      </w:pPr>
      <w:r w:rsidRPr="001F160C">
        <w:rPr>
          <w:rFonts w:ascii="Calibri" w:eastAsia="Calibri" w:hAnsi="Calibri" w:cs="Times New Roman"/>
          <w:kern w:val="2"/>
          <w:lang w:val="en-US" w:eastAsia="en-US"/>
          <w14:ligatures w14:val="standardContextual"/>
        </w:rPr>
        <w:t>Enable telecommunications providers to disconnect consumers partaking in a financial hardship arrangement without their notice</w:t>
      </w:r>
      <w:r w:rsidR="00687975">
        <w:rPr>
          <w:rFonts w:ascii="Calibri" w:eastAsia="Calibri" w:hAnsi="Calibri" w:cs="Times New Roman"/>
          <w:kern w:val="2"/>
          <w:lang w:val="en-US" w:eastAsia="en-US"/>
          <w14:ligatures w14:val="standardContextual"/>
        </w:rPr>
        <w:t xml:space="preserve"> where they consider there is a credit risk</w:t>
      </w:r>
      <w:r w:rsidRPr="001F160C">
        <w:rPr>
          <w:rFonts w:ascii="Calibri" w:eastAsia="Calibri" w:hAnsi="Calibri" w:cs="Times New Roman"/>
          <w:kern w:val="2"/>
          <w:lang w:val="en-US" w:eastAsia="en-US"/>
          <w14:ligatures w14:val="standardContextual"/>
        </w:rPr>
        <w:t>.</w:t>
      </w:r>
      <w:r w:rsidR="00B93148">
        <w:rPr>
          <w:rStyle w:val="FootnoteReference"/>
          <w:rFonts w:ascii="Calibri" w:eastAsia="Calibri" w:hAnsi="Calibri" w:cs="Times New Roman"/>
          <w:kern w:val="2"/>
          <w:lang w:val="en-US" w:eastAsia="en-US"/>
          <w14:ligatures w14:val="standardContextual"/>
        </w:rPr>
        <w:footnoteReference w:id="8"/>
      </w:r>
      <w:r w:rsidR="006E5C23">
        <w:rPr>
          <w:rStyle w:val="CommentReference"/>
          <w:rFonts w:eastAsia="Calibri"/>
          <w:kern w:val="2"/>
          <w:lang w:eastAsia="en-US"/>
          <w14:ligatures w14:val="standardContextual"/>
        </w:rPr>
        <w:t xml:space="preserve"> </w:t>
      </w:r>
    </w:p>
    <w:p w14:paraId="7C2FB53F" w14:textId="08A9FB8D" w:rsidR="002F7C61" w:rsidRDefault="002F7C61" w:rsidP="00193BED">
      <w:pPr>
        <w:spacing w:after="160" w:line="259" w:lineRule="auto"/>
        <w:rPr>
          <w:rFonts w:ascii="Calibri" w:eastAsia="Calibri" w:hAnsi="Calibri" w:cs="Times New Roman"/>
          <w:kern w:val="2"/>
          <w:lang w:val="en-US" w:eastAsia="en-US"/>
          <w14:ligatures w14:val="standardContextual"/>
        </w:rPr>
      </w:pPr>
      <w:r>
        <w:rPr>
          <w:rFonts w:ascii="Calibri" w:eastAsia="Calibri" w:hAnsi="Calibri" w:cs="Times New Roman"/>
          <w:kern w:val="2"/>
          <w:lang w:val="en-US" w:eastAsia="en-US"/>
          <w14:ligatures w14:val="standardContextual"/>
        </w:rPr>
        <w:t>ACCAN encourages C</w:t>
      </w:r>
      <w:r w:rsidR="005C13C8">
        <w:rPr>
          <w:rFonts w:ascii="Calibri" w:eastAsia="Calibri" w:hAnsi="Calibri" w:cs="Times New Roman"/>
          <w:kern w:val="2"/>
          <w:lang w:val="en-US" w:eastAsia="en-US"/>
          <w14:ligatures w14:val="standardContextual"/>
        </w:rPr>
        <w:t>ommunications Alliance</w:t>
      </w:r>
      <w:r>
        <w:rPr>
          <w:rFonts w:ascii="Calibri" w:eastAsia="Calibri" w:hAnsi="Calibri" w:cs="Times New Roman"/>
          <w:kern w:val="2"/>
          <w:lang w:val="en-US" w:eastAsia="en-US"/>
          <w14:ligatures w14:val="standardContextual"/>
        </w:rPr>
        <w:t xml:space="preserve"> to review the </w:t>
      </w:r>
      <w:r w:rsidR="00AA05D5">
        <w:rPr>
          <w:rFonts w:ascii="Calibri" w:eastAsia="Calibri" w:hAnsi="Calibri" w:cs="Times New Roman"/>
          <w:kern w:val="2"/>
          <w:lang w:val="en-US" w:eastAsia="en-US"/>
          <w14:ligatures w14:val="standardContextual"/>
        </w:rPr>
        <w:t xml:space="preserve">ACMA’s most recent financial hardship report and the </w:t>
      </w:r>
      <w:r>
        <w:rPr>
          <w:rFonts w:ascii="Calibri" w:eastAsia="Calibri" w:hAnsi="Calibri" w:cs="Times New Roman"/>
          <w:kern w:val="2"/>
          <w:lang w:val="en-US" w:eastAsia="en-US"/>
          <w14:ligatures w14:val="standardContextual"/>
        </w:rPr>
        <w:t xml:space="preserve">significant feedback provided </w:t>
      </w:r>
      <w:r w:rsidR="00AA05D5">
        <w:rPr>
          <w:rFonts w:ascii="Calibri" w:eastAsia="Calibri" w:hAnsi="Calibri" w:cs="Times New Roman"/>
          <w:kern w:val="2"/>
          <w:lang w:val="en-US" w:eastAsia="en-US"/>
          <w14:ligatures w14:val="standardContextual"/>
        </w:rPr>
        <w:t xml:space="preserve">by the community </w:t>
      </w:r>
      <w:r w:rsidR="007B5B0C">
        <w:rPr>
          <w:rFonts w:ascii="Calibri" w:eastAsia="Calibri" w:hAnsi="Calibri" w:cs="Times New Roman"/>
          <w:kern w:val="2"/>
          <w:lang w:val="en-US" w:eastAsia="en-US"/>
          <w14:ligatures w14:val="standardContextual"/>
        </w:rPr>
        <w:t xml:space="preserve">through previous </w:t>
      </w:r>
      <w:r w:rsidR="00A13814">
        <w:rPr>
          <w:rFonts w:ascii="Calibri" w:eastAsia="Calibri" w:hAnsi="Calibri" w:cs="Times New Roman"/>
          <w:kern w:val="2"/>
          <w:lang w:val="en-US" w:eastAsia="en-US"/>
          <w14:ligatures w14:val="standardContextual"/>
        </w:rPr>
        <w:t>TCP C</w:t>
      </w:r>
      <w:r w:rsidR="007B5B0C">
        <w:rPr>
          <w:rFonts w:ascii="Calibri" w:eastAsia="Calibri" w:hAnsi="Calibri" w:cs="Times New Roman"/>
          <w:kern w:val="2"/>
          <w:lang w:val="en-US" w:eastAsia="en-US"/>
          <w14:ligatures w14:val="standardContextual"/>
        </w:rPr>
        <w:t>ode reviews</w:t>
      </w:r>
      <w:r w:rsidR="00AA05D5">
        <w:rPr>
          <w:rFonts w:ascii="Calibri" w:eastAsia="Calibri" w:hAnsi="Calibri" w:cs="Times New Roman"/>
          <w:kern w:val="2"/>
          <w:lang w:val="en-US" w:eastAsia="en-US"/>
          <w14:ligatures w14:val="standardContextual"/>
        </w:rPr>
        <w:t>.</w:t>
      </w:r>
      <w:r w:rsidR="006244B7">
        <w:rPr>
          <w:rStyle w:val="FootnoteReference"/>
          <w:rFonts w:ascii="Calibri" w:eastAsia="Calibri" w:hAnsi="Calibri" w:cs="Times New Roman"/>
          <w:kern w:val="2"/>
          <w:lang w:val="en-US" w:eastAsia="en-US"/>
          <w14:ligatures w14:val="standardContextual"/>
        </w:rPr>
        <w:footnoteReference w:id="9"/>
      </w:r>
    </w:p>
    <w:p w14:paraId="5FE3AD46" w14:textId="1AD16320" w:rsidR="001E7E4D" w:rsidRPr="00CB663A" w:rsidRDefault="001E7E4D" w:rsidP="00193BED">
      <w:pPr>
        <w:spacing w:after="160" w:line="259" w:lineRule="auto"/>
        <w:rPr>
          <w:rFonts w:ascii="Calibri" w:eastAsia="Calibri" w:hAnsi="Calibri" w:cs="Times New Roman"/>
          <w:b/>
          <w:kern w:val="2"/>
          <w:lang w:val="en-US" w:eastAsia="en-US"/>
          <w14:ligatures w14:val="standardContextual"/>
        </w:rPr>
      </w:pPr>
      <w:r w:rsidRPr="00CB663A">
        <w:rPr>
          <w:rFonts w:ascii="Calibri" w:eastAsia="Calibri" w:hAnsi="Calibri" w:cs="Times New Roman"/>
          <w:b/>
          <w:kern w:val="2"/>
          <w:lang w:val="en-US" w:eastAsia="en-US"/>
          <w14:ligatures w14:val="standardContextual"/>
        </w:rPr>
        <w:t>Credit Assessment</w:t>
      </w:r>
    </w:p>
    <w:p w14:paraId="38854817" w14:textId="09881DDC" w:rsidR="001E7E4D" w:rsidRDefault="001E7E4D" w:rsidP="001E7E4D">
      <w:pPr>
        <w:spacing w:after="160" w:line="259" w:lineRule="auto"/>
        <w:rPr>
          <w:rFonts w:ascii="Calibri" w:eastAsia="Calibri" w:hAnsi="Calibri" w:cs="Times New Roman"/>
          <w:kern w:val="2"/>
          <w:lang w:val="en-US" w:eastAsia="en-US"/>
          <w14:ligatures w14:val="standardContextual"/>
        </w:rPr>
      </w:pPr>
      <w:r w:rsidRPr="001E7E4D">
        <w:rPr>
          <w:rFonts w:ascii="Calibri" w:eastAsia="Calibri" w:hAnsi="Calibri" w:cs="Times New Roman"/>
          <w:kern w:val="2"/>
          <w:lang w:val="en-US" w:eastAsia="en-US"/>
          <w14:ligatures w14:val="standardContextual"/>
        </w:rPr>
        <w:t xml:space="preserve">The TCP </w:t>
      </w:r>
      <w:r w:rsidR="00897BF9">
        <w:rPr>
          <w:rFonts w:ascii="Calibri" w:eastAsia="Calibri" w:hAnsi="Calibri" w:cs="Times New Roman"/>
          <w:kern w:val="2"/>
          <w:lang w:val="en-US" w:eastAsia="en-US"/>
          <w14:ligatures w14:val="standardContextual"/>
        </w:rPr>
        <w:t>C</w:t>
      </w:r>
      <w:r w:rsidRPr="001E7E4D">
        <w:rPr>
          <w:rFonts w:ascii="Calibri" w:eastAsia="Calibri" w:hAnsi="Calibri" w:cs="Times New Roman"/>
          <w:kern w:val="2"/>
          <w:lang w:val="en-US" w:eastAsia="en-US"/>
          <w14:ligatures w14:val="standardContextual"/>
        </w:rPr>
        <w:t xml:space="preserve">ode </w:t>
      </w:r>
      <w:r w:rsidR="00471555">
        <w:rPr>
          <w:rFonts w:ascii="Calibri" w:eastAsia="Calibri" w:hAnsi="Calibri" w:cs="Times New Roman"/>
          <w:kern w:val="2"/>
          <w:lang w:val="en-US" w:eastAsia="en-US"/>
          <w14:ligatures w14:val="standardContextual"/>
        </w:rPr>
        <w:t>instructs</w:t>
      </w:r>
      <w:r w:rsidRPr="001E7E4D">
        <w:rPr>
          <w:rFonts w:ascii="Calibri" w:eastAsia="Calibri" w:hAnsi="Calibri" w:cs="Times New Roman"/>
          <w:kern w:val="2"/>
          <w:lang w:val="en-US" w:eastAsia="en-US"/>
          <w14:ligatures w14:val="standardContextual"/>
        </w:rPr>
        <w:t xml:space="preserve"> telecommunications providers to conduct a credit assessment prior to a consumer purchasing a post-paid telecommunications service.</w:t>
      </w:r>
      <w:r>
        <w:rPr>
          <w:rStyle w:val="FootnoteReference"/>
          <w:rFonts w:ascii="Calibri" w:eastAsia="Calibri" w:hAnsi="Calibri" w:cs="Times New Roman"/>
          <w:kern w:val="2"/>
          <w:lang w:val="en-US" w:eastAsia="en-US"/>
          <w14:ligatures w14:val="standardContextual"/>
        </w:rPr>
        <w:footnoteReference w:id="10"/>
      </w:r>
      <w:r w:rsidRPr="001E7E4D">
        <w:rPr>
          <w:rFonts w:ascii="Calibri" w:eastAsia="Calibri" w:hAnsi="Calibri" w:cs="Times New Roman"/>
          <w:kern w:val="2"/>
          <w:lang w:val="en-US" w:eastAsia="en-US"/>
          <w14:ligatures w14:val="standardContextual"/>
        </w:rPr>
        <w:t xml:space="preserve"> Despite this requirement, there are concerns that some consumers are not asked about their capacity to pay when purchasing telecommunications services in person.</w:t>
      </w:r>
      <w:r w:rsidR="00D10D4C">
        <w:rPr>
          <w:rStyle w:val="FootnoteReference"/>
          <w:rFonts w:ascii="Calibri" w:eastAsia="Calibri" w:hAnsi="Calibri" w:cs="Times New Roman"/>
          <w:kern w:val="2"/>
          <w:lang w:val="en-US" w:eastAsia="en-US"/>
          <w14:ligatures w14:val="standardContextual"/>
        </w:rPr>
        <w:footnoteReference w:id="11"/>
      </w:r>
    </w:p>
    <w:p w14:paraId="666816A7" w14:textId="77777777" w:rsidR="00D10D4C" w:rsidRDefault="00D10D4C" w:rsidP="00D10D4C">
      <w:pPr>
        <w:spacing w:after="160" w:line="259" w:lineRule="auto"/>
        <w:rPr>
          <w:rFonts w:ascii="Calibri" w:eastAsia="Calibri" w:hAnsi="Calibri" w:cs="Times New Roman"/>
          <w:kern w:val="2"/>
          <w:lang w:val="en-US" w:eastAsia="en-US"/>
          <w14:ligatures w14:val="standardContextual"/>
        </w:rPr>
      </w:pPr>
      <w:r w:rsidRPr="00D10D4C">
        <w:rPr>
          <w:rFonts w:ascii="Calibri" w:eastAsia="Calibri" w:hAnsi="Calibri" w:cs="Times New Roman"/>
          <w:kern w:val="2"/>
          <w:lang w:val="en-US" w:eastAsia="en-US"/>
          <w14:ligatures w14:val="standardContextual"/>
        </w:rPr>
        <w:t>When credit assessments are insufficiently conducted or absent, they can contribute to consumer and provider harm, such as:</w:t>
      </w:r>
    </w:p>
    <w:p w14:paraId="68F26F8B" w14:textId="7A838EF8" w:rsidR="00D10D4C" w:rsidRDefault="00D10D4C" w:rsidP="005F7DFB">
      <w:pPr>
        <w:pStyle w:val="Bulletlist1"/>
        <w:rPr>
          <w:rFonts w:eastAsia="Calibri" w:cs="Times New Roman"/>
          <w:kern w:val="2"/>
          <w:lang w:val="en-US" w:eastAsia="en-US"/>
          <w14:ligatures w14:val="standardContextual"/>
        </w:rPr>
      </w:pPr>
      <w:r w:rsidRPr="00CB663A">
        <w:rPr>
          <w:lang w:val="en-US" w:eastAsia="en-US"/>
        </w:rPr>
        <w:t xml:space="preserve">Providers signing consumers up to telecommunications services which they cannot </w:t>
      </w:r>
      <w:r w:rsidRPr="00CB663A">
        <w:rPr>
          <w:rFonts w:eastAsia="Calibri" w:cs="Times New Roman"/>
          <w:kern w:val="2"/>
          <w:lang w:val="en-US" w:eastAsia="en-US"/>
          <w14:ligatures w14:val="standardContextual"/>
        </w:rPr>
        <w:t>afford, leading to considerable consumer detriment.</w:t>
      </w:r>
      <w:r w:rsidR="003E24BC">
        <w:rPr>
          <w:rStyle w:val="FootnoteReference"/>
          <w:rFonts w:eastAsia="Calibri" w:cs="Times New Roman"/>
          <w:kern w:val="2"/>
          <w:lang w:val="en-US" w:eastAsia="en-US"/>
          <w14:ligatures w14:val="standardContextual"/>
        </w:rPr>
        <w:footnoteReference w:id="12"/>
      </w:r>
    </w:p>
    <w:p w14:paraId="4A3CDB9E" w14:textId="47C8FAED" w:rsidR="00D10D4C" w:rsidRDefault="00D10D4C" w:rsidP="005F7DFB">
      <w:pPr>
        <w:pStyle w:val="Bulletlist1"/>
        <w:rPr>
          <w:rFonts w:eastAsia="Calibri" w:cs="Times New Roman"/>
          <w:kern w:val="2"/>
          <w:lang w:val="en-US" w:eastAsia="en-US"/>
          <w14:ligatures w14:val="standardContextual"/>
        </w:rPr>
      </w:pPr>
      <w:r w:rsidRPr="00CB663A">
        <w:rPr>
          <w:lang w:val="en-US" w:eastAsia="en-US"/>
        </w:rPr>
        <w:t>Possibly facilitating providers conducting unconscionable conduct</w:t>
      </w:r>
      <w:r>
        <w:rPr>
          <w:rFonts w:eastAsia="Calibri" w:cs="Times New Roman"/>
          <w:kern w:val="2"/>
          <w:lang w:val="en-US" w:eastAsia="en-US"/>
          <w14:ligatures w14:val="standardContextual"/>
        </w:rPr>
        <w:t>.</w:t>
      </w:r>
      <w:r w:rsidR="003E24BC">
        <w:rPr>
          <w:rStyle w:val="FootnoteReference"/>
          <w:rFonts w:eastAsia="Calibri" w:cs="Times New Roman"/>
          <w:kern w:val="2"/>
          <w:lang w:val="en-US" w:eastAsia="en-US"/>
          <w14:ligatures w14:val="standardContextual"/>
        </w:rPr>
        <w:footnoteReference w:id="13"/>
      </w:r>
    </w:p>
    <w:p w14:paraId="0511BA0B" w14:textId="56D30051" w:rsidR="00E34424" w:rsidRDefault="00D10D4C" w:rsidP="005F7DFB">
      <w:pPr>
        <w:pStyle w:val="Bulletlist1"/>
        <w:rPr>
          <w:rFonts w:eastAsia="Calibri" w:cs="Times New Roman"/>
          <w:kern w:val="2"/>
          <w:lang w:val="en-US" w:eastAsia="en-US"/>
          <w14:ligatures w14:val="standardContextual"/>
        </w:rPr>
      </w:pPr>
      <w:r>
        <w:rPr>
          <w:lang w:val="en-US" w:eastAsia="en-US"/>
        </w:rPr>
        <w:t>T</w:t>
      </w:r>
      <w:r w:rsidRPr="00CB663A">
        <w:rPr>
          <w:rFonts w:eastAsia="Calibri" w:cs="Times New Roman"/>
          <w:kern w:val="2"/>
          <w:lang w:val="en-US" w:eastAsia="en-US"/>
          <w14:ligatures w14:val="standardContextual"/>
        </w:rPr>
        <w:t>elecommunications providers taking on irrecoverable or ‘bad’ debt.</w:t>
      </w:r>
    </w:p>
    <w:p w14:paraId="2B9383E1" w14:textId="5EF22A1E" w:rsidR="00E34424" w:rsidRPr="00CB663A" w:rsidRDefault="00E34424" w:rsidP="00987515">
      <w:pPr>
        <w:spacing w:after="160" w:line="259" w:lineRule="auto"/>
        <w:rPr>
          <w:rFonts w:ascii="Calibri" w:eastAsia="Calibri" w:hAnsi="Calibri" w:cs="Times New Roman"/>
          <w:kern w:val="2"/>
          <w:lang w:val="en-US" w:eastAsia="en-US"/>
          <w14:ligatures w14:val="standardContextual"/>
        </w:rPr>
      </w:pPr>
      <w:r>
        <w:t xml:space="preserve">In a 2021 report, </w:t>
      </w:r>
      <w:r w:rsidR="00EE6E3A">
        <w:t>FCA</w:t>
      </w:r>
      <w:r>
        <w:t xml:space="preserve"> identified that current approaches to affordability assessments for telecommunications were inadequate.</w:t>
      </w:r>
      <w:r w:rsidR="00B64556">
        <w:rPr>
          <w:rStyle w:val="FootnoteReference"/>
        </w:rPr>
        <w:footnoteReference w:id="14"/>
      </w:r>
      <w:r w:rsidRPr="00E34424">
        <w:rPr>
          <w:sz w:val="14"/>
          <w:szCs w:val="14"/>
        </w:rPr>
        <w:t xml:space="preserve"> </w:t>
      </w:r>
      <w:r>
        <w:t>FCA noted that financial</w:t>
      </w:r>
      <w:r w:rsidR="00B64556">
        <w:t xml:space="preserve"> </w:t>
      </w:r>
      <w:r w:rsidR="00B64556" w:rsidRPr="00B64556">
        <w:rPr>
          <w:lang w:val="en-US"/>
        </w:rPr>
        <w:t>counsellors see far too many clients on unaffordable telecommunications plans and that adequate affordability checks would be able to prevent this.</w:t>
      </w:r>
      <w:r w:rsidR="00B64556">
        <w:rPr>
          <w:rStyle w:val="FootnoteReference"/>
          <w:lang w:val="en-US"/>
        </w:rPr>
        <w:footnoteReference w:id="15"/>
      </w:r>
    </w:p>
    <w:p w14:paraId="7D6991C9" w14:textId="77777777" w:rsidR="00900B97" w:rsidRDefault="00900B97" w:rsidP="00987515">
      <w:pPr>
        <w:spacing w:after="160" w:line="259" w:lineRule="auto"/>
        <w:rPr>
          <w:rFonts w:ascii="Calibri" w:eastAsia="Calibri" w:hAnsi="Calibri" w:cs="Times New Roman"/>
          <w:b/>
          <w:bCs/>
          <w:kern w:val="2"/>
          <w:lang w:val="en-US" w:eastAsia="en-US"/>
          <w14:ligatures w14:val="standardContextual"/>
        </w:rPr>
      </w:pPr>
    </w:p>
    <w:p w14:paraId="3D58AF8E" w14:textId="54773CEF" w:rsidR="00193BED" w:rsidRDefault="00193BED" w:rsidP="00987515">
      <w:pPr>
        <w:spacing w:after="160" w:line="259" w:lineRule="auto"/>
        <w:rPr>
          <w:rFonts w:ascii="Calibri" w:eastAsia="Calibri" w:hAnsi="Calibri" w:cs="Times New Roman"/>
          <w:b/>
          <w:bCs/>
          <w:kern w:val="2"/>
          <w:lang w:val="en-US" w:eastAsia="en-US"/>
          <w14:ligatures w14:val="standardContextual"/>
        </w:rPr>
      </w:pPr>
      <w:r w:rsidRPr="00193BED">
        <w:rPr>
          <w:rFonts w:ascii="Calibri" w:eastAsia="Calibri" w:hAnsi="Calibri" w:cs="Times New Roman"/>
          <w:b/>
          <w:bCs/>
          <w:kern w:val="2"/>
          <w:lang w:val="en-US" w:eastAsia="en-US"/>
          <w14:ligatures w14:val="standardContextual"/>
        </w:rPr>
        <w:t xml:space="preserve">Payment Options </w:t>
      </w:r>
    </w:p>
    <w:p w14:paraId="1F4EA31E" w14:textId="615B43B1" w:rsidR="00DE28EA" w:rsidRDefault="00DE28EA" w:rsidP="00DE28EA">
      <w:r w:rsidRPr="00DE28EA">
        <w:t xml:space="preserve">Currently, </w:t>
      </w:r>
      <w:r w:rsidR="00CA65B0">
        <w:t>supplier</w:t>
      </w:r>
      <w:r w:rsidR="007417D2">
        <w:t>s</w:t>
      </w:r>
      <w:r w:rsidR="00CA65B0" w:rsidRPr="00DE28EA">
        <w:t xml:space="preserve"> </w:t>
      </w:r>
      <w:r w:rsidRPr="00DE28EA">
        <w:t>are required to offer one payment method free of charge to consumers</w:t>
      </w:r>
      <w:r w:rsidR="001F2AE2">
        <w:t>,</w:t>
      </w:r>
      <w:r w:rsidRPr="00DE28EA">
        <w:t xml:space="preserve"> with other payment methods having costs passed onto consumers.</w:t>
      </w:r>
      <w:r w:rsidRPr="00DE28EA">
        <w:rPr>
          <w:vertAlign w:val="superscript"/>
        </w:rPr>
        <w:footnoteReference w:id="16"/>
      </w:r>
      <w:r w:rsidRPr="00DE28EA">
        <w:t xml:space="preserve"> Many </w:t>
      </w:r>
      <w:r w:rsidR="009539A1">
        <w:t>su</w:t>
      </w:r>
      <w:r w:rsidR="00B001E0">
        <w:t>pplier</w:t>
      </w:r>
      <w:r w:rsidR="009539A1" w:rsidRPr="00DE28EA">
        <w:t xml:space="preserve">s </w:t>
      </w:r>
      <w:r w:rsidRPr="00DE28EA">
        <w:t>offer direct debit as the only fee-free payment method available to consumers. For consumers utilising other bill payment methods, for example paper or cheque bills</w:t>
      </w:r>
      <w:r w:rsidR="00A27FFD">
        <w:t>, they</w:t>
      </w:r>
      <w:r w:rsidRPr="00DE28EA">
        <w:t xml:space="preserve"> may be charged fees for doing so.</w:t>
      </w:r>
      <w:r w:rsidRPr="00DE28EA">
        <w:rPr>
          <w:vertAlign w:val="superscript"/>
        </w:rPr>
        <w:footnoteReference w:id="17"/>
      </w:r>
      <w:r w:rsidR="00D64436">
        <w:t xml:space="preserve"> </w:t>
      </w:r>
    </w:p>
    <w:p w14:paraId="2E88D315" w14:textId="74D2D3B1" w:rsidR="003A271F" w:rsidRPr="008147B4" w:rsidRDefault="00D64436" w:rsidP="008147B4">
      <w:r w:rsidRPr="00D64436">
        <w:t>Direct debit arrangements do not work for all consumers and may place an unfair financial risk on some consumers</w:t>
      </w:r>
      <w:r w:rsidR="00006621">
        <w:t xml:space="preserve">. </w:t>
      </w:r>
      <w:r w:rsidR="00006621" w:rsidRPr="00006621">
        <w:t>ACCAN research has found that 19% of consumers do not find direct debit easy to use, while 24% of consumers prefer other methods of paying their bills.</w:t>
      </w:r>
      <w:r w:rsidR="00006621" w:rsidRPr="00006621">
        <w:rPr>
          <w:vertAlign w:val="superscript"/>
        </w:rPr>
        <w:footnoteReference w:id="18"/>
      </w:r>
      <w:r w:rsidR="00006621" w:rsidRPr="00006621">
        <w:t xml:space="preserve"> ACCAN’s research highlighted that inconsistent direct debit charges can be problematic for vulnerable consumers.</w:t>
      </w:r>
      <w:r w:rsidR="00006621" w:rsidRPr="00006621">
        <w:rPr>
          <w:vertAlign w:val="superscript"/>
        </w:rPr>
        <w:footnoteReference w:id="19"/>
      </w:r>
      <w:r w:rsidR="00006621" w:rsidRPr="00006621">
        <w:t xml:space="preserve"> </w:t>
      </w:r>
    </w:p>
    <w:p w14:paraId="5838B92E" w14:textId="7D301FDD" w:rsidR="00193BED" w:rsidRDefault="00193BED" w:rsidP="00987515">
      <w:pPr>
        <w:spacing w:after="160" w:line="259" w:lineRule="auto"/>
        <w:rPr>
          <w:rFonts w:ascii="Calibri" w:eastAsia="Calibri" w:hAnsi="Calibri" w:cs="Times New Roman"/>
          <w:b/>
          <w:bCs/>
          <w:kern w:val="2"/>
          <w:lang w:val="en-US" w:eastAsia="en-US"/>
          <w14:ligatures w14:val="standardContextual"/>
        </w:rPr>
      </w:pPr>
      <w:r>
        <w:rPr>
          <w:rFonts w:ascii="Calibri" w:eastAsia="Calibri" w:hAnsi="Calibri" w:cs="Times New Roman"/>
          <w:b/>
          <w:bCs/>
          <w:kern w:val="2"/>
          <w:lang w:val="en-US" w:eastAsia="en-US"/>
          <w14:ligatures w14:val="standardContextual"/>
        </w:rPr>
        <w:t>Sales Incentives and Mis-Selling</w:t>
      </w:r>
    </w:p>
    <w:p w14:paraId="151A8F5E" w14:textId="2A38F7B9" w:rsidR="007C3E09" w:rsidRDefault="00251B38" w:rsidP="00CB663A">
      <w:r w:rsidRPr="00251B38">
        <w:t xml:space="preserve">Telecommunications debts </w:t>
      </w:r>
      <w:r w:rsidR="00D80E45">
        <w:t>that arise due to</w:t>
      </w:r>
      <w:r w:rsidRPr="00251B38">
        <w:t xml:space="preserve"> mis-selling can cause </w:t>
      </w:r>
      <w:r w:rsidR="00D80E45">
        <w:t xml:space="preserve">material </w:t>
      </w:r>
      <w:r w:rsidRPr="00251B38">
        <w:t>harm to consumers. Consumers may experience financial hardship and go without certain essentials to service their telecommunications debts.</w:t>
      </w:r>
      <w:r w:rsidRPr="00251B38">
        <w:rPr>
          <w:vertAlign w:val="superscript"/>
        </w:rPr>
        <w:footnoteReference w:id="20"/>
      </w:r>
      <w:r w:rsidR="00332D76">
        <w:t xml:space="preserve"> </w:t>
      </w:r>
      <w:r w:rsidR="007C3E09">
        <w:t xml:space="preserve">Unfortunately, ACCAN continues to receive reports of mis-selling from our members and stakeholders.  </w:t>
      </w:r>
    </w:p>
    <w:p w14:paraId="7B6FB90A" w14:textId="33916C20" w:rsidR="00CC38B3" w:rsidRPr="00CB663A" w:rsidRDefault="005E0C6A" w:rsidP="00987515">
      <w:pPr>
        <w:spacing w:after="160" w:line="259" w:lineRule="auto"/>
      </w:pPr>
      <w:r>
        <w:t xml:space="preserve">Mis-selling can </w:t>
      </w:r>
      <w:r w:rsidR="008F07D4">
        <w:t xml:space="preserve">involve </w:t>
      </w:r>
      <w:r w:rsidR="00FA2EF8">
        <w:t>manipulated credit assessments</w:t>
      </w:r>
      <w:r w:rsidR="00F770BE">
        <w:t>,</w:t>
      </w:r>
      <w:r w:rsidR="008414B7">
        <w:t xml:space="preserve"> demonstrated by the Australian Competition and Consumer Commission</w:t>
      </w:r>
      <w:r w:rsidR="00F770BE">
        <w:t>’s</w:t>
      </w:r>
      <w:r w:rsidR="008414B7">
        <w:t xml:space="preserve"> (</w:t>
      </w:r>
      <w:r w:rsidR="008414B7" w:rsidRPr="00CB663A">
        <w:rPr>
          <w:b/>
        </w:rPr>
        <w:t>ACC</w:t>
      </w:r>
      <w:r w:rsidR="00F770BE" w:rsidRPr="00CB663A">
        <w:rPr>
          <w:b/>
        </w:rPr>
        <w:t>C</w:t>
      </w:r>
      <w:r w:rsidR="00F770BE">
        <w:t xml:space="preserve">) $50 million </w:t>
      </w:r>
      <w:r w:rsidR="00882897">
        <w:t xml:space="preserve">penalty to Telstra for unconscionable sales to </w:t>
      </w:r>
      <w:r w:rsidR="003D649C">
        <w:t>I</w:t>
      </w:r>
      <w:r w:rsidR="00882897">
        <w:t>ndigenous consumers.</w:t>
      </w:r>
      <w:r w:rsidR="00882897">
        <w:rPr>
          <w:rStyle w:val="FootnoteReference"/>
        </w:rPr>
        <w:footnoteReference w:id="21"/>
      </w:r>
    </w:p>
    <w:p w14:paraId="08B8214E" w14:textId="3F10AB60" w:rsidR="00F27A4D" w:rsidRPr="00F27A4D" w:rsidRDefault="00F53A49" w:rsidP="00FB3D31">
      <w:r>
        <w:t>ACCAN stakeholders and members have</w:t>
      </w:r>
      <w:r w:rsidR="00F27A4D" w:rsidRPr="00F27A4D">
        <w:t xml:space="preserve"> expressed concerns that telecommunications mis-selling is producing negative outcomes for consumers. A report from </w:t>
      </w:r>
      <w:r w:rsidR="00F27A4D" w:rsidRPr="008304AD">
        <w:t>FCA</w:t>
      </w:r>
      <w:r w:rsidR="00F27A4D" w:rsidRPr="00F27A4D">
        <w:t xml:space="preserve"> noted that: </w:t>
      </w:r>
    </w:p>
    <w:p w14:paraId="1AE266A9" w14:textId="7B1CD8B2" w:rsidR="00F27A4D" w:rsidRPr="00F27A4D" w:rsidRDefault="00F27A4D" w:rsidP="00D34747">
      <w:pPr>
        <w:pStyle w:val="Bulletlist1"/>
      </w:pPr>
      <w:r w:rsidRPr="00F27A4D">
        <w:t>Approximately 80% of financial counsellors said that they had clients where mis-selling had occurred.</w:t>
      </w:r>
      <w:r w:rsidR="00D06153">
        <w:rPr>
          <w:rStyle w:val="FootnoteReference"/>
        </w:rPr>
        <w:footnoteReference w:id="22"/>
      </w:r>
    </w:p>
    <w:p w14:paraId="7A891325" w14:textId="6CEDDD91" w:rsidR="00F27A4D" w:rsidRPr="00F27A4D" w:rsidRDefault="00F27A4D" w:rsidP="00D34747">
      <w:pPr>
        <w:pStyle w:val="Bulletlist1"/>
      </w:pPr>
      <w:r w:rsidRPr="00F27A4D">
        <w:t>Telecommunications mis</w:t>
      </w:r>
      <w:r w:rsidR="000E35EF">
        <w:t>-</w:t>
      </w:r>
      <w:r w:rsidRPr="00F27A4D">
        <w:t>selling is common and occurs across the industry.</w:t>
      </w:r>
      <w:r w:rsidRPr="00F27A4D">
        <w:rPr>
          <w:vertAlign w:val="superscript"/>
        </w:rPr>
        <w:footnoteReference w:id="23"/>
      </w:r>
    </w:p>
    <w:p w14:paraId="1D9257C5" w14:textId="5A505A18" w:rsidR="00FB3D31" w:rsidRDefault="00F27A4D" w:rsidP="00D34747">
      <w:pPr>
        <w:pStyle w:val="Bulletlist1"/>
      </w:pPr>
      <w:r w:rsidRPr="00F27A4D">
        <w:t>More than 50</w:t>
      </w:r>
      <w:r w:rsidR="00C9401A">
        <w:t>%</w:t>
      </w:r>
      <w:r w:rsidRPr="00F27A4D">
        <w:t xml:space="preserve"> of financial counsellors’ clients were struggling to pay their tel</w:t>
      </w:r>
      <w:r w:rsidR="000E35EF">
        <w:t>ecommunications</w:t>
      </w:r>
      <w:r w:rsidRPr="00F27A4D">
        <w:t xml:space="preserve"> debts.</w:t>
      </w:r>
      <w:r w:rsidRPr="00F27A4D">
        <w:rPr>
          <w:vertAlign w:val="superscript"/>
        </w:rPr>
        <w:footnoteReference w:id="24"/>
      </w:r>
      <w:r w:rsidRPr="00F27A4D">
        <w:t xml:space="preserve"> </w:t>
      </w:r>
    </w:p>
    <w:p w14:paraId="3B82B657" w14:textId="6451C276" w:rsidR="00D80E45" w:rsidRDefault="00FB3D31" w:rsidP="00FB3D31">
      <w:r w:rsidRPr="00FB3D31">
        <w:t>An ACMA survey of financial counsellors showcased that they believe that some cases of financial hardship could be prevented if telecommunications providers did not upsell to consumers who cannot afford the purchase or do not understand its financial implications.</w:t>
      </w:r>
      <w:r w:rsidRPr="00FB3D31">
        <w:rPr>
          <w:vertAlign w:val="superscript"/>
        </w:rPr>
        <w:footnoteReference w:id="25"/>
      </w:r>
    </w:p>
    <w:p w14:paraId="1ADB2BA1" w14:textId="0E8D68B6" w:rsidR="008D6772" w:rsidRDefault="008D6772" w:rsidP="008D6772">
      <w:pPr>
        <w:pStyle w:val="Heading1"/>
        <w:rPr>
          <w:lang w:val="en-US" w:eastAsia="en-US"/>
        </w:rPr>
      </w:pPr>
      <w:r w:rsidRPr="00FD37C6">
        <w:rPr>
          <w:lang w:val="en-US" w:eastAsia="en-US"/>
        </w:rPr>
        <w:t xml:space="preserve">Response to question </w:t>
      </w:r>
      <w:r w:rsidR="00625CB3" w:rsidRPr="00FD37C6">
        <w:rPr>
          <w:lang w:val="en-US" w:eastAsia="en-US"/>
        </w:rPr>
        <w:t>4</w:t>
      </w:r>
    </w:p>
    <w:p w14:paraId="5392E8B3" w14:textId="3BD15B32" w:rsidR="00625CB3" w:rsidRDefault="001816C2" w:rsidP="00625CB3">
      <w:pPr>
        <w:rPr>
          <w:b/>
          <w:bCs/>
          <w:lang w:val="en-US" w:eastAsia="en-US"/>
        </w:rPr>
      </w:pPr>
      <w:r w:rsidRPr="00D11C2A">
        <w:rPr>
          <w:b/>
          <w:bCs/>
          <w:lang w:val="en-US" w:eastAsia="en-US"/>
        </w:rPr>
        <w:t>Questio</w:t>
      </w:r>
      <w:r w:rsidR="0064595F" w:rsidRPr="00D11C2A">
        <w:rPr>
          <w:b/>
          <w:bCs/>
          <w:lang w:val="en-US" w:eastAsia="en-US"/>
        </w:rPr>
        <w:t xml:space="preserve">n 4: </w:t>
      </w:r>
      <w:r w:rsidR="00DB737F" w:rsidRPr="00D11C2A">
        <w:rPr>
          <w:b/>
          <w:bCs/>
          <w:lang w:val="en-US" w:eastAsia="en-US"/>
        </w:rPr>
        <w:t>Are there specific issues that are adequately covered in the Code but are inadequately implemented? Or inadequately enforced? Please provide as much detail as possible to explain your position. Do you have any constructive, practical suggestions as to how these issues could be addressed?</w:t>
      </w:r>
    </w:p>
    <w:p w14:paraId="75143BBE" w14:textId="0AD2B185" w:rsidR="002E15F5" w:rsidRDefault="004F20D1" w:rsidP="00625CB3">
      <w:r>
        <w:t xml:space="preserve">ACCAN </w:t>
      </w:r>
      <w:r w:rsidR="00CC5247">
        <w:t>considers</w:t>
      </w:r>
      <w:r>
        <w:t xml:space="preserve"> that</w:t>
      </w:r>
      <w:r w:rsidR="00E47FC9">
        <w:t xml:space="preserve"> the</w:t>
      </w:r>
      <w:r w:rsidR="001A7FAF">
        <w:t xml:space="preserve"> TCP Code </w:t>
      </w:r>
      <w:r w:rsidR="00E834BE">
        <w:t>places too much emphasis on the effect of reputation</w:t>
      </w:r>
      <w:r w:rsidR="00066555">
        <w:t>al</w:t>
      </w:r>
      <w:r w:rsidR="00E834BE">
        <w:t xml:space="preserve"> harm to drive industry compliance</w:t>
      </w:r>
      <w:r w:rsidR="00AD062C">
        <w:t xml:space="preserve">. </w:t>
      </w:r>
      <w:r w:rsidR="00481B0D">
        <w:t xml:space="preserve">Further, the reputational harm mechanism assumes that consumers </w:t>
      </w:r>
      <w:proofErr w:type="gramStart"/>
      <w:r w:rsidR="00481B0D">
        <w:t>are able to</w:t>
      </w:r>
      <w:proofErr w:type="gramEnd"/>
      <w:r w:rsidR="00481B0D">
        <w:t xml:space="preserve"> easily switch to alternative providers, which they may not be in a position to do so due to required coverage and cost</w:t>
      </w:r>
      <w:r w:rsidR="00481B0D" w:rsidDel="00370750">
        <w:t>.</w:t>
      </w:r>
    </w:p>
    <w:p w14:paraId="3B08FF34" w14:textId="7AAA8728" w:rsidR="0063545E" w:rsidRDefault="00D16645" w:rsidP="00625CB3">
      <w:r w:rsidRPr="007557BA">
        <w:t>ACCAN notes that we have been repeatedly advised by industry that it both has the ability and incentive to self-regulate and comply with the provisions of the TCP Code.</w:t>
      </w:r>
      <w:r w:rsidR="009B1FAC">
        <w:t xml:space="preserve"> </w:t>
      </w:r>
      <w:r w:rsidR="004B0D71">
        <w:t xml:space="preserve">However, </w:t>
      </w:r>
      <w:r w:rsidR="00E47FC9">
        <w:t xml:space="preserve">ACCAN has observed </w:t>
      </w:r>
      <w:r w:rsidR="00BC2C1D">
        <w:t>limited</w:t>
      </w:r>
      <w:r w:rsidR="00E47FC9">
        <w:t xml:space="preserve"> evidence that reputational </w:t>
      </w:r>
      <w:r w:rsidR="00FB54F7">
        <w:t>damage</w:t>
      </w:r>
      <w:r w:rsidR="00E47FC9">
        <w:t xml:space="preserve"> </w:t>
      </w:r>
      <w:r w:rsidR="00B01033">
        <w:t xml:space="preserve">is </w:t>
      </w:r>
      <w:r w:rsidR="00675791">
        <w:t>encouraging</w:t>
      </w:r>
      <w:r w:rsidR="00B01033">
        <w:t xml:space="preserve"> better </w:t>
      </w:r>
      <w:r w:rsidR="00D77D26">
        <w:t xml:space="preserve">conduct and </w:t>
      </w:r>
      <w:r w:rsidR="00B01033">
        <w:t xml:space="preserve">consumer </w:t>
      </w:r>
      <w:r w:rsidR="00C044E5">
        <w:t>outcomes</w:t>
      </w:r>
      <w:r w:rsidR="00327DF1">
        <w:t>, noting that</w:t>
      </w:r>
      <w:r w:rsidR="00370750">
        <w:t xml:space="preserve"> this mechanism assumes consumer engagement with relatively obscure regulatory statements</w:t>
      </w:r>
      <w:r w:rsidR="00B91EB7">
        <w:t xml:space="preserve"> concerning non-compliance with code provisions</w:t>
      </w:r>
      <w:r w:rsidR="00370750">
        <w:t xml:space="preserve">. </w:t>
      </w:r>
      <w:r w:rsidR="00F22048">
        <w:t>Instead, the general effect of non-compliance has been a general reduction in trust in the sector overall,</w:t>
      </w:r>
      <w:r w:rsidR="00BA6CDC">
        <w:rPr>
          <w:rStyle w:val="FootnoteReference"/>
        </w:rPr>
        <w:footnoteReference w:id="26"/>
      </w:r>
      <w:r w:rsidR="00F22048">
        <w:t xml:space="preserve"> which reduces consumer willingness to spend and overall value for all market participants.</w:t>
      </w:r>
    </w:p>
    <w:p w14:paraId="32C40785" w14:textId="0A9638ED" w:rsidR="00660321" w:rsidRDefault="006F66D6" w:rsidP="008503F8">
      <w:pPr>
        <w:rPr>
          <w:rFonts w:ascii="Calibri" w:eastAsia="Calibri" w:hAnsi="Calibri" w:cs="Times New Roman"/>
          <w:kern w:val="2"/>
          <w:lang w:val="en-US" w:eastAsia="en-US"/>
          <w14:ligatures w14:val="standardContextual"/>
        </w:rPr>
      </w:pPr>
      <w:r>
        <w:t xml:space="preserve">The ACMA cannot adequately enforce the TCP Code due to its limited enforcement powers under the </w:t>
      </w:r>
      <w:r w:rsidR="00697D5C" w:rsidRPr="00BF56F1">
        <w:rPr>
          <w:i/>
        </w:rPr>
        <w:t xml:space="preserve">Telecommunications </w:t>
      </w:r>
      <w:r w:rsidRPr="00BF56F1">
        <w:rPr>
          <w:i/>
        </w:rPr>
        <w:t xml:space="preserve">Act </w:t>
      </w:r>
      <w:r w:rsidR="00697D5C" w:rsidRPr="00BF56F1">
        <w:rPr>
          <w:i/>
        </w:rPr>
        <w:t>1997</w:t>
      </w:r>
      <w:r w:rsidR="00697D5C">
        <w:t xml:space="preserve"> </w:t>
      </w:r>
      <w:r w:rsidR="00F175CB">
        <w:t>(</w:t>
      </w:r>
      <w:proofErr w:type="spellStart"/>
      <w:r w:rsidR="00F175CB">
        <w:t>Cth</w:t>
      </w:r>
      <w:proofErr w:type="spellEnd"/>
      <w:r w:rsidR="00F175CB">
        <w:t xml:space="preserve">) </w:t>
      </w:r>
      <w:r>
        <w:t xml:space="preserve">and the </w:t>
      </w:r>
      <w:r w:rsidRPr="00CB663A">
        <w:rPr>
          <w:i/>
        </w:rPr>
        <w:t>A</w:t>
      </w:r>
      <w:r w:rsidR="00921AA0">
        <w:rPr>
          <w:i/>
        </w:rPr>
        <w:t xml:space="preserve">ustralian Communications and Media Authority </w:t>
      </w:r>
      <w:r w:rsidRPr="00CB663A">
        <w:rPr>
          <w:i/>
        </w:rPr>
        <w:t xml:space="preserve">Act 2005 </w:t>
      </w:r>
      <w:r>
        <w:t>(</w:t>
      </w:r>
      <w:proofErr w:type="spellStart"/>
      <w:r>
        <w:t>Cth</w:t>
      </w:r>
      <w:proofErr w:type="spellEnd"/>
      <w:r>
        <w:t xml:space="preserve">). </w:t>
      </w:r>
      <w:r w:rsidR="006A3EB5">
        <w:rPr>
          <w:rFonts w:ascii="Calibri" w:eastAsia="Calibri" w:hAnsi="Calibri" w:cs="Times New Roman"/>
          <w:kern w:val="2"/>
          <w:lang w:val="en-US" w:eastAsia="en-US"/>
          <w14:ligatures w14:val="standardContextual"/>
        </w:rPr>
        <w:t xml:space="preserve">ACCAN </w:t>
      </w:r>
      <w:r w:rsidR="00CF38C4">
        <w:rPr>
          <w:rFonts w:ascii="Calibri" w:eastAsia="Calibri" w:hAnsi="Calibri" w:cs="Times New Roman"/>
          <w:kern w:val="2"/>
          <w:lang w:val="en-US" w:eastAsia="en-US"/>
          <w14:ligatures w14:val="standardContextual"/>
        </w:rPr>
        <w:t>recommends</w:t>
      </w:r>
      <w:r w:rsidR="006A3EB5">
        <w:rPr>
          <w:rFonts w:ascii="Calibri" w:eastAsia="Calibri" w:hAnsi="Calibri" w:cs="Times New Roman"/>
          <w:kern w:val="2"/>
          <w:lang w:val="en-US" w:eastAsia="en-US"/>
          <w14:ligatures w14:val="standardContextual"/>
        </w:rPr>
        <w:t xml:space="preserve"> enhancing and strengthening the powers of the ACMA to allow them to adequately enforce consumer protections through greater discretion and the ability to impose more significant penalties for breaches of </w:t>
      </w:r>
      <w:r w:rsidR="009B1FAC">
        <w:rPr>
          <w:rFonts w:ascii="Calibri" w:eastAsia="Calibri" w:hAnsi="Calibri" w:cs="Times New Roman"/>
          <w:kern w:val="2"/>
          <w:lang w:val="en-US" w:eastAsia="en-US"/>
          <w14:ligatures w14:val="standardContextual"/>
        </w:rPr>
        <w:t>consumer protections</w:t>
      </w:r>
      <w:r w:rsidR="006A3EB5">
        <w:rPr>
          <w:rFonts w:ascii="Calibri" w:eastAsia="Calibri" w:hAnsi="Calibri" w:cs="Times New Roman"/>
          <w:kern w:val="2"/>
          <w:lang w:val="en-US" w:eastAsia="en-US"/>
          <w14:ligatures w14:val="standardContextual"/>
        </w:rPr>
        <w:t>.</w:t>
      </w:r>
      <w:r w:rsidR="00A433BF">
        <w:rPr>
          <w:rFonts w:ascii="Calibri" w:eastAsia="Calibri" w:hAnsi="Calibri" w:cs="Times New Roman"/>
          <w:kern w:val="2"/>
          <w:lang w:val="en-US" w:eastAsia="en-US"/>
          <w14:ligatures w14:val="standardContextual"/>
        </w:rPr>
        <w:t xml:space="preserve"> To support this recommendation, ACCAN suggests the </w:t>
      </w:r>
      <w:r w:rsidR="00C82472">
        <w:rPr>
          <w:rFonts w:ascii="Calibri" w:eastAsia="Calibri" w:hAnsi="Calibri" w:cs="Times New Roman"/>
          <w:kern w:val="2"/>
          <w:lang w:val="en-US" w:eastAsia="en-US"/>
          <w14:ligatures w14:val="standardContextual"/>
        </w:rPr>
        <w:t xml:space="preserve">Australian Government increase the </w:t>
      </w:r>
      <w:r w:rsidR="00A433BF">
        <w:rPr>
          <w:rFonts w:ascii="Calibri" w:eastAsia="Calibri" w:hAnsi="Calibri" w:cs="Times New Roman"/>
          <w:kern w:val="2"/>
          <w:lang w:val="en-US" w:eastAsia="en-US"/>
          <w14:ligatures w14:val="standardContextual"/>
        </w:rPr>
        <w:t>ACMA</w:t>
      </w:r>
      <w:r w:rsidR="00C82472">
        <w:rPr>
          <w:rFonts w:ascii="Calibri" w:eastAsia="Calibri" w:hAnsi="Calibri" w:cs="Times New Roman"/>
          <w:kern w:val="2"/>
          <w:lang w:val="en-US" w:eastAsia="en-US"/>
          <w14:ligatures w14:val="standardContextual"/>
        </w:rPr>
        <w:t xml:space="preserve">’s funding to </w:t>
      </w:r>
      <w:r w:rsidR="00F454EB">
        <w:rPr>
          <w:rFonts w:ascii="Calibri" w:eastAsia="Calibri" w:hAnsi="Calibri" w:cs="Times New Roman"/>
          <w:kern w:val="2"/>
          <w:lang w:val="en-US" w:eastAsia="en-US"/>
          <w14:ligatures w14:val="standardContextual"/>
        </w:rPr>
        <w:t xml:space="preserve">further support </w:t>
      </w:r>
      <w:r w:rsidR="00B03D32">
        <w:rPr>
          <w:rFonts w:ascii="Calibri" w:eastAsia="Calibri" w:hAnsi="Calibri" w:cs="Times New Roman"/>
          <w:kern w:val="2"/>
          <w:lang w:val="en-US" w:eastAsia="en-US"/>
          <w14:ligatures w14:val="standardContextual"/>
        </w:rPr>
        <w:t>its</w:t>
      </w:r>
      <w:r w:rsidR="00F454EB">
        <w:rPr>
          <w:rFonts w:ascii="Calibri" w:eastAsia="Calibri" w:hAnsi="Calibri" w:cs="Times New Roman"/>
          <w:kern w:val="2"/>
          <w:lang w:val="en-US" w:eastAsia="en-US"/>
          <w14:ligatures w14:val="standardContextual"/>
        </w:rPr>
        <w:t xml:space="preserve"> ability to </w:t>
      </w:r>
      <w:r w:rsidR="00DC26EF">
        <w:rPr>
          <w:rFonts w:ascii="Calibri" w:eastAsia="Calibri" w:hAnsi="Calibri" w:cs="Times New Roman"/>
          <w:kern w:val="2"/>
          <w:lang w:val="en-US" w:eastAsia="en-US"/>
          <w14:ligatures w14:val="standardContextual"/>
        </w:rPr>
        <w:t>investigate and act when a service provider breaks the rules of the TCP Code</w:t>
      </w:r>
      <w:r w:rsidR="009D617B">
        <w:rPr>
          <w:rFonts w:ascii="Calibri" w:eastAsia="Calibri" w:hAnsi="Calibri" w:cs="Times New Roman"/>
          <w:kern w:val="2"/>
          <w:lang w:val="en-US" w:eastAsia="en-US"/>
          <w14:ligatures w14:val="standardContextual"/>
        </w:rPr>
        <w:t xml:space="preserve"> in a timely manner</w:t>
      </w:r>
      <w:r w:rsidR="00DC26EF">
        <w:rPr>
          <w:rFonts w:ascii="Calibri" w:eastAsia="Calibri" w:hAnsi="Calibri" w:cs="Times New Roman"/>
          <w:kern w:val="2"/>
          <w:lang w:val="en-US" w:eastAsia="en-US"/>
          <w14:ligatures w14:val="standardContextual"/>
        </w:rPr>
        <w:t xml:space="preserve">. </w:t>
      </w:r>
    </w:p>
    <w:p w14:paraId="1871EABF" w14:textId="67FA3BCE" w:rsidR="00354158" w:rsidRDefault="00653048" w:rsidP="008503F8">
      <w:pPr>
        <w:rPr>
          <w:lang w:val="en-US" w:eastAsia="en-US"/>
        </w:rPr>
      </w:pPr>
      <w:r w:rsidRPr="00653048">
        <w:rPr>
          <w:rFonts w:ascii="Calibri" w:eastAsia="Calibri" w:hAnsi="Calibri" w:cs="Times New Roman"/>
          <w:kern w:val="2"/>
          <w:lang w:val="en-US" w:eastAsia="en-US"/>
          <w14:ligatures w14:val="standardContextual"/>
        </w:rPr>
        <w:t xml:space="preserve">Currently, the ACMA can only fine </w:t>
      </w:r>
      <w:r w:rsidR="00C60080">
        <w:rPr>
          <w:rFonts w:ascii="Calibri" w:eastAsia="Calibri" w:hAnsi="Calibri" w:cs="Times New Roman"/>
          <w:kern w:val="2"/>
          <w:lang w:val="en-US" w:eastAsia="en-US"/>
          <w14:ligatures w14:val="standardContextual"/>
        </w:rPr>
        <w:t>industry</w:t>
      </w:r>
      <w:r w:rsidRPr="00653048">
        <w:rPr>
          <w:rFonts w:ascii="Calibri" w:eastAsia="Calibri" w:hAnsi="Calibri" w:cs="Times New Roman"/>
          <w:kern w:val="2"/>
          <w:lang w:val="en-US" w:eastAsia="en-US"/>
          <w14:ligatures w14:val="standardContextual"/>
        </w:rPr>
        <w:t xml:space="preserve"> for code violations after a formal warning has been contravened, which means breaches of the TCP Code cannot be dealt with promptly, leading to consumer harm.</w:t>
      </w:r>
      <w:r w:rsidR="00126CBD">
        <w:rPr>
          <w:rStyle w:val="FootnoteReference"/>
          <w:rFonts w:ascii="Calibri" w:eastAsia="Calibri" w:hAnsi="Calibri" w:cs="Times New Roman"/>
          <w:kern w:val="2"/>
          <w:lang w:val="en-US" w:eastAsia="en-US"/>
          <w14:ligatures w14:val="standardContextual"/>
        </w:rPr>
        <w:footnoteReference w:id="27"/>
      </w:r>
      <w:r w:rsidR="008503F8">
        <w:rPr>
          <w:rFonts w:ascii="Calibri" w:eastAsia="Calibri" w:hAnsi="Calibri" w:cs="Times New Roman"/>
          <w:kern w:val="2"/>
          <w:lang w:val="en-US" w:eastAsia="en-US"/>
          <w14:ligatures w14:val="standardContextual"/>
        </w:rPr>
        <w:t xml:space="preserve"> </w:t>
      </w:r>
      <w:r w:rsidR="00365963">
        <w:rPr>
          <w:lang w:val="en-US" w:eastAsia="en-US"/>
        </w:rPr>
        <w:t xml:space="preserve">The inadequate enforcement and voluntary nature of the TCP </w:t>
      </w:r>
      <w:r w:rsidR="00354158">
        <w:rPr>
          <w:lang w:val="en-US" w:eastAsia="en-US"/>
        </w:rPr>
        <w:t>C</w:t>
      </w:r>
      <w:r w:rsidR="00365963">
        <w:rPr>
          <w:lang w:val="en-US" w:eastAsia="en-US"/>
        </w:rPr>
        <w:t>ode directly leads to poor outcomes for consumers.</w:t>
      </w:r>
      <w:r w:rsidR="007E212E">
        <w:rPr>
          <w:lang w:val="en-US" w:eastAsia="en-US"/>
        </w:rPr>
        <w:t xml:space="preserve"> </w:t>
      </w:r>
    </w:p>
    <w:p w14:paraId="311AE4CF" w14:textId="2B4DA8E1" w:rsidR="008503F8" w:rsidRDefault="008503F8" w:rsidP="008503F8">
      <w:pPr>
        <w:rPr>
          <w:lang w:val="en-US" w:eastAsia="en-US"/>
        </w:rPr>
      </w:pPr>
      <w:r>
        <w:rPr>
          <w:lang w:val="en-US" w:eastAsia="en-US"/>
        </w:rPr>
        <w:t xml:space="preserve">Furthermore, ACCAN has previously noted </w:t>
      </w:r>
      <w:r w:rsidR="005660AB">
        <w:rPr>
          <w:lang w:val="en-US" w:eastAsia="en-US"/>
        </w:rPr>
        <w:t xml:space="preserve">that the TCP Code </w:t>
      </w:r>
      <w:r w:rsidR="00EF3630">
        <w:rPr>
          <w:lang w:val="en-US" w:eastAsia="en-US"/>
        </w:rPr>
        <w:t xml:space="preserve">is inadequately implemented </w:t>
      </w:r>
      <w:r w:rsidR="002E4978">
        <w:rPr>
          <w:lang w:val="en-US" w:eastAsia="en-US"/>
        </w:rPr>
        <w:t>in the areas of:</w:t>
      </w:r>
    </w:p>
    <w:p w14:paraId="5F631E9A" w14:textId="46827599" w:rsidR="001C5112" w:rsidRPr="001C5112" w:rsidRDefault="004C64D7" w:rsidP="00CB663A">
      <w:pPr>
        <w:pStyle w:val="Bulletlist1"/>
        <w:rPr>
          <w:lang w:val="en-US" w:eastAsia="en-US"/>
        </w:rPr>
      </w:pPr>
      <w:r>
        <w:rPr>
          <w:lang w:val="en-US" w:eastAsia="en-US"/>
        </w:rPr>
        <w:t xml:space="preserve">Providing </w:t>
      </w:r>
      <w:r w:rsidR="001C5112" w:rsidRPr="001C5112">
        <w:rPr>
          <w:lang w:val="en-US" w:eastAsia="en-US"/>
        </w:rPr>
        <w:t xml:space="preserve">adequate protection </w:t>
      </w:r>
      <w:r w:rsidRPr="001C5112">
        <w:rPr>
          <w:lang w:val="en-US" w:eastAsia="en-US"/>
        </w:rPr>
        <w:t>for</w:t>
      </w:r>
      <w:r w:rsidR="001C5112" w:rsidRPr="001C5112">
        <w:rPr>
          <w:lang w:val="en-US" w:eastAsia="en-US"/>
        </w:rPr>
        <w:t xml:space="preserve"> small businesses</w:t>
      </w:r>
      <w:r w:rsidR="001C5112">
        <w:rPr>
          <w:lang w:val="en-US" w:eastAsia="en-US"/>
        </w:rPr>
        <w:t>.</w:t>
      </w:r>
    </w:p>
    <w:p w14:paraId="7899E7DD" w14:textId="132C947D" w:rsidR="001C5112" w:rsidRPr="001C5112" w:rsidRDefault="001C5112" w:rsidP="00CB663A">
      <w:pPr>
        <w:pStyle w:val="Bulletlist1"/>
        <w:rPr>
          <w:lang w:val="en-US" w:eastAsia="en-US"/>
        </w:rPr>
      </w:pPr>
      <w:r w:rsidRPr="001C5112">
        <w:rPr>
          <w:lang w:val="en-US" w:eastAsia="en-US"/>
        </w:rPr>
        <w:t>Billing</w:t>
      </w:r>
      <w:r>
        <w:rPr>
          <w:lang w:val="en-US" w:eastAsia="en-US"/>
        </w:rPr>
        <w:t>.</w:t>
      </w:r>
    </w:p>
    <w:p w14:paraId="4360F508" w14:textId="70473892" w:rsidR="001C5112" w:rsidRPr="001C5112" w:rsidRDefault="001C5112" w:rsidP="00CB663A">
      <w:pPr>
        <w:pStyle w:val="Bulletlist1"/>
        <w:rPr>
          <w:lang w:val="en-US" w:eastAsia="en-US"/>
        </w:rPr>
      </w:pPr>
      <w:r w:rsidRPr="001C5112">
        <w:rPr>
          <w:lang w:val="en-US" w:eastAsia="en-US"/>
        </w:rPr>
        <w:t>Customer service</w:t>
      </w:r>
      <w:r>
        <w:rPr>
          <w:lang w:val="en-US" w:eastAsia="en-US"/>
        </w:rPr>
        <w:t>.</w:t>
      </w:r>
    </w:p>
    <w:p w14:paraId="79A51589" w14:textId="77F1C8DE" w:rsidR="001C5112" w:rsidRPr="001C5112" w:rsidRDefault="001C5112" w:rsidP="00CB663A">
      <w:pPr>
        <w:pStyle w:val="Bulletlist1"/>
        <w:rPr>
          <w:lang w:val="en-US" w:eastAsia="en-US"/>
        </w:rPr>
      </w:pPr>
      <w:r w:rsidRPr="001C5112">
        <w:rPr>
          <w:lang w:val="en-US" w:eastAsia="en-US"/>
        </w:rPr>
        <w:t>Customer access to records</w:t>
      </w:r>
      <w:r>
        <w:rPr>
          <w:lang w:val="en-US" w:eastAsia="en-US"/>
        </w:rPr>
        <w:t>.</w:t>
      </w:r>
    </w:p>
    <w:p w14:paraId="4D381C9C" w14:textId="176418B1" w:rsidR="001C5112" w:rsidRPr="001C5112" w:rsidRDefault="001C5112" w:rsidP="00CB663A">
      <w:pPr>
        <w:pStyle w:val="Bulletlist1"/>
        <w:rPr>
          <w:lang w:val="en-US" w:eastAsia="en-US"/>
        </w:rPr>
      </w:pPr>
      <w:r w:rsidRPr="001C5112">
        <w:rPr>
          <w:lang w:val="en-US" w:eastAsia="en-US"/>
        </w:rPr>
        <w:t>Selling practices</w:t>
      </w:r>
      <w:r>
        <w:rPr>
          <w:lang w:val="en-US" w:eastAsia="en-US"/>
        </w:rPr>
        <w:t>.</w:t>
      </w:r>
    </w:p>
    <w:p w14:paraId="7CAE5F9D" w14:textId="48FBB889" w:rsidR="001C5112" w:rsidRPr="001C5112" w:rsidRDefault="001C5112" w:rsidP="00CB663A">
      <w:pPr>
        <w:pStyle w:val="Bulletlist1"/>
        <w:rPr>
          <w:lang w:val="en-US" w:eastAsia="en-US"/>
        </w:rPr>
      </w:pPr>
      <w:r w:rsidRPr="001C5112">
        <w:rPr>
          <w:lang w:val="en-US" w:eastAsia="en-US"/>
        </w:rPr>
        <w:t>Credit assessment</w:t>
      </w:r>
      <w:r>
        <w:rPr>
          <w:lang w:val="en-US" w:eastAsia="en-US"/>
        </w:rPr>
        <w:t>.</w:t>
      </w:r>
    </w:p>
    <w:p w14:paraId="48970D29" w14:textId="56C8D0B2" w:rsidR="001C5112" w:rsidRPr="001C5112" w:rsidRDefault="001C5112" w:rsidP="00CB663A">
      <w:pPr>
        <w:pStyle w:val="Bulletlist1"/>
        <w:rPr>
          <w:lang w:val="en-US" w:eastAsia="en-US"/>
        </w:rPr>
      </w:pPr>
      <w:r w:rsidRPr="001C5112">
        <w:rPr>
          <w:lang w:val="en-US" w:eastAsia="en-US"/>
        </w:rPr>
        <w:t>Financial hardship</w:t>
      </w:r>
      <w:r>
        <w:rPr>
          <w:lang w:val="en-US" w:eastAsia="en-US"/>
        </w:rPr>
        <w:t>.</w:t>
      </w:r>
    </w:p>
    <w:p w14:paraId="7DBA00E2" w14:textId="75BDD67A" w:rsidR="002E4978" w:rsidRPr="001C5112" w:rsidRDefault="001C5112" w:rsidP="00CB663A">
      <w:pPr>
        <w:pStyle w:val="Bulletlist1"/>
        <w:rPr>
          <w:lang w:val="en-US" w:eastAsia="en-US"/>
        </w:rPr>
      </w:pPr>
      <w:r w:rsidRPr="001C5112">
        <w:rPr>
          <w:lang w:val="en-US" w:eastAsia="en-US"/>
        </w:rPr>
        <w:t>Accessibility.</w:t>
      </w:r>
      <w:r w:rsidR="00CE1DCD">
        <w:rPr>
          <w:rStyle w:val="FootnoteReference"/>
          <w:lang w:val="en-US" w:eastAsia="en-US"/>
        </w:rPr>
        <w:footnoteReference w:id="28"/>
      </w:r>
    </w:p>
    <w:p w14:paraId="23F57B8C" w14:textId="46C2D4F2" w:rsidR="001774CB" w:rsidRDefault="00553A6E" w:rsidP="00BB29EF">
      <w:pPr>
        <w:spacing w:after="160" w:line="259" w:lineRule="auto"/>
        <w:rPr>
          <w:lang w:val="en-US" w:eastAsia="en-US"/>
        </w:rPr>
      </w:pPr>
      <w:r>
        <w:rPr>
          <w:lang w:val="en-US" w:eastAsia="en-US"/>
        </w:rPr>
        <w:t xml:space="preserve">Finally, ACCAN questions whether </w:t>
      </w:r>
      <w:r w:rsidR="00923B64">
        <w:rPr>
          <w:lang w:val="en-US" w:eastAsia="en-US"/>
        </w:rPr>
        <w:t xml:space="preserve">an industry code remains the best avenue for safeguarding consumers considering the TCP Code’s voluntary nature </w:t>
      </w:r>
      <w:r w:rsidR="00477926">
        <w:rPr>
          <w:lang w:val="en-US" w:eastAsia="en-US"/>
        </w:rPr>
        <w:t xml:space="preserve">and inadequate implementation in numerous areas. </w:t>
      </w:r>
    </w:p>
    <w:p w14:paraId="1B1CCC96" w14:textId="614F46B6" w:rsidR="008D6772" w:rsidRDefault="008D6772" w:rsidP="008D6772">
      <w:pPr>
        <w:pStyle w:val="Heading1"/>
        <w:rPr>
          <w:lang w:val="en-US" w:eastAsia="en-US"/>
        </w:rPr>
      </w:pPr>
      <w:r w:rsidRPr="003573DB">
        <w:rPr>
          <w:lang w:val="en-US" w:eastAsia="en-US"/>
        </w:rPr>
        <w:t xml:space="preserve">Response to question </w:t>
      </w:r>
      <w:r w:rsidR="00CA638E">
        <w:rPr>
          <w:lang w:val="en-US" w:eastAsia="en-US"/>
        </w:rPr>
        <w:t>5</w:t>
      </w:r>
    </w:p>
    <w:p w14:paraId="4D102321" w14:textId="5BEC553E" w:rsidR="000E32F3" w:rsidRPr="00D11C2A" w:rsidRDefault="000E32F3" w:rsidP="000E32F3">
      <w:pPr>
        <w:spacing w:after="160" w:line="259" w:lineRule="auto"/>
        <w:rPr>
          <w:rFonts w:ascii="Calibri" w:eastAsia="Calibri" w:hAnsi="Calibri" w:cs="Times New Roman"/>
          <w:b/>
          <w:bCs/>
          <w:kern w:val="2"/>
          <w:lang w:val="en-US" w:eastAsia="en-US"/>
          <w14:ligatures w14:val="standardContextual"/>
        </w:rPr>
      </w:pPr>
      <w:r w:rsidRPr="00D11C2A">
        <w:rPr>
          <w:rFonts w:ascii="Calibri" w:eastAsia="Calibri" w:hAnsi="Calibri" w:cs="Times New Roman"/>
          <w:b/>
          <w:bCs/>
          <w:kern w:val="2"/>
          <w:lang w:val="en-US" w:eastAsia="en-US"/>
          <w14:ligatures w14:val="standardContextual"/>
        </w:rPr>
        <w:t xml:space="preserve">Question 5: </w:t>
      </w:r>
      <w:r w:rsidRPr="000E32F3">
        <w:rPr>
          <w:rFonts w:ascii="Calibri" w:eastAsia="Calibri" w:hAnsi="Calibri" w:cs="Times New Roman"/>
          <w:b/>
          <w:bCs/>
          <w:kern w:val="2"/>
          <w:lang w:val="en-US" w:eastAsia="en-US"/>
          <w14:ligatures w14:val="standardContextual"/>
        </w:rPr>
        <w:t xml:space="preserve">Please identify any sections of the Code (or concepts within it) that you believe are no longer necessary and should be removed. This might include, for example, sections that duplicate legislation/regulation, or rules that are out of date and no longer required. </w:t>
      </w:r>
    </w:p>
    <w:p w14:paraId="21416D23" w14:textId="0488F9A7" w:rsidR="00076A49" w:rsidRDefault="00C1564F" w:rsidP="00CB663A">
      <w:pPr>
        <w:rPr>
          <w:rFonts w:ascii="Calibri" w:eastAsia="Calibri" w:hAnsi="Calibri" w:cs="Times New Roman"/>
          <w:kern w:val="2"/>
          <w:lang w:val="en-US" w:eastAsia="en-US"/>
          <w14:ligatures w14:val="standardContextual"/>
        </w:rPr>
      </w:pPr>
      <w:r>
        <w:rPr>
          <w:rFonts w:ascii="Calibri" w:eastAsia="Calibri" w:hAnsi="Calibri" w:cs="Times New Roman"/>
          <w:kern w:val="2"/>
          <w:lang w:val="en-US" w:eastAsia="en-US"/>
          <w14:ligatures w14:val="standardContextual"/>
        </w:rPr>
        <w:t xml:space="preserve">Feedback from </w:t>
      </w:r>
      <w:r w:rsidR="001A386D" w:rsidRPr="001A386D">
        <w:rPr>
          <w:rFonts w:ascii="Calibri" w:eastAsia="Calibri" w:hAnsi="Calibri" w:cs="Times New Roman"/>
          <w:kern w:val="2"/>
          <w:lang w:val="en-US" w:eastAsia="en-US"/>
          <w14:ligatures w14:val="standardContextual"/>
        </w:rPr>
        <w:t>ACCAN</w:t>
      </w:r>
      <w:r w:rsidR="00FE6A78">
        <w:rPr>
          <w:rFonts w:ascii="Calibri" w:eastAsia="Calibri" w:hAnsi="Calibri" w:cs="Times New Roman"/>
          <w:kern w:val="2"/>
          <w:lang w:val="en-US" w:eastAsia="en-US"/>
          <w14:ligatures w14:val="standardContextual"/>
        </w:rPr>
        <w:t>’</w:t>
      </w:r>
      <w:r w:rsidR="001A386D" w:rsidRPr="001A386D">
        <w:rPr>
          <w:rFonts w:ascii="Calibri" w:eastAsia="Calibri" w:hAnsi="Calibri" w:cs="Times New Roman"/>
          <w:kern w:val="2"/>
          <w:lang w:val="en-US" w:eastAsia="en-US"/>
          <w14:ligatures w14:val="standardContextual"/>
        </w:rPr>
        <w:t xml:space="preserve">s </w:t>
      </w:r>
      <w:r>
        <w:rPr>
          <w:rFonts w:ascii="Calibri" w:eastAsia="Calibri" w:hAnsi="Calibri" w:cs="Times New Roman"/>
          <w:kern w:val="2"/>
          <w:lang w:val="en-US" w:eastAsia="en-US"/>
          <w14:ligatures w14:val="standardContextual"/>
        </w:rPr>
        <w:t xml:space="preserve">members and </w:t>
      </w:r>
      <w:r w:rsidR="001A386D" w:rsidRPr="001A386D">
        <w:rPr>
          <w:rFonts w:ascii="Calibri" w:eastAsia="Calibri" w:hAnsi="Calibri" w:cs="Times New Roman"/>
          <w:kern w:val="2"/>
          <w:lang w:val="en-US" w:eastAsia="en-US"/>
          <w14:ligatures w14:val="standardContextual"/>
        </w:rPr>
        <w:t>stakeholders ha</w:t>
      </w:r>
      <w:r>
        <w:rPr>
          <w:rFonts w:ascii="Calibri" w:eastAsia="Calibri" w:hAnsi="Calibri" w:cs="Times New Roman"/>
          <w:kern w:val="2"/>
          <w:lang w:val="en-US" w:eastAsia="en-US"/>
          <w14:ligatures w14:val="standardContextual"/>
        </w:rPr>
        <w:t>s</w:t>
      </w:r>
      <w:r w:rsidR="001A386D" w:rsidRPr="001A386D">
        <w:rPr>
          <w:rFonts w:ascii="Calibri" w:eastAsia="Calibri" w:hAnsi="Calibri" w:cs="Times New Roman"/>
          <w:kern w:val="2"/>
          <w:lang w:val="en-US" w:eastAsia="en-US"/>
          <w14:ligatures w14:val="standardContextual"/>
        </w:rPr>
        <w:t xml:space="preserve"> </w:t>
      </w:r>
      <w:r w:rsidR="00B36E4E">
        <w:rPr>
          <w:rFonts w:ascii="Calibri" w:eastAsia="Calibri" w:hAnsi="Calibri" w:cs="Times New Roman"/>
          <w:kern w:val="2"/>
          <w:lang w:val="en-US" w:eastAsia="en-US"/>
          <w14:ligatures w14:val="standardContextual"/>
        </w:rPr>
        <w:t xml:space="preserve">identified </w:t>
      </w:r>
      <w:r w:rsidR="001A386D" w:rsidRPr="001A386D">
        <w:rPr>
          <w:rFonts w:ascii="Calibri" w:eastAsia="Calibri" w:hAnsi="Calibri" w:cs="Times New Roman"/>
          <w:kern w:val="2"/>
          <w:lang w:val="en-US" w:eastAsia="en-US"/>
          <w14:ligatures w14:val="standardContextual"/>
        </w:rPr>
        <w:t>that critical consumer protections relate</w:t>
      </w:r>
      <w:r w:rsidR="00045937">
        <w:rPr>
          <w:rFonts w:ascii="Calibri" w:eastAsia="Calibri" w:hAnsi="Calibri" w:cs="Times New Roman"/>
          <w:kern w:val="2"/>
          <w:lang w:val="en-US" w:eastAsia="en-US"/>
          <w14:ligatures w14:val="standardContextual"/>
        </w:rPr>
        <w:t>d</w:t>
      </w:r>
      <w:r w:rsidR="001A386D" w:rsidRPr="001A386D">
        <w:rPr>
          <w:rFonts w:ascii="Calibri" w:eastAsia="Calibri" w:hAnsi="Calibri" w:cs="Times New Roman"/>
          <w:kern w:val="2"/>
          <w:lang w:val="en-US" w:eastAsia="en-US"/>
          <w14:ligatures w14:val="standardContextual"/>
        </w:rPr>
        <w:t xml:space="preserve"> to</w:t>
      </w:r>
      <w:r w:rsidR="00045937">
        <w:rPr>
          <w:rFonts w:ascii="Calibri" w:eastAsia="Calibri" w:hAnsi="Calibri" w:cs="Times New Roman"/>
          <w:kern w:val="2"/>
          <w:lang w:val="en-US" w:eastAsia="en-US"/>
          <w14:ligatures w14:val="standardContextual"/>
        </w:rPr>
        <w:t xml:space="preserve"> communications consumers</w:t>
      </w:r>
      <w:r w:rsidR="00FE6A78">
        <w:rPr>
          <w:rFonts w:ascii="Calibri" w:eastAsia="Calibri" w:hAnsi="Calibri" w:cs="Times New Roman"/>
          <w:kern w:val="2"/>
          <w:lang w:val="en-US" w:eastAsia="en-US"/>
          <w14:ligatures w14:val="standardContextual"/>
        </w:rPr>
        <w:t>’</w:t>
      </w:r>
      <w:r w:rsidR="001A386D" w:rsidRPr="001A386D">
        <w:rPr>
          <w:rFonts w:ascii="Calibri" w:eastAsia="Calibri" w:hAnsi="Calibri" w:cs="Times New Roman"/>
          <w:kern w:val="2"/>
          <w:lang w:val="en-US" w:eastAsia="en-US"/>
          <w14:ligatures w14:val="standardContextual"/>
        </w:rPr>
        <w:t xml:space="preserve"> financial and physical wellbeing should</w:t>
      </w:r>
      <w:r w:rsidR="003A2E6C">
        <w:rPr>
          <w:rFonts w:ascii="Calibri" w:eastAsia="Calibri" w:hAnsi="Calibri" w:cs="Times New Roman"/>
          <w:kern w:val="2"/>
          <w:lang w:val="en-US" w:eastAsia="en-US"/>
          <w14:ligatures w14:val="standardContextual"/>
        </w:rPr>
        <w:t xml:space="preserve"> be </w:t>
      </w:r>
      <w:r w:rsidR="009871D9">
        <w:rPr>
          <w:rFonts w:ascii="Calibri" w:eastAsia="Calibri" w:hAnsi="Calibri" w:cs="Times New Roman"/>
          <w:kern w:val="2"/>
          <w:lang w:val="en-US" w:eastAsia="en-US"/>
          <w14:ligatures w14:val="standardContextual"/>
        </w:rPr>
        <w:t>covered by direct regulation</w:t>
      </w:r>
      <w:r w:rsidR="007477A2">
        <w:rPr>
          <w:rFonts w:ascii="Calibri" w:eastAsia="Calibri" w:hAnsi="Calibri" w:cs="Times New Roman"/>
          <w:kern w:val="2"/>
          <w:lang w:val="en-US" w:eastAsia="en-US"/>
          <w14:ligatures w14:val="standardContextual"/>
        </w:rPr>
        <w:t xml:space="preserve">. </w:t>
      </w:r>
      <w:r w:rsidR="00B36E4E" w:rsidRPr="006D22ED">
        <w:rPr>
          <w:rFonts w:ascii="Calibri" w:eastAsia="Calibri" w:hAnsi="Calibri" w:cs="Times New Roman"/>
          <w:kern w:val="2"/>
          <w:lang w:val="en-US" w:eastAsia="en-US"/>
          <w14:ligatures w14:val="standardContextual"/>
        </w:rPr>
        <w:t>It is counterintuitive for a</w:t>
      </w:r>
      <w:r w:rsidR="008C4129">
        <w:rPr>
          <w:rFonts w:ascii="Calibri" w:eastAsia="Calibri" w:hAnsi="Calibri" w:cs="Times New Roman"/>
          <w:kern w:val="2"/>
          <w:lang w:val="en-US" w:eastAsia="en-US"/>
          <w14:ligatures w14:val="standardContextual"/>
        </w:rPr>
        <w:t xml:space="preserve"> voluntary </w:t>
      </w:r>
      <w:r w:rsidR="00B36E4E" w:rsidRPr="006D22ED">
        <w:rPr>
          <w:rFonts w:ascii="Calibri" w:eastAsia="Calibri" w:hAnsi="Calibri" w:cs="Times New Roman"/>
          <w:kern w:val="2"/>
          <w:lang w:val="en-US" w:eastAsia="en-US"/>
          <w14:ligatures w14:val="standardContextual"/>
        </w:rPr>
        <w:t>industry</w:t>
      </w:r>
      <w:r w:rsidR="00646EF8">
        <w:rPr>
          <w:rFonts w:ascii="Calibri" w:eastAsia="Calibri" w:hAnsi="Calibri" w:cs="Times New Roman"/>
          <w:kern w:val="2"/>
          <w:lang w:val="en-US" w:eastAsia="en-US"/>
          <w14:ligatures w14:val="standardContextual"/>
        </w:rPr>
        <w:t>-</w:t>
      </w:r>
      <w:r w:rsidR="00B36E4E" w:rsidRPr="006D22ED">
        <w:rPr>
          <w:rFonts w:ascii="Calibri" w:eastAsia="Calibri" w:hAnsi="Calibri" w:cs="Times New Roman"/>
          <w:kern w:val="2"/>
          <w:lang w:val="en-US" w:eastAsia="en-US"/>
          <w14:ligatures w14:val="standardContextual"/>
        </w:rPr>
        <w:t>drafted code to be relied upon to provide adequate consumer protections</w:t>
      </w:r>
      <w:r w:rsidR="00B36E4E">
        <w:rPr>
          <w:rFonts w:ascii="Calibri" w:eastAsia="Calibri" w:hAnsi="Calibri" w:cs="Times New Roman"/>
          <w:kern w:val="2"/>
          <w:lang w:val="en-US" w:eastAsia="en-US"/>
          <w14:ligatures w14:val="standardContextual"/>
        </w:rPr>
        <w:t xml:space="preserve"> for critical public safety issues</w:t>
      </w:r>
      <w:r w:rsidR="00B36E4E" w:rsidRPr="006D22ED">
        <w:rPr>
          <w:rFonts w:ascii="Calibri" w:eastAsia="Calibri" w:hAnsi="Calibri" w:cs="Times New Roman"/>
          <w:kern w:val="2"/>
          <w:lang w:val="en-US" w:eastAsia="en-US"/>
          <w14:ligatures w14:val="standardContextual"/>
        </w:rPr>
        <w:t xml:space="preserve">. </w:t>
      </w:r>
    </w:p>
    <w:p w14:paraId="382B5B0B" w14:textId="26FD36B0" w:rsidR="001A386D" w:rsidRDefault="001A386D" w:rsidP="001A386D">
      <w:pPr>
        <w:pStyle w:val="Heading1"/>
        <w:rPr>
          <w:lang w:val="en-US" w:eastAsia="en-US"/>
        </w:rPr>
      </w:pPr>
      <w:r w:rsidRPr="003573DB">
        <w:rPr>
          <w:lang w:val="en-US" w:eastAsia="en-US"/>
        </w:rPr>
        <w:t xml:space="preserve">Response to question </w:t>
      </w:r>
      <w:r>
        <w:rPr>
          <w:lang w:val="en-US" w:eastAsia="en-US"/>
        </w:rPr>
        <w:t>6</w:t>
      </w:r>
    </w:p>
    <w:p w14:paraId="2009DBF0" w14:textId="783A8194" w:rsidR="001A386D" w:rsidRDefault="004C7B95" w:rsidP="004C7B95">
      <w:pPr>
        <w:rPr>
          <w:b/>
          <w:bCs/>
          <w:lang w:val="en-US" w:eastAsia="en-US"/>
        </w:rPr>
      </w:pPr>
      <w:r w:rsidRPr="00D11C2A">
        <w:rPr>
          <w:b/>
          <w:bCs/>
          <w:lang w:val="en-US" w:eastAsia="en-US"/>
        </w:rPr>
        <w:t xml:space="preserve">Question 6: Are there any new consumer protection issues (not currently covered in the Code*) that you think need to be included? Please provide details. As noted earlier, these should be matters relating to direct interactions between service providers and consumers and should not cover issues already dealt with by other regulatory, </w:t>
      </w:r>
      <w:proofErr w:type="gramStart"/>
      <w:r w:rsidRPr="00D11C2A">
        <w:rPr>
          <w:b/>
          <w:bCs/>
          <w:lang w:val="en-US" w:eastAsia="en-US"/>
        </w:rPr>
        <w:t>legislative</w:t>
      </w:r>
      <w:proofErr w:type="gramEnd"/>
      <w:r w:rsidRPr="00D11C2A">
        <w:rPr>
          <w:b/>
          <w:bCs/>
          <w:lang w:val="en-US" w:eastAsia="en-US"/>
        </w:rPr>
        <w:t xml:space="preserve"> or co-regulatory instruments.</w:t>
      </w:r>
    </w:p>
    <w:p w14:paraId="134DF5AF" w14:textId="55EA3A3E" w:rsidR="007A7FE3" w:rsidRDefault="00BE1E1B" w:rsidP="00AE1748">
      <w:pPr>
        <w:rPr>
          <w:lang w:val="en-US" w:eastAsia="en-US"/>
        </w:rPr>
      </w:pPr>
      <w:r>
        <w:rPr>
          <w:lang w:val="en-US" w:eastAsia="en-US"/>
        </w:rPr>
        <w:t>DFV is a key consumer protection issue</w:t>
      </w:r>
      <w:r w:rsidR="004451AD">
        <w:rPr>
          <w:lang w:val="en-US" w:eastAsia="en-US"/>
        </w:rPr>
        <w:t xml:space="preserve"> that requires direct regulation.</w:t>
      </w:r>
    </w:p>
    <w:p w14:paraId="1813780B" w14:textId="51419C77" w:rsidR="00E20404" w:rsidRDefault="00AE1748" w:rsidP="00AB3E58">
      <w:pPr>
        <w:spacing w:after="160" w:line="259" w:lineRule="auto"/>
        <w:rPr>
          <w:lang w:val="en-US" w:eastAsia="en-US"/>
        </w:rPr>
      </w:pPr>
      <w:r>
        <w:rPr>
          <w:lang w:val="en-US" w:eastAsia="en-US"/>
        </w:rPr>
        <w:t>Direct regulation</w:t>
      </w:r>
      <w:r w:rsidRPr="006B3915">
        <w:rPr>
          <w:lang w:val="en-US" w:eastAsia="en-US"/>
        </w:rPr>
        <w:t xml:space="preserve"> would help victim-survivors of DFV to protect their personal and financial safety, to re-establish their lives, and to maintain contact with friends, family, and support services. </w:t>
      </w:r>
      <w:r w:rsidR="00947FD7">
        <w:t>C</w:t>
      </w:r>
      <w:r w:rsidR="00C96135">
        <w:t>ommunications are a vital service for victim-survivors of DFV, who often need assistance from their provider to retain a safe and affordable service. In contrast, communication services can also be used to facilitate DFV, which can lead to considerable consumer detriment.</w:t>
      </w:r>
      <w:r w:rsidR="002E4757">
        <w:rPr>
          <w:lang w:val="en-US" w:eastAsia="en-US"/>
        </w:rPr>
        <w:t xml:space="preserve"> </w:t>
      </w:r>
    </w:p>
    <w:p w14:paraId="1E0A3ECF" w14:textId="25D7CC19" w:rsidR="00A80803" w:rsidRDefault="00A80803" w:rsidP="00A80803">
      <w:r w:rsidRPr="00815487">
        <w:t>In Australia, DFV is a pervasive social problem</w:t>
      </w:r>
      <w:r>
        <w:t>,</w:t>
      </w:r>
      <w:r w:rsidRPr="00815487">
        <w:t xml:space="preserve"> </w:t>
      </w:r>
      <w:r>
        <w:t>with 27% (2.7 million) of women and 12% (1.1 million) of men experiencing violence by an intimate partner or family member since age 15.</w:t>
      </w:r>
      <w:r>
        <w:rPr>
          <w:rStyle w:val="FootnoteReference"/>
        </w:rPr>
        <w:footnoteReference w:id="29"/>
      </w:r>
      <w:r>
        <w:t xml:space="preserve"> T</w:t>
      </w:r>
      <w:r w:rsidRPr="00815487">
        <w:t>echnology-facilitated abuse is estimated to involve 8% to 48% of all DFV cases, with 27% of children in Australia experiencing technology-facilitated DFV.</w:t>
      </w:r>
      <w:r w:rsidRPr="00815487">
        <w:rPr>
          <w:rStyle w:val="FootnoteReference"/>
        </w:rPr>
        <w:footnoteReference w:id="30"/>
      </w:r>
      <w:r>
        <w:t xml:space="preserve"> The cost of DFV to the Australian economy is approximately $26 billion annually.</w:t>
      </w:r>
      <w:r w:rsidRPr="00815487">
        <w:rPr>
          <w:rStyle w:val="FootnoteReference"/>
        </w:rPr>
        <w:footnoteReference w:id="31"/>
      </w:r>
    </w:p>
    <w:p w14:paraId="0A184965" w14:textId="77777777" w:rsidR="00A80803" w:rsidRDefault="00A80803" w:rsidP="00A80803">
      <w:r>
        <w:t xml:space="preserve">DFV poses </w:t>
      </w:r>
      <w:r w:rsidRPr="00C91C21">
        <w:t>material risk</w:t>
      </w:r>
      <w:r>
        <w:t>s</w:t>
      </w:r>
      <w:r w:rsidRPr="00C91C21">
        <w:t xml:space="preserve"> to public safety. It intersects with various topics, such as financial hardship, economic abuse, compromised security and privacy, and vulnerable populations.</w:t>
      </w:r>
      <w:r w:rsidRPr="00815487">
        <w:rPr>
          <w:rStyle w:val="FootnoteReference"/>
        </w:rPr>
        <w:footnoteReference w:id="32"/>
      </w:r>
      <w:r w:rsidRPr="00C91C21">
        <w:t xml:space="preserve"> ACCAN</w:t>
      </w:r>
      <w:r>
        <w:t>’</w:t>
      </w:r>
      <w:r w:rsidRPr="00C91C21">
        <w:t xml:space="preserve">s stakeholders have </w:t>
      </w:r>
      <w:r>
        <w:t>consistently provided concerning reports regarding the experiences of communications consumers affected by DFV.</w:t>
      </w:r>
      <w:r w:rsidRPr="008634D1">
        <w:t xml:space="preserve"> Consumer</w:t>
      </w:r>
      <w:r>
        <w:t>’</w:t>
      </w:r>
      <w:r w:rsidRPr="008634D1">
        <w:t>s rights and interests need to be safeguarded by adequate protections for those affected by DFV</w:t>
      </w:r>
      <w:r>
        <w:t xml:space="preserve"> and appropriate responses when they need assistance</w:t>
      </w:r>
      <w:r w:rsidRPr="008634D1">
        <w:t>.</w:t>
      </w:r>
    </w:p>
    <w:p w14:paraId="393F6734" w14:textId="530709EA" w:rsidR="003D4B57" w:rsidRDefault="00D67899" w:rsidP="00DE62C8">
      <w:pPr>
        <w:spacing w:after="160" w:line="259" w:lineRule="auto"/>
        <w:rPr>
          <w:lang w:val="en-US" w:eastAsia="en-US"/>
        </w:rPr>
      </w:pPr>
      <w:r>
        <w:rPr>
          <w:lang w:val="en-US" w:eastAsia="en-US"/>
        </w:rPr>
        <w:t>Direct regulation</w:t>
      </w:r>
      <w:r w:rsidRPr="006B3915">
        <w:rPr>
          <w:lang w:val="en-US" w:eastAsia="en-US"/>
        </w:rPr>
        <w:t xml:space="preserve"> for protecting consumers experiencing DFV would leverage the expanded investment in DFV responses as part of the </w:t>
      </w:r>
      <w:r w:rsidRPr="005271FB">
        <w:rPr>
          <w:i/>
          <w:iCs/>
          <w:lang w:val="en-US" w:eastAsia="en-US"/>
        </w:rPr>
        <w:t>National Plan to End Violence Against Women and Children 2022-2032</w:t>
      </w:r>
      <w:r w:rsidRPr="006B3915">
        <w:rPr>
          <w:lang w:val="en-US" w:eastAsia="en-US"/>
        </w:rPr>
        <w:t xml:space="preserve"> by extending benefits to consumers of communication services and reducing technology-facilitated abuse.</w:t>
      </w:r>
    </w:p>
    <w:p w14:paraId="155FE4DA" w14:textId="09E2AA3E" w:rsidR="008D6772" w:rsidRDefault="001A386D" w:rsidP="001A386D">
      <w:pPr>
        <w:pStyle w:val="Heading1"/>
        <w:rPr>
          <w:lang w:val="en-US" w:eastAsia="en-US"/>
        </w:rPr>
      </w:pPr>
      <w:r w:rsidRPr="003573DB">
        <w:rPr>
          <w:lang w:val="en-US" w:eastAsia="en-US"/>
        </w:rPr>
        <w:t xml:space="preserve">Response to question </w:t>
      </w:r>
      <w:r w:rsidR="0061179F">
        <w:rPr>
          <w:lang w:val="en-US" w:eastAsia="en-US"/>
        </w:rPr>
        <w:t>7</w:t>
      </w:r>
    </w:p>
    <w:p w14:paraId="28E692C4" w14:textId="0669F9EC" w:rsidR="0061179F" w:rsidRDefault="0061179F" w:rsidP="0061179F">
      <w:pPr>
        <w:rPr>
          <w:b/>
          <w:bCs/>
          <w:lang w:val="en-US" w:eastAsia="en-US"/>
        </w:rPr>
      </w:pPr>
      <w:r w:rsidRPr="00D11C2A">
        <w:rPr>
          <w:b/>
          <w:bCs/>
          <w:lang w:val="en-US" w:eastAsia="en-US"/>
        </w:rPr>
        <w:t xml:space="preserve">Question 7: </w:t>
      </w:r>
      <w:r w:rsidR="00C56A7C" w:rsidRPr="00D11C2A">
        <w:rPr>
          <w:b/>
          <w:bCs/>
          <w:lang w:val="en-US" w:eastAsia="en-US"/>
        </w:rPr>
        <w:t>Are there areas of the Code that you think unnecessarily restrict service innovation or the efficient, equitable and responsive delivery of telecommunications goods and services to customers? Please explain.</w:t>
      </w:r>
    </w:p>
    <w:p w14:paraId="22DB6999" w14:textId="56B60939" w:rsidR="009E6ECA" w:rsidRDefault="00423CF7" w:rsidP="0061179F">
      <w:pPr>
        <w:rPr>
          <w:lang w:val="en-US" w:eastAsia="en-US"/>
        </w:rPr>
      </w:pPr>
      <w:r>
        <w:rPr>
          <w:lang w:val="en-US" w:eastAsia="en-US"/>
        </w:rPr>
        <w:t xml:space="preserve">The TCP </w:t>
      </w:r>
      <w:r w:rsidR="0019097C">
        <w:rPr>
          <w:lang w:val="en-US" w:eastAsia="en-US"/>
        </w:rPr>
        <w:t>C</w:t>
      </w:r>
      <w:r>
        <w:rPr>
          <w:lang w:val="en-US" w:eastAsia="en-US"/>
        </w:rPr>
        <w:t xml:space="preserve">ode unnecessarily restricts </w:t>
      </w:r>
      <w:r w:rsidR="00EF31C8">
        <w:rPr>
          <w:lang w:val="en-US" w:eastAsia="en-US"/>
        </w:rPr>
        <w:t xml:space="preserve">the equitable delivery of telecommunications goods and services through its lack of enforceability. </w:t>
      </w:r>
      <w:r w:rsidR="009E6ECA">
        <w:rPr>
          <w:lang w:val="en-US" w:eastAsia="en-US"/>
        </w:rPr>
        <w:t>ACCAN receives</w:t>
      </w:r>
      <w:r w:rsidR="005E4D15">
        <w:rPr>
          <w:lang w:val="en-US" w:eastAsia="en-US"/>
        </w:rPr>
        <w:t xml:space="preserve"> consistent</w:t>
      </w:r>
      <w:r w:rsidR="009E6ECA">
        <w:rPr>
          <w:lang w:val="en-US" w:eastAsia="en-US"/>
        </w:rPr>
        <w:t xml:space="preserve"> ac</w:t>
      </w:r>
      <w:r w:rsidR="009A1F0C">
        <w:rPr>
          <w:lang w:val="en-US" w:eastAsia="en-US"/>
        </w:rPr>
        <w:t xml:space="preserve">counts and case studies of </w:t>
      </w:r>
      <w:r w:rsidR="00765FDB">
        <w:rPr>
          <w:lang w:val="en-US" w:eastAsia="en-US"/>
        </w:rPr>
        <w:t xml:space="preserve">suppliers </w:t>
      </w:r>
      <w:r w:rsidR="00883949">
        <w:rPr>
          <w:lang w:val="en-US" w:eastAsia="en-US"/>
        </w:rPr>
        <w:t xml:space="preserve">failing to </w:t>
      </w:r>
      <w:r w:rsidR="00194FCC">
        <w:rPr>
          <w:lang w:val="en-US" w:eastAsia="en-US"/>
        </w:rPr>
        <w:t>meet</w:t>
      </w:r>
      <w:r w:rsidR="009A1F0C">
        <w:rPr>
          <w:lang w:val="en-US" w:eastAsia="en-US"/>
        </w:rPr>
        <w:t xml:space="preserve"> their consumer protection </w:t>
      </w:r>
      <w:r w:rsidR="00883949">
        <w:rPr>
          <w:lang w:val="en-US" w:eastAsia="en-US"/>
        </w:rPr>
        <w:t>obligations</w:t>
      </w:r>
      <w:r w:rsidR="009A1F0C">
        <w:rPr>
          <w:lang w:val="en-US" w:eastAsia="en-US"/>
        </w:rPr>
        <w:t>. These accounts and case studies differ between telecommunications providers</w:t>
      </w:r>
      <w:r w:rsidR="000F2ACA">
        <w:rPr>
          <w:lang w:val="en-US" w:eastAsia="en-US"/>
        </w:rPr>
        <w:t xml:space="preserve"> and showcase that consumers are not experiencing the same level of consumer protection</w:t>
      </w:r>
      <w:r w:rsidR="00CD7964">
        <w:rPr>
          <w:lang w:val="en-US" w:eastAsia="en-US"/>
        </w:rPr>
        <w:t xml:space="preserve">s because of their choice of telecommunications providers. </w:t>
      </w:r>
    </w:p>
    <w:p w14:paraId="241A519E" w14:textId="72B45D99" w:rsidR="00F25AB2" w:rsidRDefault="0014124F" w:rsidP="0040417A">
      <w:pPr>
        <w:spacing w:after="160" w:line="259" w:lineRule="auto"/>
        <w:rPr>
          <w:rFonts w:ascii="Calibri" w:eastAsia="Calibri" w:hAnsi="Calibri" w:cs="Times New Roman"/>
          <w:kern w:val="2"/>
          <w:lang w:val="en-US" w:eastAsia="en-US"/>
          <w14:ligatures w14:val="standardContextual"/>
        </w:rPr>
      </w:pPr>
      <w:r>
        <w:rPr>
          <w:rFonts w:ascii="Calibri" w:eastAsia="Calibri" w:hAnsi="Calibri" w:cs="Times New Roman"/>
          <w:kern w:val="2"/>
          <w:lang w:val="en-US" w:eastAsia="en-US"/>
          <w14:ligatures w14:val="standardContextual"/>
        </w:rPr>
        <w:t xml:space="preserve">Due to its voluntary nature, </w:t>
      </w:r>
      <w:r w:rsidR="000247C7" w:rsidRPr="00987515">
        <w:rPr>
          <w:rFonts w:ascii="Calibri" w:eastAsia="Calibri" w:hAnsi="Calibri" w:cs="Times New Roman"/>
          <w:kern w:val="2"/>
          <w:lang w:val="en-US" w:eastAsia="en-US"/>
          <w14:ligatures w14:val="standardContextual"/>
        </w:rPr>
        <w:t>the</w:t>
      </w:r>
      <w:r w:rsidR="0040417A" w:rsidRPr="00987515">
        <w:rPr>
          <w:rFonts w:ascii="Calibri" w:eastAsia="Calibri" w:hAnsi="Calibri" w:cs="Times New Roman"/>
          <w:kern w:val="2"/>
          <w:lang w:val="en-US" w:eastAsia="en-US"/>
          <w14:ligatures w14:val="standardContextual"/>
        </w:rPr>
        <w:t xml:space="preserve"> TCP Code has limited capacity to ensure uniformity amongst telecommunications providers</w:t>
      </w:r>
      <w:r w:rsidR="00DD7074">
        <w:rPr>
          <w:rFonts w:ascii="Calibri" w:eastAsia="Calibri" w:hAnsi="Calibri" w:cs="Times New Roman"/>
          <w:kern w:val="2"/>
          <w:lang w:val="en-US" w:eastAsia="en-US"/>
          <w14:ligatures w14:val="standardContextual"/>
        </w:rPr>
        <w:t xml:space="preserve">, </w:t>
      </w:r>
      <w:r w:rsidR="0040417A" w:rsidRPr="00987515">
        <w:rPr>
          <w:rFonts w:ascii="Calibri" w:eastAsia="Calibri" w:hAnsi="Calibri" w:cs="Times New Roman"/>
          <w:kern w:val="2"/>
          <w:lang w:val="en-US" w:eastAsia="en-US"/>
          <w14:ligatures w14:val="standardContextual"/>
        </w:rPr>
        <w:t xml:space="preserve">resulting in </w:t>
      </w:r>
      <w:r w:rsidR="0040417A">
        <w:rPr>
          <w:rFonts w:ascii="Calibri" w:eastAsia="Calibri" w:hAnsi="Calibri" w:cs="Times New Roman"/>
          <w:kern w:val="2"/>
          <w:lang w:val="en-US" w:eastAsia="en-US"/>
          <w14:ligatures w14:val="standardContextual"/>
        </w:rPr>
        <w:t>consumers receiving different protections depending on their choice of</w:t>
      </w:r>
      <w:r w:rsidR="009B6909">
        <w:rPr>
          <w:rFonts w:ascii="Calibri" w:eastAsia="Calibri" w:hAnsi="Calibri" w:cs="Times New Roman"/>
          <w:kern w:val="2"/>
          <w:lang w:val="en-US" w:eastAsia="en-US"/>
          <w14:ligatures w14:val="standardContextual"/>
        </w:rPr>
        <w:t xml:space="preserve"> </w:t>
      </w:r>
      <w:r w:rsidR="00765FDB">
        <w:rPr>
          <w:rFonts w:ascii="Calibri" w:eastAsia="Calibri" w:hAnsi="Calibri" w:cs="Times New Roman"/>
          <w:kern w:val="2"/>
          <w:lang w:val="en-US" w:eastAsia="en-US"/>
          <w14:ligatures w14:val="standardContextual"/>
        </w:rPr>
        <w:t>supplier</w:t>
      </w:r>
      <w:r w:rsidR="0040417A">
        <w:rPr>
          <w:rFonts w:ascii="Calibri" w:eastAsia="Calibri" w:hAnsi="Calibri" w:cs="Times New Roman"/>
          <w:kern w:val="2"/>
          <w:lang w:val="en-US" w:eastAsia="en-US"/>
          <w14:ligatures w14:val="standardContextual"/>
        </w:rPr>
        <w:t>.</w:t>
      </w:r>
      <w:r w:rsidR="00FF424D">
        <w:rPr>
          <w:rFonts w:ascii="Calibri" w:eastAsia="Calibri" w:hAnsi="Calibri" w:cs="Times New Roman"/>
          <w:kern w:val="2"/>
          <w:lang w:val="en-US" w:eastAsia="en-US"/>
          <w14:ligatures w14:val="standardContextual"/>
        </w:rPr>
        <w:t xml:space="preserve"> </w:t>
      </w:r>
      <w:r w:rsidR="005A6C83">
        <w:rPr>
          <w:rFonts w:ascii="Calibri" w:eastAsia="Calibri" w:hAnsi="Calibri" w:cs="Times New Roman"/>
          <w:kern w:val="2"/>
          <w:lang w:val="en-US" w:eastAsia="en-US"/>
          <w14:ligatures w14:val="standardContextual"/>
        </w:rPr>
        <w:t xml:space="preserve">While in theory </w:t>
      </w:r>
      <w:r w:rsidR="00844D4A">
        <w:rPr>
          <w:rFonts w:ascii="Calibri" w:eastAsia="Calibri" w:hAnsi="Calibri" w:cs="Times New Roman"/>
          <w:kern w:val="2"/>
          <w:lang w:val="en-US" w:eastAsia="en-US"/>
          <w14:ligatures w14:val="standardContextual"/>
        </w:rPr>
        <w:t>market participants should seek to compete actively on customer service in addition to other service dimensions, ACCAN has observed limited examples of this. Although</w:t>
      </w:r>
      <w:r w:rsidR="00784D26">
        <w:rPr>
          <w:rFonts w:ascii="Calibri" w:eastAsia="Calibri" w:hAnsi="Calibri" w:cs="Times New Roman"/>
          <w:kern w:val="2"/>
          <w:lang w:val="en-US" w:eastAsia="en-US"/>
          <w14:ligatures w14:val="standardContextual"/>
        </w:rPr>
        <w:t xml:space="preserve"> ACCAN</w:t>
      </w:r>
      <w:r w:rsidR="00844D4A">
        <w:rPr>
          <w:rFonts w:ascii="Calibri" w:eastAsia="Calibri" w:hAnsi="Calibri" w:cs="Times New Roman"/>
          <w:kern w:val="2"/>
          <w:lang w:val="en-US" w:eastAsia="en-US"/>
          <w14:ligatures w14:val="standardContextual"/>
        </w:rPr>
        <w:t xml:space="preserve"> can point to specific industry participants that meet and exceed consumer expectations, we see limited evidence of widespread competition </w:t>
      </w:r>
      <w:proofErr w:type="gramStart"/>
      <w:r w:rsidR="00844D4A">
        <w:rPr>
          <w:rFonts w:ascii="Calibri" w:eastAsia="Calibri" w:hAnsi="Calibri" w:cs="Times New Roman"/>
          <w:kern w:val="2"/>
          <w:lang w:val="en-US" w:eastAsia="en-US"/>
          <w14:ligatures w14:val="standardContextual"/>
        </w:rPr>
        <w:t>on</w:t>
      </w:r>
      <w:proofErr w:type="gramEnd"/>
      <w:r w:rsidR="00844D4A">
        <w:rPr>
          <w:rFonts w:ascii="Calibri" w:eastAsia="Calibri" w:hAnsi="Calibri" w:cs="Times New Roman"/>
          <w:kern w:val="2"/>
          <w:lang w:val="en-US" w:eastAsia="en-US"/>
          <w14:ligatures w14:val="standardContextual"/>
        </w:rPr>
        <w:t xml:space="preserve"> </w:t>
      </w:r>
      <w:r w:rsidR="00F25AB2">
        <w:rPr>
          <w:rFonts w:ascii="Calibri" w:eastAsia="Calibri" w:hAnsi="Calibri" w:cs="Times New Roman"/>
          <w:kern w:val="2"/>
          <w:lang w:val="en-US" w:eastAsia="en-US"/>
          <w14:ligatures w14:val="standardContextual"/>
        </w:rPr>
        <w:t xml:space="preserve">these dimensions, with coverage and pricing being the two key drivers of competition in the market. </w:t>
      </w:r>
    </w:p>
    <w:p w14:paraId="05DC3F44" w14:textId="6C9DF863" w:rsidR="00442395" w:rsidRDefault="00F25AB2" w:rsidP="0040417A">
      <w:pPr>
        <w:spacing w:after="160" w:line="259" w:lineRule="auto"/>
        <w:rPr>
          <w:rFonts w:ascii="Calibri" w:eastAsia="Calibri" w:hAnsi="Calibri" w:cs="Times New Roman"/>
          <w:kern w:val="2"/>
          <w:lang w:val="en-US" w:eastAsia="en-US"/>
          <w14:ligatures w14:val="standardContextual"/>
        </w:rPr>
      </w:pPr>
      <w:r>
        <w:rPr>
          <w:rFonts w:ascii="Calibri" w:eastAsia="Calibri" w:hAnsi="Calibri" w:cs="Times New Roman"/>
          <w:kern w:val="2"/>
          <w:lang w:val="en-US" w:eastAsia="en-US"/>
          <w14:ligatures w14:val="standardContextual"/>
        </w:rPr>
        <w:t xml:space="preserve">Accordingly, the soft-touch regulation of consumer protections, instead of driving competition on service dimensions, has provided a </w:t>
      </w:r>
      <w:r w:rsidR="009F1D9C">
        <w:rPr>
          <w:rFonts w:ascii="Calibri" w:eastAsia="Calibri" w:hAnsi="Calibri" w:cs="Times New Roman"/>
          <w:kern w:val="2"/>
          <w:lang w:val="en-US" w:eastAsia="en-US"/>
          <w14:ligatures w14:val="standardContextual"/>
        </w:rPr>
        <w:t xml:space="preserve">competitive environment in which many market participants </w:t>
      </w:r>
      <w:r w:rsidR="00A22835">
        <w:rPr>
          <w:rFonts w:ascii="Calibri" w:eastAsia="Calibri" w:hAnsi="Calibri" w:cs="Times New Roman"/>
          <w:kern w:val="2"/>
          <w:lang w:val="en-US" w:eastAsia="en-US"/>
          <w14:ligatures w14:val="standardContextual"/>
        </w:rPr>
        <w:t xml:space="preserve">appear to read down consumer protections </w:t>
      </w:r>
      <w:proofErr w:type="gramStart"/>
      <w:r w:rsidR="00A22835">
        <w:rPr>
          <w:rFonts w:ascii="Calibri" w:eastAsia="Calibri" w:hAnsi="Calibri" w:cs="Times New Roman"/>
          <w:kern w:val="2"/>
          <w:lang w:val="en-US" w:eastAsia="en-US"/>
          <w14:ligatures w14:val="standardContextual"/>
        </w:rPr>
        <w:t>in order to</w:t>
      </w:r>
      <w:proofErr w:type="gramEnd"/>
      <w:r w:rsidR="00A22835">
        <w:rPr>
          <w:rFonts w:ascii="Calibri" w:eastAsia="Calibri" w:hAnsi="Calibri" w:cs="Times New Roman"/>
          <w:kern w:val="2"/>
          <w:lang w:val="en-US" w:eastAsia="en-US"/>
          <w14:ligatures w14:val="standardContextual"/>
        </w:rPr>
        <w:t xml:space="preserve"> retain a cost advantage.</w:t>
      </w:r>
      <w:r w:rsidR="002038F3">
        <w:rPr>
          <w:rFonts w:ascii="Calibri" w:eastAsia="Calibri" w:hAnsi="Calibri" w:cs="Times New Roman"/>
          <w:kern w:val="2"/>
          <w:lang w:val="en-US" w:eastAsia="en-US"/>
          <w14:ligatures w14:val="standardContextual"/>
        </w:rPr>
        <w:t xml:space="preserve"> </w:t>
      </w:r>
      <w:r w:rsidR="00A22835">
        <w:rPr>
          <w:rFonts w:ascii="Calibri" w:eastAsia="Calibri" w:hAnsi="Calibri" w:cs="Times New Roman"/>
          <w:kern w:val="2"/>
          <w:lang w:val="en-US" w:eastAsia="en-US"/>
          <w14:ligatures w14:val="standardContextual"/>
        </w:rPr>
        <w:t xml:space="preserve"> Although this is</w:t>
      </w:r>
      <w:r w:rsidR="00CF74C8">
        <w:rPr>
          <w:rFonts w:ascii="Calibri" w:eastAsia="Calibri" w:hAnsi="Calibri" w:cs="Times New Roman"/>
          <w:kern w:val="2"/>
          <w:lang w:val="en-US" w:eastAsia="en-US"/>
          <w14:ligatures w14:val="standardContextual"/>
        </w:rPr>
        <w:t xml:space="preserve"> not</w:t>
      </w:r>
      <w:r w:rsidR="00A22835">
        <w:rPr>
          <w:rFonts w:ascii="Calibri" w:eastAsia="Calibri" w:hAnsi="Calibri" w:cs="Times New Roman"/>
          <w:kern w:val="2"/>
          <w:lang w:val="en-US" w:eastAsia="en-US"/>
          <w14:ligatures w14:val="standardContextual"/>
        </w:rPr>
        <w:t xml:space="preserve"> the case across all market participants, we consider the current framework is fundamentally anti-competitive</w:t>
      </w:r>
      <w:r w:rsidR="00895C1C">
        <w:rPr>
          <w:rFonts w:ascii="Calibri" w:eastAsia="Calibri" w:hAnsi="Calibri" w:cs="Times New Roman"/>
          <w:kern w:val="2"/>
          <w:lang w:val="en-US" w:eastAsia="en-US"/>
          <w14:ligatures w14:val="standardContextual"/>
        </w:rPr>
        <w:t xml:space="preserve"> and fails to provide adequate incentives for </w:t>
      </w:r>
      <w:proofErr w:type="gramStart"/>
      <w:r w:rsidR="00895C1C">
        <w:rPr>
          <w:rFonts w:ascii="Calibri" w:eastAsia="Calibri" w:hAnsi="Calibri" w:cs="Times New Roman"/>
          <w:kern w:val="2"/>
          <w:lang w:val="en-US" w:eastAsia="en-US"/>
          <w14:ligatures w14:val="standardContextual"/>
        </w:rPr>
        <w:t>service based</w:t>
      </w:r>
      <w:proofErr w:type="gramEnd"/>
      <w:r w:rsidR="00895C1C">
        <w:rPr>
          <w:rFonts w:ascii="Calibri" w:eastAsia="Calibri" w:hAnsi="Calibri" w:cs="Times New Roman"/>
          <w:kern w:val="2"/>
          <w:lang w:val="en-US" w:eastAsia="en-US"/>
          <w14:ligatures w14:val="standardContextual"/>
        </w:rPr>
        <w:t xml:space="preserve"> competition.</w:t>
      </w:r>
    </w:p>
    <w:p w14:paraId="68CB81D5" w14:textId="77777777" w:rsidR="00A21106" w:rsidRDefault="00A21106" w:rsidP="0040417A">
      <w:pPr>
        <w:spacing w:after="160" w:line="259" w:lineRule="auto"/>
        <w:rPr>
          <w:rFonts w:ascii="Calibri" w:eastAsia="Calibri" w:hAnsi="Calibri" w:cs="Times New Roman"/>
          <w:kern w:val="2"/>
          <w:lang w:val="en-US" w:eastAsia="en-US"/>
          <w14:ligatures w14:val="standardContextual"/>
        </w:rPr>
      </w:pPr>
    </w:p>
    <w:p w14:paraId="1D905355" w14:textId="687DD93C" w:rsidR="001A386D" w:rsidRDefault="001A386D" w:rsidP="001A386D">
      <w:pPr>
        <w:pStyle w:val="Heading1"/>
        <w:rPr>
          <w:lang w:val="en-US" w:eastAsia="en-US"/>
        </w:rPr>
      </w:pPr>
      <w:r w:rsidRPr="003573DB">
        <w:rPr>
          <w:lang w:val="en-US" w:eastAsia="en-US"/>
        </w:rPr>
        <w:t xml:space="preserve">Response to question </w:t>
      </w:r>
      <w:r w:rsidR="00A70535">
        <w:rPr>
          <w:lang w:val="en-US" w:eastAsia="en-US"/>
        </w:rPr>
        <w:t>8</w:t>
      </w:r>
    </w:p>
    <w:p w14:paraId="07A65AD9" w14:textId="7799E16F" w:rsidR="00935A2B" w:rsidRDefault="00066851" w:rsidP="00A70535">
      <w:pPr>
        <w:rPr>
          <w:b/>
          <w:bCs/>
          <w:lang w:val="en-US" w:eastAsia="en-US"/>
        </w:rPr>
      </w:pPr>
      <w:r w:rsidRPr="00D11C2A">
        <w:rPr>
          <w:b/>
          <w:bCs/>
          <w:lang w:val="en-US" w:eastAsia="en-US"/>
        </w:rPr>
        <w:t xml:space="preserve">Question 8: </w:t>
      </w:r>
      <w:r w:rsidR="00891993" w:rsidRPr="00D11C2A">
        <w:rPr>
          <w:b/>
          <w:bCs/>
          <w:lang w:val="en-US" w:eastAsia="en-US"/>
        </w:rPr>
        <w:t>Do you think that the Code’s application to residential and small business customers (as defined) is appropriate? If not, why not?</w:t>
      </w:r>
    </w:p>
    <w:p w14:paraId="23FD33FD" w14:textId="375DBE25" w:rsidR="00816EF7" w:rsidRDefault="00816EF7" w:rsidP="00604167">
      <w:pPr>
        <w:rPr>
          <w:lang w:val="en-US" w:eastAsia="en-US"/>
        </w:rPr>
      </w:pPr>
      <w:r>
        <w:rPr>
          <w:lang w:val="en-US" w:eastAsia="en-US"/>
        </w:rPr>
        <w:t xml:space="preserve">ACCAN considers that the application to residential and small business customers should be subject to further refinement. The TCP Code as drafted primarily reflects the challenges and issues faced by residential consumers, rather than </w:t>
      </w:r>
      <w:r w:rsidR="00D91F2B">
        <w:rPr>
          <w:lang w:val="en-US" w:eastAsia="en-US"/>
        </w:rPr>
        <w:t xml:space="preserve">those of </w:t>
      </w:r>
      <w:r>
        <w:rPr>
          <w:lang w:val="en-US" w:eastAsia="en-US"/>
        </w:rPr>
        <w:t xml:space="preserve">small businesses. </w:t>
      </w:r>
    </w:p>
    <w:p w14:paraId="18DB4AC4" w14:textId="7563B3AD" w:rsidR="00816EF7" w:rsidRDefault="00816EF7" w:rsidP="00604167">
      <w:pPr>
        <w:rPr>
          <w:lang w:val="en-US" w:eastAsia="en-US"/>
        </w:rPr>
      </w:pPr>
      <w:r>
        <w:rPr>
          <w:lang w:val="en-US" w:eastAsia="en-US"/>
        </w:rPr>
        <w:t>ACCAN considers that a nuanced approach</w:t>
      </w:r>
      <w:r w:rsidR="00D91F2B">
        <w:rPr>
          <w:lang w:val="en-US" w:eastAsia="en-US"/>
        </w:rPr>
        <w:t xml:space="preserve"> to address</w:t>
      </w:r>
      <w:r w:rsidR="00CF74C8">
        <w:rPr>
          <w:lang w:val="en-US" w:eastAsia="en-US"/>
        </w:rPr>
        <w:t>ing</w:t>
      </w:r>
      <w:r w:rsidR="00D91F2B">
        <w:rPr>
          <w:lang w:val="en-US" w:eastAsia="en-US"/>
        </w:rPr>
        <w:t xml:space="preserve"> the challenges faced by small businesses is necessary to improve the effectiveness of the TCP Code. </w:t>
      </w:r>
      <w:r w:rsidR="00C20566">
        <w:rPr>
          <w:lang w:val="en-US" w:eastAsia="en-US"/>
        </w:rPr>
        <w:t>In addition to revisions to the TCP Code, we consider that there is scope to provide further guidance through supplementary document</w:t>
      </w:r>
      <w:r w:rsidR="00C730A5">
        <w:rPr>
          <w:lang w:val="en-US" w:eastAsia="en-US"/>
        </w:rPr>
        <w:t>s</w:t>
      </w:r>
      <w:r w:rsidR="00C20566">
        <w:rPr>
          <w:lang w:val="en-US" w:eastAsia="en-US"/>
        </w:rPr>
        <w:t xml:space="preserve"> including guidelines to support engagement by providers with small businesses.</w:t>
      </w:r>
    </w:p>
    <w:p w14:paraId="44D9A7EA" w14:textId="3D3B8BA7" w:rsidR="001A386D" w:rsidRDefault="001A386D" w:rsidP="001A386D">
      <w:pPr>
        <w:pStyle w:val="Heading1"/>
        <w:rPr>
          <w:lang w:val="en-US" w:eastAsia="en-US"/>
        </w:rPr>
      </w:pPr>
      <w:r w:rsidRPr="003573DB">
        <w:rPr>
          <w:lang w:val="en-US" w:eastAsia="en-US"/>
        </w:rPr>
        <w:t xml:space="preserve">Response to question </w:t>
      </w:r>
      <w:r w:rsidR="00C825E3">
        <w:rPr>
          <w:lang w:val="en-US" w:eastAsia="en-US"/>
        </w:rPr>
        <w:t>9</w:t>
      </w:r>
    </w:p>
    <w:p w14:paraId="68774157" w14:textId="39431BC0" w:rsidR="00B270AD" w:rsidRDefault="00C825E3" w:rsidP="00C825E3">
      <w:pPr>
        <w:rPr>
          <w:lang w:val="en-US" w:eastAsia="en-US"/>
        </w:rPr>
      </w:pPr>
      <w:r w:rsidRPr="00D11C2A">
        <w:rPr>
          <w:b/>
          <w:bCs/>
          <w:lang w:val="en-US" w:eastAsia="en-US"/>
        </w:rPr>
        <w:t xml:space="preserve">Question </w:t>
      </w:r>
      <w:r w:rsidR="00C5406C" w:rsidRPr="00D11C2A">
        <w:rPr>
          <w:b/>
          <w:bCs/>
          <w:lang w:val="en-US" w:eastAsia="en-US"/>
        </w:rPr>
        <w:t xml:space="preserve">9: Do you have any comments about the attestation process and other compliance activities run by </w:t>
      </w:r>
      <w:proofErr w:type="spellStart"/>
      <w:r w:rsidR="00C5406C" w:rsidRPr="00D11C2A">
        <w:rPr>
          <w:b/>
          <w:bCs/>
          <w:lang w:val="en-US" w:eastAsia="en-US"/>
        </w:rPr>
        <w:t>CommCom</w:t>
      </w:r>
      <w:proofErr w:type="spellEnd"/>
      <w:r w:rsidR="00C5406C" w:rsidRPr="00D11C2A">
        <w:rPr>
          <w:b/>
          <w:bCs/>
          <w:lang w:val="en-US" w:eastAsia="en-US"/>
        </w:rPr>
        <w:t>?</w:t>
      </w:r>
    </w:p>
    <w:p w14:paraId="25C6374B" w14:textId="255BA3E6" w:rsidR="003F785A" w:rsidRDefault="00B270AD" w:rsidP="00C825E3">
      <w:pPr>
        <w:rPr>
          <w:lang w:val="en-US" w:eastAsia="en-US"/>
        </w:rPr>
      </w:pPr>
      <w:r w:rsidRPr="00355A74">
        <w:rPr>
          <w:lang w:val="en-US" w:eastAsia="en-US"/>
        </w:rPr>
        <w:t>ACCAN considers that to the extent that existing regulatory arrangements are retained</w:t>
      </w:r>
      <w:r w:rsidR="0076747F" w:rsidRPr="00355A74">
        <w:rPr>
          <w:lang w:val="en-US" w:eastAsia="en-US"/>
        </w:rPr>
        <w:t>,</w:t>
      </w:r>
      <w:r w:rsidR="009C4424" w:rsidRPr="00CB663A">
        <w:rPr>
          <w:lang w:val="en-US" w:eastAsia="en-US"/>
        </w:rPr>
        <w:t xml:space="preserve"> and </w:t>
      </w:r>
      <w:r w:rsidR="00341BB1">
        <w:rPr>
          <w:lang w:val="en-US" w:eastAsia="en-US"/>
        </w:rPr>
        <w:t xml:space="preserve">the </w:t>
      </w:r>
      <w:r w:rsidR="009C4424" w:rsidRPr="00CB663A">
        <w:rPr>
          <w:lang w:val="en-US" w:eastAsia="en-US"/>
        </w:rPr>
        <w:t xml:space="preserve">TCP Code remains the primary </w:t>
      </w:r>
      <w:r w:rsidR="00830DA5" w:rsidRPr="00CB663A">
        <w:rPr>
          <w:lang w:val="en-US" w:eastAsia="en-US"/>
        </w:rPr>
        <w:t>instrument for delivery consumer protection</w:t>
      </w:r>
      <w:r w:rsidRPr="00355A74">
        <w:rPr>
          <w:lang w:val="en-US" w:eastAsia="en-US"/>
        </w:rPr>
        <w:t xml:space="preserve">, </w:t>
      </w:r>
      <w:r w:rsidR="008E6F26" w:rsidRPr="00355A74">
        <w:rPr>
          <w:lang w:val="en-US" w:eastAsia="en-US"/>
        </w:rPr>
        <w:t xml:space="preserve">that </w:t>
      </w:r>
      <w:proofErr w:type="spellStart"/>
      <w:r w:rsidR="008E6F26" w:rsidRPr="00355A74">
        <w:rPr>
          <w:lang w:val="en-US" w:eastAsia="en-US"/>
        </w:rPr>
        <w:t>CommCom</w:t>
      </w:r>
      <w:proofErr w:type="spellEnd"/>
      <w:r w:rsidR="008E6F26" w:rsidRPr="00355A74">
        <w:rPr>
          <w:lang w:val="en-US" w:eastAsia="en-US"/>
        </w:rPr>
        <w:t xml:space="preserve"> requires a material increase in its resourcing</w:t>
      </w:r>
      <w:r w:rsidR="008E6F26">
        <w:rPr>
          <w:lang w:val="en-US" w:eastAsia="en-US"/>
        </w:rPr>
        <w:t xml:space="preserve"> and </w:t>
      </w:r>
      <w:r w:rsidR="00830DA5">
        <w:rPr>
          <w:lang w:val="en-US" w:eastAsia="en-US"/>
        </w:rPr>
        <w:t xml:space="preserve">expansion of its powers to allow for </w:t>
      </w:r>
      <w:r w:rsidR="00A977C8">
        <w:rPr>
          <w:lang w:val="en-US" w:eastAsia="en-US"/>
        </w:rPr>
        <w:t>it to undertake investigations and</w:t>
      </w:r>
      <w:r w:rsidR="00830DA5">
        <w:rPr>
          <w:lang w:val="en-US" w:eastAsia="en-US"/>
        </w:rPr>
        <w:t xml:space="preserve"> commission external and independent audits of compliance. </w:t>
      </w:r>
      <w:r w:rsidR="008E6F26">
        <w:rPr>
          <w:lang w:val="en-US" w:eastAsia="en-US"/>
        </w:rPr>
        <w:t xml:space="preserve"> </w:t>
      </w:r>
    </w:p>
    <w:p w14:paraId="0397EE32" w14:textId="1E029A45" w:rsidR="00174911" w:rsidRDefault="00241362" w:rsidP="00C825E3">
      <w:pPr>
        <w:rPr>
          <w:lang w:val="en-US" w:eastAsia="en-US"/>
        </w:rPr>
      </w:pPr>
      <w:r>
        <w:rPr>
          <w:lang w:val="en-US" w:eastAsia="en-US"/>
        </w:rPr>
        <w:t xml:space="preserve">The attestation process run by </w:t>
      </w:r>
      <w:proofErr w:type="spellStart"/>
      <w:r>
        <w:rPr>
          <w:lang w:val="en-US" w:eastAsia="en-US"/>
        </w:rPr>
        <w:t>CommCom</w:t>
      </w:r>
      <w:proofErr w:type="spellEnd"/>
      <w:r>
        <w:rPr>
          <w:lang w:val="en-US" w:eastAsia="en-US"/>
        </w:rPr>
        <w:t xml:space="preserve"> is fundamentally reliant on the information being provided to it being accurate and truthful. While </w:t>
      </w:r>
      <w:proofErr w:type="spellStart"/>
      <w:r>
        <w:rPr>
          <w:lang w:val="en-US" w:eastAsia="en-US"/>
        </w:rPr>
        <w:t>CommCom</w:t>
      </w:r>
      <w:proofErr w:type="spellEnd"/>
      <w:r>
        <w:rPr>
          <w:lang w:val="en-US" w:eastAsia="en-US"/>
        </w:rPr>
        <w:t xml:space="preserve"> is well placed to identify clear instances of non-compliance, it does not </w:t>
      </w:r>
      <w:r w:rsidR="00C6236E">
        <w:rPr>
          <w:lang w:val="en-US" w:eastAsia="en-US"/>
        </w:rPr>
        <w:t xml:space="preserve">have the powers or </w:t>
      </w:r>
      <w:proofErr w:type="gramStart"/>
      <w:r w:rsidR="00C6236E">
        <w:rPr>
          <w:lang w:val="en-US" w:eastAsia="en-US"/>
        </w:rPr>
        <w:t>resourcing</w:t>
      </w:r>
      <w:proofErr w:type="gramEnd"/>
      <w:r w:rsidR="00C6236E">
        <w:rPr>
          <w:lang w:val="en-US" w:eastAsia="en-US"/>
        </w:rPr>
        <w:t xml:space="preserve"> to</w:t>
      </w:r>
      <w:r w:rsidR="003035F4">
        <w:rPr>
          <w:lang w:val="en-US" w:eastAsia="en-US"/>
        </w:rPr>
        <w:t xml:space="preserve"> independently verify </w:t>
      </w:r>
      <w:r w:rsidR="001A579D">
        <w:rPr>
          <w:lang w:val="en-US" w:eastAsia="en-US"/>
        </w:rPr>
        <w:t>all aspects of industry compliance</w:t>
      </w:r>
      <w:r w:rsidR="003035F4">
        <w:rPr>
          <w:lang w:val="en-US" w:eastAsia="en-US"/>
        </w:rPr>
        <w:t>.</w:t>
      </w:r>
      <w:r w:rsidR="00174911">
        <w:rPr>
          <w:lang w:val="en-US" w:eastAsia="en-US"/>
        </w:rPr>
        <w:t xml:space="preserve"> </w:t>
      </w:r>
    </w:p>
    <w:p w14:paraId="6FBF1CF4" w14:textId="4377F05E" w:rsidR="00255FD9" w:rsidRDefault="003035F4" w:rsidP="00C825E3">
      <w:pPr>
        <w:rPr>
          <w:lang w:val="en-US" w:eastAsia="en-US"/>
        </w:rPr>
      </w:pPr>
      <w:r>
        <w:rPr>
          <w:lang w:val="en-US" w:eastAsia="en-US"/>
        </w:rPr>
        <w:t>ACCAN considers that</w:t>
      </w:r>
      <w:r w:rsidR="000D3599" w:rsidRPr="008F781E">
        <w:rPr>
          <w:lang w:val="en-US" w:eastAsia="en-US"/>
        </w:rPr>
        <w:t xml:space="preserve"> while </w:t>
      </w:r>
      <w:proofErr w:type="spellStart"/>
      <w:r w:rsidR="000D3599" w:rsidRPr="008F781E">
        <w:rPr>
          <w:lang w:val="en-US" w:eastAsia="en-US"/>
        </w:rPr>
        <w:t>CommCom</w:t>
      </w:r>
      <w:proofErr w:type="spellEnd"/>
      <w:r w:rsidR="000D3599" w:rsidRPr="008F781E">
        <w:rPr>
          <w:lang w:val="en-US" w:eastAsia="en-US"/>
        </w:rPr>
        <w:t xml:space="preserve"> plays an important role in </w:t>
      </w:r>
      <w:r w:rsidR="00784544" w:rsidRPr="008F781E">
        <w:rPr>
          <w:lang w:val="en-US" w:eastAsia="en-US"/>
        </w:rPr>
        <w:t>driving compliance in the sector</w:t>
      </w:r>
      <w:r w:rsidR="000D3599" w:rsidRPr="008F781E">
        <w:rPr>
          <w:lang w:val="en-US" w:eastAsia="en-US"/>
        </w:rPr>
        <w:t xml:space="preserve">, it is not </w:t>
      </w:r>
      <w:r w:rsidR="00784544" w:rsidRPr="008F781E">
        <w:rPr>
          <w:lang w:val="en-US" w:eastAsia="en-US"/>
        </w:rPr>
        <w:t xml:space="preserve">suitably </w:t>
      </w:r>
      <w:r w:rsidR="000D3599" w:rsidRPr="008F781E">
        <w:rPr>
          <w:lang w:val="en-US" w:eastAsia="en-US"/>
        </w:rPr>
        <w:t>empowered to challenge the attestation document</w:t>
      </w:r>
      <w:r w:rsidR="00784544" w:rsidRPr="008F781E">
        <w:rPr>
          <w:lang w:val="en-US" w:eastAsia="en-US"/>
        </w:rPr>
        <w:t>ation</w:t>
      </w:r>
      <w:r w:rsidR="000D3599" w:rsidRPr="008F781E">
        <w:rPr>
          <w:lang w:val="en-US" w:eastAsia="en-US"/>
        </w:rPr>
        <w:t xml:space="preserve"> </w:t>
      </w:r>
      <w:r w:rsidR="00045986" w:rsidRPr="008F781E">
        <w:rPr>
          <w:lang w:val="en-US" w:eastAsia="en-US"/>
        </w:rPr>
        <w:t>submitted</w:t>
      </w:r>
      <w:r w:rsidR="008F781E" w:rsidRPr="008F781E">
        <w:rPr>
          <w:lang w:val="en-US" w:eastAsia="en-US"/>
        </w:rPr>
        <w:t xml:space="preserve">. </w:t>
      </w:r>
      <w:r w:rsidR="009B5375">
        <w:rPr>
          <w:lang w:val="en-US" w:eastAsia="en-US"/>
        </w:rPr>
        <w:t>Further, at times the lack of clear and consistent definitions within the TCP Code make</w:t>
      </w:r>
      <w:r w:rsidR="005B4690">
        <w:rPr>
          <w:lang w:val="en-US" w:eastAsia="en-US"/>
        </w:rPr>
        <w:t>s</w:t>
      </w:r>
      <w:r w:rsidR="009B5375">
        <w:rPr>
          <w:lang w:val="en-US" w:eastAsia="en-US"/>
        </w:rPr>
        <w:t xml:space="preserve"> it </w:t>
      </w:r>
      <w:r w:rsidR="00255FD9">
        <w:rPr>
          <w:lang w:val="en-US" w:eastAsia="en-US"/>
        </w:rPr>
        <w:t xml:space="preserve">difficult for </w:t>
      </w:r>
      <w:proofErr w:type="spellStart"/>
      <w:r w:rsidR="00255FD9">
        <w:rPr>
          <w:lang w:val="en-US" w:eastAsia="en-US"/>
        </w:rPr>
        <w:t>CommCom</w:t>
      </w:r>
      <w:proofErr w:type="spellEnd"/>
      <w:r w:rsidR="00255FD9">
        <w:rPr>
          <w:lang w:val="en-US" w:eastAsia="en-US"/>
        </w:rPr>
        <w:t xml:space="preserve"> to come to </w:t>
      </w:r>
      <w:proofErr w:type="gramStart"/>
      <w:r w:rsidR="00255FD9">
        <w:rPr>
          <w:lang w:val="en-US" w:eastAsia="en-US"/>
        </w:rPr>
        <w:t>clear</w:t>
      </w:r>
      <w:proofErr w:type="gramEnd"/>
      <w:r w:rsidR="00255FD9">
        <w:rPr>
          <w:lang w:val="en-US" w:eastAsia="en-US"/>
        </w:rPr>
        <w:t xml:space="preserve"> and consistent interpretation of the standard of conduct required under the TCP Code. Accordingly, while ACCAN considers that </w:t>
      </w:r>
      <w:proofErr w:type="spellStart"/>
      <w:r w:rsidR="00255FD9">
        <w:rPr>
          <w:lang w:val="en-US" w:eastAsia="en-US"/>
        </w:rPr>
        <w:t>CommCom</w:t>
      </w:r>
      <w:proofErr w:type="spellEnd"/>
      <w:r w:rsidR="00255FD9">
        <w:rPr>
          <w:lang w:val="en-US" w:eastAsia="en-US"/>
        </w:rPr>
        <w:t xml:space="preserve"> plays an important role in the system, in guiding non-compliant entities towards better practice, its ability to fulfil this function is limited by its resourcing and </w:t>
      </w:r>
      <w:r w:rsidR="00A333AB">
        <w:rPr>
          <w:lang w:val="en-US" w:eastAsia="en-US"/>
        </w:rPr>
        <w:t>powers afforded to it.</w:t>
      </w:r>
    </w:p>
    <w:p w14:paraId="310DDFA7" w14:textId="2065C25D" w:rsidR="00A333AB" w:rsidRPr="00A333AB" w:rsidRDefault="00A333AB" w:rsidP="00C825E3">
      <w:pPr>
        <w:rPr>
          <w:lang w:val="en-US" w:eastAsia="en-US"/>
        </w:rPr>
      </w:pPr>
      <w:r w:rsidRPr="00A333AB">
        <w:rPr>
          <w:lang w:val="en-US" w:eastAsia="en-US"/>
        </w:rPr>
        <w:t xml:space="preserve">ACCAN considers that should consumer protections continue to be provided via the TCP Code, that the ACMA should be empowered to provide binding guidance on the preferable and correct interpretation of the definitions and obligations set out in the TCP Code. We consider such an approach would reduce the considerable ambiguity as to the intended effect of provisions within the TCP Code and facilitate </w:t>
      </w:r>
      <w:proofErr w:type="spellStart"/>
      <w:r w:rsidRPr="00A333AB">
        <w:rPr>
          <w:lang w:val="en-US" w:eastAsia="en-US"/>
        </w:rPr>
        <w:t>CommCom</w:t>
      </w:r>
      <w:proofErr w:type="spellEnd"/>
      <w:r w:rsidRPr="00A333AB">
        <w:rPr>
          <w:lang w:val="en-US" w:eastAsia="en-US"/>
        </w:rPr>
        <w:t xml:space="preserve"> more effectively assessing compliance.</w:t>
      </w:r>
    </w:p>
    <w:p w14:paraId="686C3E65" w14:textId="57B56B08" w:rsidR="00A60F0C" w:rsidRPr="001E4108" w:rsidRDefault="00320C04" w:rsidP="00C825E3">
      <w:pPr>
        <w:rPr>
          <w:lang w:val="en-US" w:eastAsia="en-US"/>
        </w:rPr>
      </w:pPr>
      <w:r w:rsidRPr="001E4108">
        <w:rPr>
          <w:lang w:val="en-US" w:eastAsia="en-US"/>
        </w:rPr>
        <w:t xml:space="preserve">While ACCAN has confidence in the genuine efforts taken by </w:t>
      </w:r>
      <w:proofErr w:type="spellStart"/>
      <w:r w:rsidRPr="001E4108">
        <w:rPr>
          <w:lang w:val="en-US" w:eastAsia="en-US"/>
        </w:rPr>
        <w:t>CommCom</w:t>
      </w:r>
      <w:proofErr w:type="spellEnd"/>
      <w:r w:rsidRPr="001E4108">
        <w:rPr>
          <w:lang w:val="en-US" w:eastAsia="en-US"/>
        </w:rPr>
        <w:t xml:space="preserve"> to drive compliance with the TCP Code, it is not a substitute for rigorous external auditing or a suitably empowered regulator.</w:t>
      </w:r>
      <w:r w:rsidR="00A333AB" w:rsidRPr="001E4108">
        <w:rPr>
          <w:lang w:val="en-US" w:eastAsia="en-US"/>
        </w:rPr>
        <w:t xml:space="preserve"> </w:t>
      </w:r>
      <w:r w:rsidR="001E4108">
        <w:rPr>
          <w:lang w:val="en-US" w:eastAsia="en-US"/>
        </w:rPr>
        <w:t xml:space="preserve">We consider that expanding the powers of </w:t>
      </w:r>
      <w:proofErr w:type="spellStart"/>
      <w:r w:rsidR="001E4108">
        <w:rPr>
          <w:lang w:val="en-US" w:eastAsia="en-US"/>
        </w:rPr>
        <w:t>CommCom</w:t>
      </w:r>
      <w:proofErr w:type="spellEnd"/>
      <w:r w:rsidR="001E4108">
        <w:rPr>
          <w:lang w:val="en-US" w:eastAsia="en-US"/>
        </w:rPr>
        <w:t xml:space="preserve"> to allow for independent external audits, combined with broader reforms </w:t>
      </w:r>
      <w:r w:rsidR="00787489" w:rsidRPr="001E4108">
        <w:rPr>
          <w:lang w:val="en-US" w:eastAsia="en-US"/>
        </w:rPr>
        <w:t xml:space="preserve">will </w:t>
      </w:r>
      <w:r w:rsidR="00E867A1" w:rsidRPr="001E4108">
        <w:rPr>
          <w:lang w:val="en-US" w:eastAsia="en-US"/>
        </w:rPr>
        <w:t>rebuil</w:t>
      </w:r>
      <w:r w:rsidR="001E4108">
        <w:rPr>
          <w:lang w:val="en-US" w:eastAsia="en-US"/>
        </w:rPr>
        <w:t xml:space="preserve">d </w:t>
      </w:r>
      <w:r w:rsidR="00A60F0C" w:rsidRPr="001E4108">
        <w:rPr>
          <w:lang w:val="en-US" w:eastAsia="en-US"/>
        </w:rPr>
        <w:t>stakeholders trust in the attestation process.</w:t>
      </w:r>
    </w:p>
    <w:p w14:paraId="7B82F99D" w14:textId="5B722301" w:rsidR="00A86065" w:rsidRDefault="00A86065" w:rsidP="00C825E3">
      <w:pPr>
        <w:rPr>
          <w:lang w:val="en-US" w:eastAsia="en-US"/>
        </w:rPr>
      </w:pPr>
      <w:r>
        <w:rPr>
          <w:lang w:val="en-US" w:eastAsia="en-US"/>
        </w:rPr>
        <w:t xml:space="preserve">While ACCAN notes that internal audits may be cost-effective and suitable for assessing compliance for small market participants, we consider that external and independent audits of compliance are appropriate for </w:t>
      </w:r>
      <w:r w:rsidR="00917335">
        <w:rPr>
          <w:lang w:val="en-US" w:eastAsia="en-US"/>
        </w:rPr>
        <w:t>medium to large market participants.</w:t>
      </w:r>
      <w:r w:rsidR="008F781E">
        <w:rPr>
          <w:lang w:val="en-US" w:eastAsia="en-US"/>
        </w:rPr>
        <w:t xml:space="preserve"> We note that many recent instances of non-compliance with the TCP Code and consumer protection laws have stemmed from failures in large and </w:t>
      </w:r>
      <w:proofErr w:type="gramStart"/>
      <w:r w:rsidR="008F781E">
        <w:rPr>
          <w:lang w:val="en-US" w:eastAsia="en-US"/>
        </w:rPr>
        <w:t>well established</w:t>
      </w:r>
      <w:proofErr w:type="gramEnd"/>
      <w:r w:rsidR="008F781E">
        <w:rPr>
          <w:lang w:val="en-US" w:eastAsia="en-US"/>
        </w:rPr>
        <w:t xml:space="preserve"> market participants, that have the resources to ensure appropriate </w:t>
      </w:r>
      <w:r w:rsidR="00116219">
        <w:rPr>
          <w:lang w:val="en-US" w:eastAsia="en-US"/>
        </w:rPr>
        <w:t>arrangements are in place to support compliance.</w:t>
      </w:r>
    </w:p>
    <w:p w14:paraId="79B38C63" w14:textId="608AE36B" w:rsidR="001A386D" w:rsidRDefault="001A386D" w:rsidP="001A386D">
      <w:pPr>
        <w:pStyle w:val="Heading1"/>
        <w:rPr>
          <w:lang w:val="en-US" w:eastAsia="en-US"/>
        </w:rPr>
      </w:pPr>
      <w:r w:rsidRPr="003573DB">
        <w:rPr>
          <w:lang w:val="en-US" w:eastAsia="en-US"/>
        </w:rPr>
        <w:t xml:space="preserve">Response to question </w:t>
      </w:r>
      <w:r w:rsidR="00847FB6">
        <w:rPr>
          <w:lang w:val="en-US" w:eastAsia="en-US"/>
        </w:rPr>
        <w:t>10</w:t>
      </w:r>
    </w:p>
    <w:p w14:paraId="37FF1B77" w14:textId="3FB22B04" w:rsidR="00F70340" w:rsidRDefault="00847FB6" w:rsidP="002F0B4F">
      <w:pPr>
        <w:rPr>
          <w:rFonts w:ascii="Calibri" w:eastAsia="Calibri" w:hAnsi="Calibri" w:cs="Times New Roman"/>
          <w:kern w:val="2"/>
          <w:lang w:val="en-US" w:eastAsia="en-US"/>
          <w14:ligatures w14:val="standardContextual"/>
        </w:rPr>
      </w:pPr>
      <w:r w:rsidRPr="00D11C2A">
        <w:rPr>
          <w:b/>
          <w:bCs/>
          <w:lang w:val="en-US" w:eastAsia="en-US"/>
        </w:rPr>
        <w:t xml:space="preserve">Question 10: </w:t>
      </w:r>
      <w:r w:rsidRPr="00D11C2A">
        <w:rPr>
          <w:rFonts w:ascii="Calibri" w:eastAsia="Calibri" w:hAnsi="Calibri" w:cs="Times New Roman"/>
          <w:b/>
          <w:bCs/>
          <w:kern w:val="2"/>
          <w:lang w:val="en-US" w:eastAsia="en-US"/>
          <w14:ligatures w14:val="standardContextual"/>
        </w:rPr>
        <w:t xml:space="preserve">Do you have any comments about other Code compliance, enforcement, and reporting arrangements (other than by </w:t>
      </w:r>
      <w:proofErr w:type="spellStart"/>
      <w:r w:rsidRPr="00D11C2A">
        <w:rPr>
          <w:rFonts w:ascii="Calibri" w:eastAsia="Calibri" w:hAnsi="Calibri" w:cs="Times New Roman"/>
          <w:b/>
          <w:bCs/>
          <w:kern w:val="2"/>
          <w:lang w:val="en-US" w:eastAsia="en-US"/>
          <w14:ligatures w14:val="standardContextual"/>
        </w:rPr>
        <w:t>CommCom</w:t>
      </w:r>
      <w:proofErr w:type="spellEnd"/>
      <w:r w:rsidRPr="00D11C2A">
        <w:rPr>
          <w:rFonts w:ascii="Calibri" w:eastAsia="Calibri" w:hAnsi="Calibri" w:cs="Times New Roman"/>
          <w:b/>
          <w:bCs/>
          <w:kern w:val="2"/>
          <w:lang w:val="en-US" w:eastAsia="en-US"/>
          <w14:ligatures w14:val="standardContextual"/>
        </w:rPr>
        <w:t xml:space="preserve">)? </w:t>
      </w:r>
    </w:p>
    <w:p w14:paraId="68F55C0E" w14:textId="25FFE70D" w:rsidR="00E66F2B" w:rsidRDefault="000E5504" w:rsidP="00BD4889">
      <w:pPr>
        <w:spacing w:after="160" w:line="259" w:lineRule="auto"/>
        <w:rPr>
          <w:rFonts w:ascii="Calibri" w:eastAsia="Calibri" w:hAnsi="Calibri" w:cs="Times New Roman"/>
          <w:kern w:val="2"/>
          <w:lang w:val="en-US" w:eastAsia="en-US"/>
          <w14:ligatures w14:val="standardContextual"/>
        </w:rPr>
      </w:pPr>
      <w:r>
        <w:rPr>
          <w:rFonts w:ascii="Calibri" w:eastAsia="Calibri" w:hAnsi="Calibri" w:cs="Times New Roman"/>
          <w:kern w:val="2"/>
          <w:lang w:val="en-US" w:eastAsia="en-US"/>
          <w14:ligatures w14:val="standardContextual"/>
        </w:rPr>
        <w:t>In principle, a self-regulatory framework implies that the burden and obligation to police compliance for industry performance lies primarily with industry</w:t>
      </w:r>
      <w:r w:rsidR="009E1F00">
        <w:rPr>
          <w:rFonts w:ascii="Calibri" w:eastAsia="Calibri" w:hAnsi="Calibri" w:cs="Times New Roman"/>
          <w:kern w:val="2"/>
          <w:lang w:val="en-US" w:eastAsia="en-US"/>
          <w14:ligatures w14:val="standardContextual"/>
        </w:rPr>
        <w:t>, which frequently advises ACCAN that it has the incentive and ability to do so</w:t>
      </w:r>
      <w:r>
        <w:rPr>
          <w:rFonts w:ascii="Calibri" w:eastAsia="Calibri" w:hAnsi="Calibri" w:cs="Times New Roman"/>
          <w:kern w:val="2"/>
          <w:lang w:val="en-US" w:eastAsia="en-US"/>
          <w14:ligatures w14:val="standardContextual"/>
        </w:rPr>
        <w:t xml:space="preserve">. </w:t>
      </w:r>
      <w:r w:rsidR="00101614">
        <w:rPr>
          <w:rFonts w:ascii="Calibri" w:eastAsia="Calibri" w:hAnsi="Calibri" w:cs="Times New Roman"/>
          <w:kern w:val="2"/>
          <w:lang w:val="en-US" w:eastAsia="en-US"/>
          <w14:ligatures w14:val="standardContextual"/>
        </w:rPr>
        <w:t>Fundamentally therefore the responsibility for non-compliance and poor consumer outcomes primarily lies with industry</w:t>
      </w:r>
      <w:r w:rsidR="00007E4A">
        <w:rPr>
          <w:rFonts w:ascii="Calibri" w:eastAsia="Calibri" w:hAnsi="Calibri" w:cs="Times New Roman"/>
          <w:kern w:val="2"/>
          <w:lang w:val="en-US" w:eastAsia="en-US"/>
          <w14:ligatures w14:val="standardContextual"/>
        </w:rPr>
        <w:t xml:space="preserve"> who </w:t>
      </w:r>
      <w:proofErr w:type="gramStart"/>
      <w:r w:rsidR="00007E4A">
        <w:rPr>
          <w:rFonts w:ascii="Calibri" w:eastAsia="Calibri" w:hAnsi="Calibri" w:cs="Times New Roman"/>
          <w:kern w:val="2"/>
          <w:lang w:val="en-US" w:eastAsia="en-US"/>
          <w14:ligatures w14:val="standardContextual"/>
        </w:rPr>
        <w:t>have the ability to</w:t>
      </w:r>
      <w:proofErr w:type="gramEnd"/>
      <w:r w:rsidR="00007E4A">
        <w:rPr>
          <w:rFonts w:ascii="Calibri" w:eastAsia="Calibri" w:hAnsi="Calibri" w:cs="Times New Roman"/>
          <w:kern w:val="2"/>
          <w:lang w:val="en-US" w:eastAsia="en-US"/>
          <w14:ligatures w14:val="standardContextual"/>
        </w:rPr>
        <w:t xml:space="preserve"> set and police their own performance under the current regulatory regime</w:t>
      </w:r>
      <w:r w:rsidR="00101614">
        <w:rPr>
          <w:rFonts w:ascii="Calibri" w:eastAsia="Calibri" w:hAnsi="Calibri" w:cs="Times New Roman"/>
          <w:kern w:val="2"/>
          <w:lang w:val="en-US" w:eastAsia="en-US"/>
          <w14:ligatures w14:val="standardContextual"/>
        </w:rPr>
        <w:t xml:space="preserve">. </w:t>
      </w:r>
    </w:p>
    <w:p w14:paraId="3BBD1FB9" w14:textId="3BFD9F02" w:rsidR="00A120B6" w:rsidRDefault="000E5504" w:rsidP="00CC2AC4">
      <w:pPr>
        <w:spacing w:after="160" w:line="259" w:lineRule="auto"/>
        <w:rPr>
          <w:rFonts w:ascii="Calibri" w:eastAsia="Calibri" w:hAnsi="Calibri" w:cs="Times New Roman"/>
          <w:kern w:val="2"/>
          <w:lang w:val="en-US" w:eastAsia="en-US"/>
          <w14:ligatures w14:val="standardContextual"/>
        </w:rPr>
      </w:pPr>
      <w:r>
        <w:rPr>
          <w:rFonts w:ascii="Calibri" w:eastAsia="Calibri" w:hAnsi="Calibri" w:cs="Times New Roman"/>
          <w:kern w:val="2"/>
          <w:lang w:val="en-US" w:eastAsia="en-US"/>
          <w14:ligatures w14:val="standardContextual"/>
        </w:rPr>
        <w:t>ACCAN considers that notwithstanding the limited enforcement powers, discretion, resourcing</w:t>
      </w:r>
      <w:r w:rsidR="00E867A1">
        <w:rPr>
          <w:rFonts w:ascii="Calibri" w:eastAsia="Calibri" w:hAnsi="Calibri" w:cs="Times New Roman"/>
          <w:kern w:val="2"/>
          <w:lang w:val="en-US" w:eastAsia="en-US"/>
          <w14:ligatures w14:val="standardContextual"/>
        </w:rPr>
        <w:t>,</w:t>
      </w:r>
      <w:r>
        <w:rPr>
          <w:rFonts w:ascii="Calibri" w:eastAsia="Calibri" w:hAnsi="Calibri" w:cs="Times New Roman"/>
          <w:kern w:val="2"/>
          <w:lang w:val="en-US" w:eastAsia="en-US"/>
          <w14:ligatures w14:val="standardContextual"/>
        </w:rPr>
        <w:t xml:space="preserve"> and penalties </w:t>
      </w:r>
      <w:r w:rsidR="006A2E26">
        <w:rPr>
          <w:rFonts w:ascii="Calibri" w:eastAsia="Calibri" w:hAnsi="Calibri" w:cs="Times New Roman"/>
          <w:kern w:val="2"/>
          <w:lang w:val="en-US" w:eastAsia="en-US"/>
          <w14:ligatures w14:val="standardContextual"/>
        </w:rPr>
        <w:t>available to the ACMA</w:t>
      </w:r>
      <w:r w:rsidR="001E4108">
        <w:rPr>
          <w:rFonts w:ascii="Calibri" w:eastAsia="Calibri" w:hAnsi="Calibri" w:cs="Times New Roman"/>
          <w:kern w:val="2"/>
          <w:lang w:val="en-US" w:eastAsia="en-US"/>
          <w14:ligatures w14:val="standardContextual"/>
        </w:rPr>
        <w:t>,</w:t>
      </w:r>
      <w:r w:rsidR="006A2E26">
        <w:rPr>
          <w:rFonts w:ascii="Calibri" w:eastAsia="Calibri" w:hAnsi="Calibri" w:cs="Times New Roman"/>
          <w:kern w:val="2"/>
          <w:lang w:val="en-US" w:eastAsia="en-US"/>
          <w14:ligatures w14:val="standardContextual"/>
        </w:rPr>
        <w:t xml:space="preserve"> it has sought to execute its function as a regulatory backstop admirably. </w:t>
      </w:r>
      <w:r w:rsidR="00E40CFA">
        <w:rPr>
          <w:rFonts w:ascii="Calibri" w:eastAsia="Calibri" w:hAnsi="Calibri" w:cs="Times New Roman"/>
          <w:kern w:val="2"/>
          <w:lang w:val="en-US" w:eastAsia="en-US"/>
          <w14:ligatures w14:val="standardContextual"/>
        </w:rPr>
        <w:t xml:space="preserve">While no regulator or regulatory framework is perfect, we consider that the ACMA is as effective as can be expected given the significant limitations placed upon it by existing regulatory arrangements. </w:t>
      </w:r>
      <w:r w:rsidR="00CC2AC4">
        <w:rPr>
          <w:rFonts w:ascii="Calibri" w:eastAsia="Calibri" w:hAnsi="Calibri" w:cs="Times New Roman"/>
          <w:kern w:val="2"/>
          <w:lang w:val="en-US" w:eastAsia="en-US"/>
          <w14:ligatures w14:val="standardContextual"/>
        </w:rPr>
        <w:t xml:space="preserve">Noting ongoing failures on the part of industry to effectively police the conduct of its own </w:t>
      </w:r>
      <w:r w:rsidR="00356F16">
        <w:rPr>
          <w:rFonts w:ascii="Calibri" w:eastAsia="Calibri" w:hAnsi="Calibri" w:cs="Times New Roman"/>
          <w:kern w:val="2"/>
          <w:lang w:val="en-US" w:eastAsia="en-US"/>
          <w14:ligatures w14:val="standardContextual"/>
        </w:rPr>
        <w:t>members,</w:t>
      </w:r>
      <w:r w:rsidR="00CC2AC4">
        <w:rPr>
          <w:rFonts w:ascii="Calibri" w:eastAsia="Calibri" w:hAnsi="Calibri" w:cs="Times New Roman"/>
          <w:kern w:val="2"/>
          <w:lang w:val="en-US" w:eastAsia="en-US"/>
          <w14:ligatures w14:val="standardContextual"/>
        </w:rPr>
        <w:t xml:space="preserve"> we consider that reforms are necessary to empower an effective and efficient regulator.</w:t>
      </w:r>
      <w:r w:rsidR="00534BE5">
        <w:rPr>
          <w:rFonts w:ascii="Calibri" w:eastAsia="Calibri" w:hAnsi="Calibri" w:cs="Times New Roman"/>
          <w:kern w:val="2"/>
          <w:lang w:val="en-US" w:eastAsia="en-US"/>
          <w14:ligatures w14:val="standardContextual"/>
        </w:rPr>
        <w:t xml:space="preserve"> </w:t>
      </w:r>
    </w:p>
    <w:p w14:paraId="781DB084" w14:textId="2BA178DC" w:rsidR="001A386D" w:rsidRDefault="001A386D" w:rsidP="001A386D">
      <w:pPr>
        <w:pStyle w:val="Heading1"/>
        <w:rPr>
          <w:lang w:val="en-US" w:eastAsia="en-US"/>
        </w:rPr>
      </w:pPr>
      <w:r w:rsidRPr="003573DB">
        <w:rPr>
          <w:lang w:val="en-US" w:eastAsia="en-US"/>
        </w:rPr>
        <w:t xml:space="preserve">Response to question </w:t>
      </w:r>
      <w:r w:rsidR="004A78D3">
        <w:rPr>
          <w:lang w:val="en-US" w:eastAsia="en-US"/>
        </w:rPr>
        <w:t>11</w:t>
      </w:r>
    </w:p>
    <w:p w14:paraId="326F0B63" w14:textId="2E3644F5" w:rsidR="003D4B57" w:rsidRDefault="00D11C2A" w:rsidP="004A78D3">
      <w:pPr>
        <w:rPr>
          <w:b/>
          <w:bCs/>
          <w:lang w:val="en-US" w:eastAsia="en-US"/>
        </w:rPr>
      </w:pPr>
      <w:r>
        <w:rPr>
          <w:b/>
          <w:bCs/>
          <w:lang w:val="en-US" w:eastAsia="en-US"/>
        </w:rPr>
        <w:t xml:space="preserve">Question 11: </w:t>
      </w:r>
      <w:r w:rsidRPr="00D11C2A">
        <w:rPr>
          <w:b/>
          <w:bCs/>
          <w:lang w:val="en-US" w:eastAsia="en-US"/>
        </w:rPr>
        <w:t>Do you have any additional comments or suggestions to assist the review?</w:t>
      </w:r>
    </w:p>
    <w:p w14:paraId="394F5B36" w14:textId="13BE4D07" w:rsidR="008D2563" w:rsidRDefault="007C4CF6" w:rsidP="008D2563">
      <w:pPr>
        <w:rPr>
          <w:lang w:val="en-US" w:eastAsia="en-US"/>
        </w:rPr>
      </w:pPr>
      <w:r>
        <w:rPr>
          <w:lang w:val="en-US" w:eastAsia="en-US"/>
        </w:rPr>
        <w:t xml:space="preserve">ACCAN encourages Communications Alliance to engage widely on the TCP Code </w:t>
      </w:r>
      <w:proofErr w:type="gramStart"/>
      <w:r>
        <w:rPr>
          <w:lang w:val="en-US" w:eastAsia="en-US"/>
        </w:rPr>
        <w:t>in order to</w:t>
      </w:r>
      <w:proofErr w:type="gramEnd"/>
      <w:r>
        <w:rPr>
          <w:lang w:val="en-US" w:eastAsia="en-US"/>
        </w:rPr>
        <w:t xml:space="preserve"> elicit a diversity of views on mechanisms to improve the code and supporting arrangements. While we are conscious that many community</w:t>
      </w:r>
      <w:r w:rsidR="0020560A">
        <w:rPr>
          <w:lang w:val="en-US" w:eastAsia="en-US"/>
        </w:rPr>
        <w:t xml:space="preserve"> sector organisations have limited resources,</w:t>
      </w:r>
      <w:r>
        <w:rPr>
          <w:lang w:val="en-US" w:eastAsia="en-US"/>
        </w:rPr>
        <w:t xml:space="preserve"> </w:t>
      </w:r>
      <w:r w:rsidR="0020560A">
        <w:rPr>
          <w:lang w:val="en-US" w:eastAsia="en-US"/>
        </w:rPr>
        <w:t>t</w:t>
      </w:r>
      <w:r w:rsidR="008D2563">
        <w:rPr>
          <w:lang w:val="en-US" w:eastAsia="en-US"/>
        </w:rPr>
        <w:t>o support the development of consumer protections that reflect the diversity of Australia’s population, ACCAN recommends Communications Alliance undertake an inclusive consultation process and publishes the results of their findings. We encourage Communications Alliance investigate whether an industry code aligns with other essential services approaches to safeguarding vulnerable consumers in Australia.</w:t>
      </w:r>
    </w:p>
    <w:p w14:paraId="30F1BC3C" w14:textId="1FA3E23A" w:rsidR="007C4CF6" w:rsidRDefault="007C4CF6" w:rsidP="0020560A">
      <w:pPr>
        <w:rPr>
          <w:rFonts w:ascii="Calibri" w:eastAsia="Calibri" w:hAnsi="Calibri" w:cs="Times New Roman"/>
          <w:kern w:val="2"/>
          <w:lang w:val="en-US" w:eastAsia="en-US"/>
          <w14:ligatures w14:val="standardContextual"/>
        </w:rPr>
      </w:pPr>
      <w:r>
        <w:rPr>
          <w:rFonts w:ascii="Calibri" w:eastAsia="Calibri" w:hAnsi="Calibri" w:cs="Times New Roman"/>
          <w:kern w:val="2"/>
          <w:lang w:val="en-US" w:eastAsia="en-US"/>
          <w14:ligatures w14:val="standardContextual"/>
        </w:rPr>
        <w:t xml:space="preserve">Noting </w:t>
      </w:r>
      <w:r w:rsidR="008C5C79">
        <w:rPr>
          <w:rFonts w:ascii="Calibri" w:eastAsia="Calibri" w:hAnsi="Calibri" w:cs="Times New Roman"/>
          <w:kern w:val="2"/>
          <w:lang w:val="en-US" w:eastAsia="en-US"/>
          <w14:ligatures w14:val="standardContextual"/>
        </w:rPr>
        <w:t xml:space="preserve">the extensive </w:t>
      </w:r>
      <w:r>
        <w:rPr>
          <w:rFonts w:ascii="Calibri" w:eastAsia="Calibri" w:hAnsi="Calibri" w:cs="Times New Roman"/>
          <w:kern w:val="2"/>
          <w:lang w:val="en-US" w:eastAsia="en-US"/>
          <w14:ligatures w14:val="standardContextual"/>
        </w:rPr>
        <w:t xml:space="preserve">historical </w:t>
      </w:r>
      <w:r w:rsidR="008C5C79">
        <w:rPr>
          <w:rFonts w:ascii="Calibri" w:eastAsia="Calibri" w:hAnsi="Calibri" w:cs="Times New Roman"/>
          <w:kern w:val="2"/>
          <w:lang w:val="en-US" w:eastAsia="en-US"/>
          <w14:ligatures w14:val="standardContextual"/>
        </w:rPr>
        <w:t xml:space="preserve">engagement </w:t>
      </w:r>
      <w:r>
        <w:rPr>
          <w:rFonts w:ascii="Calibri" w:eastAsia="Calibri" w:hAnsi="Calibri" w:cs="Times New Roman"/>
          <w:kern w:val="2"/>
          <w:lang w:val="en-US" w:eastAsia="en-US"/>
          <w14:ligatures w14:val="standardContextual"/>
        </w:rPr>
        <w:t>issues with the TCP Code</w:t>
      </w:r>
      <w:r w:rsidR="001E78F2">
        <w:rPr>
          <w:rFonts w:ascii="Calibri" w:eastAsia="Calibri" w:hAnsi="Calibri" w:cs="Times New Roman"/>
          <w:kern w:val="2"/>
          <w:lang w:val="en-US" w:eastAsia="en-US"/>
          <w14:ligatures w14:val="standardContextual"/>
        </w:rPr>
        <w:t xml:space="preserve"> and the limited revision of the TCP Code at the last review, </w:t>
      </w:r>
      <w:r w:rsidR="008C5C79">
        <w:rPr>
          <w:rFonts w:ascii="Calibri" w:eastAsia="Calibri" w:hAnsi="Calibri" w:cs="Times New Roman"/>
          <w:kern w:val="2"/>
          <w:lang w:val="en-US" w:eastAsia="en-US"/>
          <w14:ligatures w14:val="standardContextual"/>
        </w:rPr>
        <w:t>we</w:t>
      </w:r>
      <w:r>
        <w:rPr>
          <w:rFonts w:ascii="Calibri" w:eastAsia="Calibri" w:hAnsi="Calibri" w:cs="Times New Roman"/>
          <w:kern w:val="2"/>
          <w:lang w:val="en-US" w:eastAsia="en-US"/>
          <w14:ligatures w14:val="standardContextual"/>
        </w:rPr>
        <w:t xml:space="preserve"> encourage Communications Alliance to </w:t>
      </w:r>
      <w:r w:rsidR="001E78F2">
        <w:rPr>
          <w:rFonts w:ascii="Calibri" w:eastAsia="Calibri" w:hAnsi="Calibri" w:cs="Times New Roman"/>
          <w:kern w:val="2"/>
          <w:lang w:val="en-US" w:eastAsia="en-US"/>
          <w14:ligatures w14:val="standardContextual"/>
        </w:rPr>
        <w:t>examine the detailed comments previously provided by ACCAN and other organisations. We consider th</w:t>
      </w:r>
      <w:r w:rsidR="004515F4">
        <w:rPr>
          <w:rFonts w:ascii="Calibri" w:eastAsia="Calibri" w:hAnsi="Calibri" w:cs="Times New Roman"/>
          <w:kern w:val="2"/>
          <w:lang w:val="en-US" w:eastAsia="en-US"/>
          <w14:ligatures w14:val="standardContextual"/>
        </w:rPr>
        <w:t>is is an appropriate starting point, noting the limited resourcing and availability of historical participants.</w:t>
      </w:r>
    </w:p>
    <w:p w14:paraId="2996FAF1" w14:textId="6B8AD85F" w:rsidR="001E78F2" w:rsidRDefault="00085A43" w:rsidP="0078671A">
      <w:pPr>
        <w:rPr>
          <w:rFonts w:ascii="Calibri" w:eastAsia="Calibri" w:hAnsi="Calibri" w:cs="Times New Roman"/>
          <w:kern w:val="2"/>
          <w:lang w:val="en-US" w:eastAsia="en-US"/>
          <w14:ligatures w14:val="standardContextual"/>
        </w:rPr>
      </w:pPr>
      <w:r>
        <w:rPr>
          <w:rFonts w:ascii="Calibri" w:eastAsia="Calibri" w:hAnsi="Calibri" w:cs="Times New Roman"/>
          <w:kern w:val="2"/>
          <w:lang w:val="en-US" w:eastAsia="en-US"/>
          <w14:ligatures w14:val="standardContextual"/>
        </w:rPr>
        <w:t>Importantly</w:t>
      </w:r>
      <w:r w:rsidR="001E78F2">
        <w:rPr>
          <w:rFonts w:ascii="Calibri" w:eastAsia="Calibri" w:hAnsi="Calibri" w:cs="Times New Roman"/>
          <w:kern w:val="2"/>
          <w:lang w:val="en-US" w:eastAsia="en-US"/>
          <w14:ligatures w14:val="standardContextual"/>
        </w:rPr>
        <w:t>, we encourage Communications Alliance to engage critically with the outstanding issues and concerns raised with respect to the TCP Code</w:t>
      </w:r>
      <w:r>
        <w:rPr>
          <w:rFonts w:ascii="Calibri" w:eastAsia="Calibri" w:hAnsi="Calibri" w:cs="Times New Roman"/>
          <w:kern w:val="2"/>
          <w:lang w:val="en-US" w:eastAsia="en-US"/>
          <w14:ligatures w14:val="standardContextual"/>
        </w:rPr>
        <w:t xml:space="preserve"> and challenge its own appetite for reform</w:t>
      </w:r>
      <w:r w:rsidR="001E78F2">
        <w:rPr>
          <w:rFonts w:ascii="Calibri" w:eastAsia="Calibri" w:hAnsi="Calibri" w:cs="Times New Roman"/>
          <w:kern w:val="2"/>
          <w:lang w:val="en-US" w:eastAsia="en-US"/>
          <w14:ligatures w14:val="standardContextual"/>
        </w:rPr>
        <w:t>. While we have confidence in Communications Alliance</w:t>
      </w:r>
      <w:r w:rsidR="00DC493A">
        <w:rPr>
          <w:rFonts w:ascii="Calibri" w:eastAsia="Calibri" w:hAnsi="Calibri" w:cs="Times New Roman"/>
          <w:kern w:val="2"/>
          <w:lang w:val="en-US" w:eastAsia="en-US"/>
          <w14:ligatures w14:val="standardContextual"/>
        </w:rPr>
        <w:t>’s</w:t>
      </w:r>
      <w:r w:rsidR="001E78F2">
        <w:rPr>
          <w:rFonts w:ascii="Calibri" w:eastAsia="Calibri" w:hAnsi="Calibri" w:cs="Times New Roman"/>
          <w:kern w:val="2"/>
          <w:lang w:val="en-US" w:eastAsia="en-US"/>
          <w14:ligatures w14:val="standardContextual"/>
        </w:rPr>
        <w:t xml:space="preserve"> understanding of the issues raised, </w:t>
      </w:r>
      <w:r>
        <w:rPr>
          <w:rFonts w:ascii="Calibri" w:eastAsia="Calibri" w:hAnsi="Calibri" w:cs="Times New Roman"/>
          <w:kern w:val="2"/>
          <w:lang w:val="en-US" w:eastAsia="en-US"/>
          <w14:ligatures w14:val="standardContextual"/>
        </w:rPr>
        <w:t>we consider that an incrementalist approach to consumer protection has failed to deliver improvements in the TCP Code and broader arrangements in keeping with consumer and community expectations.</w:t>
      </w:r>
    </w:p>
    <w:p w14:paraId="6359A4FA" w14:textId="327CEBB3" w:rsidR="007C471F" w:rsidRPr="00D736A8" w:rsidRDefault="001E78F2" w:rsidP="00D736A8">
      <w:pPr>
        <w:rPr>
          <w:rFonts w:ascii="Calibri" w:eastAsia="Calibri" w:hAnsi="Calibri" w:cs="Times New Roman"/>
          <w:kern w:val="2"/>
          <w:lang w:val="en-US" w:eastAsia="en-US"/>
          <w14:ligatures w14:val="standardContextual"/>
        </w:rPr>
      </w:pPr>
      <w:r>
        <w:rPr>
          <w:rFonts w:ascii="Calibri" w:eastAsia="Calibri" w:hAnsi="Calibri" w:cs="Times New Roman"/>
          <w:kern w:val="2"/>
          <w:lang w:val="en-US" w:eastAsia="en-US"/>
          <w14:ligatures w14:val="standardContextual"/>
        </w:rPr>
        <w:t xml:space="preserve">While striking a pragmatic approach to code revisions </w:t>
      </w:r>
      <w:r w:rsidR="00085A43">
        <w:rPr>
          <w:rFonts w:ascii="Calibri" w:eastAsia="Calibri" w:hAnsi="Calibri" w:cs="Times New Roman"/>
          <w:kern w:val="2"/>
          <w:lang w:val="en-US" w:eastAsia="en-US"/>
          <w14:ligatures w14:val="standardContextual"/>
        </w:rPr>
        <w:t>may suit some in industry, an incrementalist approach risks the TCP Code losing relevance in a rapidly evolving market and society. Accordingly, we encourage Communications Alliance to examine closely the objective and intent of the TCP Cod</w:t>
      </w:r>
      <w:r w:rsidR="00DB4D7C">
        <w:rPr>
          <w:rFonts w:ascii="Calibri" w:eastAsia="Calibri" w:hAnsi="Calibri" w:cs="Times New Roman"/>
          <w:kern w:val="2"/>
          <w:lang w:val="en-US" w:eastAsia="en-US"/>
          <w14:ligatures w14:val="standardContextual"/>
        </w:rPr>
        <w:t xml:space="preserve">e and supporting arrangements and align the aspirations of the TCP Code more closely with the expectations of consumers and </w:t>
      </w:r>
      <w:r w:rsidR="001C3C24">
        <w:rPr>
          <w:rFonts w:ascii="Calibri" w:eastAsia="Calibri" w:hAnsi="Calibri" w:cs="Times New Roman"/>
          <w:kern w:val="2"/>
          <w:lang w:val="en-US" w:eastAsia="en-US"/>
          <w14:ligatures w14:val="standardContextual"/>
        </w:rPr>
        <w:t>community</w:t>
      </w:r>
      <w:r w:rsidR="00DB4D7C">
        <w:rPr>
          <w:rFonts w:ascii="Calibri" w:eastAsia="Calibri" w:hAnsi="Calibri" w:cs="Times New Roman"/>
          <w:kern w:val="2"/>
          <w:lang w:val="en-US" w:eastAsia="en-US"/>
          <w14:ligatures w14:val="standardContextual"/>
        </w:rPr>
        <w:t>.</w:t>
      </w:r>
    </w:p>
    <w:p w14:paraId="3B4047FD" w14:textId="77777777" w:rsidR="00353C9D" w:rsidRPr="00F43260" w:rsidRDefault="00353C9D" w:rsidP="00E146E9">
      <w:pPr>
        <w:pStyle w:val="FundingAcknowledgement"/>
        <w:rPr>
          <w:bCs/>
        </w:rPr>
      </w:pPr>
      <w:r w:rsidRPr="006C7432">
        <w:t xml:space="preserve">The Australian Communications Consumer </w:t>
      </w:r>
      <w:r w:rsidRPr="00A44854">
        <w:t>Action</w:t>
      </w:r>
      <w:r w:rsidRPr="006C7432">
        <w:t xml:space="preserve"> Network (ACCAN) is Australia’s peak communication consumer </w:t>
      </w:r>
      <w:proofErr w:type="spellStart"/>
      <w:r w:rsidRPr="006C7432">
        <w:t>organisation</w:t>
      </w:r>
      <w:proofErr w:type="spellEnd"/>
      <w:r w:rsidRPr="006C7432">
        <w:t xml:space="preserve">. The operation of ACCAN is made possible by funding </w:t>
      </w:r>
      <w:r w:rsidRPr="00A44854">
        <w:t>provided</w:t>
      </w:r>
      <w:r w:rsidRPr="006C7432">
        <w:t xml:space="preserve"> by the Commonwealth of Australia under section 593 of the Telecommunications Act 1997. This funding is recovered from charges on telecommunications carriers.</w:t>
      </w:r>
    </w:p>
    <w:p w14:paraId="2C1697E4" w14:textId="77777777" w:rsidR="00353C9D" w:rsidRPr="00353C9D" w:rsidRDefault="00162724" w:rsidP="00E146E9">
      <w:pPr>
        <w:pStyle w:val="FundingAcknowledgement"/>
      </w:pPr>
      <w:r>
        <w:t xml:space="preserve">ACCAN is committed to reconciliation that acknowledges Australia’s past and values the unique culture and heritage of Aboriginal and Torres Strait Islander peoples.  </w:t>
      </w:r>
      <w:hyperlink r:id="rId23" w:history="1">
        <w:r>
          <w:rPr>
            <w:rStyle w:val="Hyperlink"/>
          </w:rPr>
          <w:t>Read our RAP</w:t>
        </w:r>
      </w:hyperlink>
    </w:p>
    <w:sectPr w:rsidR="00353C9D" w:rsidRPr="00353C9D" w:rsidSect="00472A35">
      <w:headerReference w:type="default" r:id="rId24"/>
      <w:footerReference w:type="default" r:id="rId25"/>
      <w:footerReference w:type="first" r:id="rId26"/>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E9DD8C" w14:textId="77777777" w:rsidR="009A320B" w:rsidRDefault="009A320B">
      <w:pPr>
        <w:spacing w:after="0" w:line="240" w:lineRule="auto"/>
      </w:pPr>
      <w:r>
        <w:separator/>
      </w:r>
    </w:p>
    <w:p w14:paraId="03E4ECED" w14:textId="77777777" w:rsidR="009A320B" w:rsidRDefault="009A320B"/>
  </w:endnote>
  <w:endnote w:type="continuationSeparator" w:id="0">
    <w:p w14:paraId="4623D597" w14:textId="77777777" w:rsidR="009A320B" w:rsidRDefault="009A320B">
      <w:pPr>
        <w:spacing w:after="0" w:line="240" w:lineRule="auto"/>
      </w:pPr>
      <w:r>
        <w:continuationSeparator/>
      </w:r>
    </w:p>
    <w:p w14:paraId="67C5D068" w14:textId="77777777" w:rsidR="009A320B" w:rsidRDefault="009A320B"/>
  </w:endnote>
  <w:endnote w:type="continuationNotice" w:id="1">
    <w:p w14:paraId="6728AB00" w14:textId="77777777" w:rsidR="009A320B" w:rsidRDefault="009A320B">
      <w:pPr>
        <w:spacing w:after="0" w:line="240" w:lineRule="auto"/>
      </w:pPr>
    </w:p>
    <w:p w14:paraId="1E351DC8" w14:textId="77777777" w:rsidR="009A320B" w:rsidRDefault="009A32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C93CAE3-22A8-48B5-935B-C310D91F1972}"/>
    <w:embedBold r:id="rId2" w:fontKey="{034D22E7-D0DE-4197-A106-7D738BA984BD}"/>
    <w:embedItalic r:id="rId3" w:fontKey="{3AD27B34-AAAC-4DC8-99BD-46CB34453EA7}"/>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E634C4F8-385F-4F57-A97C-A93065C3A3C6}"/>
    <w:embedItalic r:id="rId5" w:fontKey="{E239E24D-BB0B-4111-97F9-6C9757DE0D4B}"/>
  </w:font>
  <w:font w:name="Tahoma">
    <w:panose1 w:val="020B0604030504040204"/>
    <w:charset w:val="00"/>
    <w:family w:val="swiss"/>
    <w:pitch w:val="variable"/>
    <w:sig w:usb0="E1002EFF" w:usb1="C000605B" w:usb2="00000029" w:usb3="00000000" w:csb0="000101FF" w:csb1="00000000"/>
    <w:embedRegular r:id="rId6" w:fontKey="{372E89E2-691F-450C-A7D1-627DB3B0AFC6}"/>
  </w:font>
  <w:font w:name="Verdana">
    <w:panose1 w:val="020B0604030504040204"/>
    <w:charset w:val="00"/>
    <w:family w:val="swiss"/>
    <w:pitch w:val="variable"/>
    <w:sig w:usb0="A00006FF" w:usb1="4000205B" w:usb2="00000010" w:usb3="00000000" w:csb0="0000019F" w:csb1="00000000"/>
    <w:embedRegular r:id="rId7" w:fontKey="{B30CE878-223E-4AFE-8325-46F2452E0DD6}"/>
    <w:embedBold r:id="rId8" w:fontKey="{74F4A9A2-D42F-4A7F-A642-DCBFB4C03107}"/>
    <w:embedBoldItalic r:id="rId9" w:fontKey="{77A83EB4-7261-4F9D-8190-939A9C8C0652}"/>
  </w:font>
  <w:font w:name="Trebuchet MS">
    <w:panose1 w:val="020B0603020202020204"/>
    <w:charset w:val="00"/>
    <w:family w:val="swiss"/>
    <w:pitch w:val="variable"/>
    <w:sig w:usb0="00000687" w:usb1="00000000" w:usb2="00000000" w:usb3="00000000" w:csb0="0000009F" w:csb1="00000000"/>
    <w:embedRegular r:id="rId10" w:fontKey="{B0C512F0-0617-4748-B820-4DC8A1A67762}"/>
  </w:font>
  <w:font w:name="Gotham">
    <w:altName w:val="Calibri"/>
    <w:charset w:val="00"/>
    <w:family w:val="auto"/>
    <w:pitch w:val="variable"/>
    <w:sig w:usb0="800000A7" w:usb1="00000000" w:usb2="00000000" w:usb3="00000000" w:csb0="00000009" w:csb1="00000000"/>
    <w:embedBold r:id="rId11" w:fontKey="{63BCFA91-4850-4A5F-8AE7-E921752A1474}"/>
    <w:embedBoldItalic r:id="rId12" w:fontKey="{81A6C2AC-436F-4740-92DB-7E5D76AFB4CB}"/>
  </w:font>
  <w:font w:name="Gotham Black">
    <w:altName w:val="Calibri"/>
    <w:charset w:val="00"/>
    <w:family w:val="auto"/>
    <w:pitch w:val="variable"/>
    <w:sig w:usb0="A00000AF" w:usb1="40000048" w:usb2="00000000" w:usb3="00000000" w:csb0="00000111" w:csb1="00000000"/>
    <w:embedRegular r:id="rId13" w:fontKey="{3ED674B3-7A33-425C-B171-A5FB34B063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Verdana" w:hAnsi="Verdana"/>
        <w:b/>
        <w:bCs/>
        <w:sz w:val="20"/>
        <w:szCs w:val="20"/>
      </w:rPr>
      <w:id w:val="-1113674512"/>
      <w:docPartObj>
        <w:docPartGallery w:val="Page Numbers (Bottom of Page)"/>
        <w:docPartUnique/>
      </w:docPartObj>
    </w:sdtPr>
    <w:sdtEndPr>
      <w:rPr>
        <w:rStyle w:val="Letterhead1Char"/>
        <w:i/>
        <w:spacing w:val="8"/>
        <w:sz w:val="19"/>
        <w14:textOutline w14:w="1270" w14:cap="rnd" w14:cmpd="sng" w14:algn="ctr">
          <w14:solidFill>
            <w14:schemeClr w14:val="tx1"/>
          </w14:solidFill>
          <w14:prstDash w14:val="solid"/>
          <w14:bevel/>
        </w14:textOutline>
      </w:rPr>
    </w:sdtEndPr>
    <w:sdtContent>
      <w:p w14:paraId="52254729" w14:textId="77777777" w:rsidR="00200982" w:rsidRPr="009A314F" w:rsidRDefault="0088720C" w:rsidP="0088720C">
        <w:pPr>
          <w:jc w:val="right"/>
          <w:rPr>
            <w:rStyle w:val="Letterhead1Char"/>
          </w:rPr>
        </w:pPr>
        <w:r w:rsidRPr="009A314F">
          <w:rPr>
            <w:rStyle w:val="Letterhead1Char"/>
          </w:rPr>
          <w:fldChar w:fldCharType="begin"/>
        </w:r>
        <w:r w:rsidRPr="009A314F">
          <w:rPr>
            <w:rStyle w:val="Letterhead1Char"/>
          </w:rPr>
          <w:instrText xml:space="preserve"> PAGE   \* MERGEFORMAT </w:instrText>
        </w:r>
        <w:r w:rsidRPr="009A314F">
          <w:rPr>
            <w:rStyle w:val="Letterhead1Char"/>
          </w:rPr>
          <w:fldChar w:fldCharType="separate"/>
        </w:r>
        <w:r w:rsidRPr="009A314F">
          <w:rPr>
            <w:rStyle w:val="Letterhead1Char"/>
          </w:rPr>
          <w:t>1</w:t>
        </w:r>
        <w:r w:rsidRPr="009A314F">
          <w:rPr>
            <w:rStyle w:val="Letterhead1Char"/>
          </w:rPr>
          <w:fldChar w:fldCharType="end"/>
        </w:r>
      </w:p>
    </w:sdtContent>
  </w:sdt>
  <w:p w14:paraId="7B27CB3B" w14:textId="77777777" w:rsidR="00A75493" w:rsidRPr="009A314F" w:rsidRDefault="00A75493">
    <w:pPr>
      <w:rPr>
        <w:rFonts w:ascii="Verdana" w:hAnsi="Verdan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60373" w14:textId="77777777" w:rsidR="00D560F9" w:rsidRPr="0088720C" w:rsidRDefault="00D560F9" w:rsidP="00962372">
    <w:pPr>
      <w:pStyle w:val="Letterhead1"/>
    </w:pPr>
    <w:r w:rsidRPr="0088720C">
      <w:fldChar w:fldCharType="begin"/>
    </w:r>
    <w:r w:rsidRPr="0088720C">
      <w:instrText xml:space="preserve"> PAGE   \* MERGEFORMAT </w:instrText>
    </w:r>
    <w:r w:rsidRPr="0088720C">
      <w:fldChar w:fldCharType="separate"/>
    </w:r>
    <w:r w:rsidRPr="0088720C">
      <w:rPr>
        <w:noProof/>
      </w:rPr>
      <w:t>2</w:t>
    </w:r>
    <w:r w:rsidRPr="0088720C">
      <w:rPr>
        <w:noProof/>
      </w:rPr>
      <w:fldChar w:fldCharType="end"/>
    </w:r>
  </w:p>
  <w:p w14:paraId="2B7F1012" w14:textId="77777777" w:rsidR="00A75493" w:rsidRDefault="00A7549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9682D" w14:textId="77777777" w:rsidR="009A320B" w:rsidRDefault="009A320B">
      <w:pPr>
        <w:spacing w:after="0" w:line="240" w:lineRule="auto"/>
      </w:pPr>
      <w:r>
        <w:separator/>
      </w:r>
    </w:p>
    <w:p w14:paraId="299E34A8" w14:textId="77777777" w:rsidR="009A320B" w:rsidRDefault="009A320B"/>
  </w:footnote>
  <w:footnote w:type="continuationSeparator" w:id="0">
    <w:p w14:paraId="5E333B96" w14:textId="77777777" w:rsidR="009A320B" w:rsidRDefault="009A320B">
      <w:pPr>
        <w:spacing w:after="0" w:line="240" w:lineRule="auto"/>
      </w:pPr>
      <w:r>
        <w:continuationSeparator/>
      </w:r>
    </w:p>
    <w:p w14:paraId="6E81D2E0" w14:textId="77777777" w:rsidR="009A320B" w:rsidRDefault="009A320B"/>
  </w:footnote>
  <w:footnote w:type="continuationNotice" w:id="1">
    <w:p w14:paraId="2E6BEFDD" w14:textId="77777777" w:rsidR="009A320B" w:rsidRDefault="009A320B">
      <w:pPr>
        <w:spacing w:after="0" w:line="240" w:lineRule="auto"/>
      </w:pPr>
    </w:p>
    <w:p w14:paraId="7DDDAB47" w14:textId="77777777" w:rsidR="009A320B" w:rsidRDefault="009A320B"/>
  </w:footnote>
  <w:footnote w:id="2">
    <w:p w14:paraId="1D4403D5" w14:textId="1E2F6BC8" w:rsidR="00623F63" w:rsidRDefault="001B2881">
      <w:pPr>
        <w:pStyle w:val="FootnoteText"/>
      </w:pPr>
      <w:r>
        <w:rPr>
          <w:rStyle w:val="FootnoteReference"/>
        </w:rPr>
        <w:footnoteRef/>
      </w:r>
      <w:r>
        <w:t xml:space="preserve"> </w:t>
      </w:r>
      <w:r w:rsidRPr="001B2881">
        <w:rPr>
          <w:sz w:val="16"/>
          <w:szCs w:val="16"/>
        </w:rPr>
        <w:t>Telecommunications Act 1997 (</w:t>
      </w:r>
      <w:proofErr w:type="spellStart"/>
      <w:r w:rsidRPr="001B2881">
        <w:rPr>
          <w:sz w:val="16"/>
          <w:szCs w:val="16"/>
        </w:rPr>
        <w:t>Cth</w:t>
      </w:r>
      <w:proofErr w:type="spellEnd"/>
      <w:r w:rsidRPr="001B2881">
        <w:rPr>
          <w:sz w:val="16"/>
          <w:szCs w:val="16"/>
        </w:rPr>
        <w:t>) Part 6. Div.1. section 106.</w:t>
      </w:r>
    </w:p>
  </w:footnote>
  <w:footnote w:id="3">
    <w:p w14:paraId="71A406D2" w14:textId="198127EA" w:rsidR="00691D55" w:rsidRPr="007965A2" w:rsidRDefault="00691D55">
      <w:pPr>
        <w:pStyle w:val="FootnoteText"/>
        <w:rPr>
          <w:sz w:val="16"/>
          <w:szCs w:val="16"/>
        </w:rPr>
      </w:pPr>
      <w:r w:rsidRPr="007965A2">
        <w:rPr>
          <w:rStyle w:val="FootnoteReference"/>
          <w:sz w:val="16"/>
          <w:szCs w:val="16"/>
        </w:rPr>
        <w:footnoteRef/>
      </w:r>
      <w:r w:rsidRPr="007965A2">
        <w:rPr>
          <w:sz w:val="16"/>
          <w:szCs w:val="16"/>
        </w:rPr>
        <w:t xml:space="preserve"> </w:t>
      </w:r>
      <w:r w:rsidR="007965A2">
        <w:rPr>
          <w:sz w:val="16"/>
          <w:szCs w:val="16"/>
        </w:rPr>
        <w:t>ACMA</w:t>
      </w:r>
      <w:r w:rsidR="001434FA" w:rsidRPr="008150CD">
        <w:rPr>
          <w:sz w:val="16"/>
          <w:szCs w:val="16"/>
        </w:rPr>
        <w:t>,</w:t>
      </w:r>
      <w:r w:rsidR="001434FA" w:rsidRPr="008150CD">
        <w:t xml:space="preserve"> </w:t>
      </w:r>
      <w:proofErr w:type="gramStart"/>
      <w:r w:rsidR="001434FA" w:rsidRPr="00D83B30">
        <w:rPr>
          <w:i/>
          <w:iCs/>
          <w:sz w:val="16"/>
          <w:szCs w:val="16"/>
        </w:rPr>
        <w:t>How</w:t>
      </w:r>
      <w:proofErr w:type="gramEnd"/>
      <w:r w:rsidR="001434FA" w:rsidRPr="00D83B30">
        <w:rPr>
          <w:i/>
          <w:iCs/>
          <w:sz w:val="16"/>
          <w:szCs w:val="16"/>
        </w:rPr>
        <w:t xml:space="preserve"> telcos must handle complaints</w:t>
      </w:r>
      <w:r w:rsidR="001434FA" w:rsidRPr="008150CD">
        <w:rPr>
          <w:sz w:val="16"/>
          <w:szCs w:val="16"/>
        </w:rPr>
        <w:t>, Available</w:t>
      </w:r>
      <w:r w:rsidR="001434FA">
        <w:rPr>
          <w:sz w:val="16"/>
          <w:szCs w:val="16"/>
        </w:rPr>
        <w:t xml:space="preserve"> at:</w:t>
      </w:r>
      <w:r w:rsidR="00347A89">
        <w:rPr>
          <w:sz w:val="16"/>
          <w:szCs w:val="16"/>
        </w:rPr>
        <w:t xml:space="preserve"> </w:t>
      </w:r>
      <w:hyperlink r:id="rId1" w:history="1">
        <w:r w:rsidR="006F1852" w:rsidRPr="00ED4620">
          <w:rPr>
            <w:rStyle w:val="Hyperlink"/>
            <w:sz w:val="16"/>
            <w:szCs w:val="16"/>
          </w:rPr>
          <w:t>https://www.acma.gov.au/how-telcos-must-handle-complaints</w:t>
        </w:r>
      </w:hyperlink>
      <w:r w:rsidRPr="007965A2">
        <w:rPr>
          <w:sz w:val="16"/>
          <w:szCs w:val="16"/>
        </w:rPr>
        <w:t>.</w:t>
      </w:r>
    </w:p>
  </w:footnote>
  <w:footnote w:id="4">
    <w:p w14:paraId="42D41A86" w14:textId="41FAAF4C" w:rsidR="00CA5B2A" w:rsidRDefault="00CA5B2A">
      <w:pPr>
        <w:pStyle w:val="FootnoteText"/>
      </w:pPr>
      <w:r w:rsidRPr="00EC73B7">
        <w:rPr>
          <w:rStyle w:val="FootnoteReference"/>
          <w:sz w:val="16"/>
          <w:szCs w:val="16"/>
        </w:rPr>
        <w:footnoteRef/>
      </w:r>
      <w:r w:rsidRPr="00EC73B7">
        <w:rPr>
          <w:sz w:val="16"/>
          <w:szCs w:val="16"/>
        </w:rPr>
        <w:t xml:space="preserve"> </w:t>
      </w:r>
      <w:r w:rsidR="00123B74" w:rsidRPr="00EC73B7">
        <w:rPr>
          <w:sz w:val="16"/>
          <w:szCs w:val="16"/>
        </w:rPr>
        <w:t>Key submissions include</w:t>
      </w:r>
      <w:r w:rsidR="00475EEF" w:rsidRPr="00EC73B7">
        <w:rPr>
          <w:sz w:val="16"/>
          <w:szCs w:val="16"/>
        </w:rPr>
        <w:t>:</w:t>
      </w:r>
      <w:r w:rsidR="00123B74" w:rsidRPr="00EC73B7">
        <w:rPr>
          <w:sz w:val="16"/>
          <w:szCs w:val="16"/>
        </w:rPr>
        <w:t xml:space="preserve"> ACCAN</w:t>
      </w:r>
      <w:r w:rsidR="00BE23E6">
        <w:rPr>
          <w:sz w:val="16"/>
          <w:szCs w:val="16"/>
        </w:rPr>
        <w:t>’</w:t>
      </w:r>
      <w:r w:rsidR="00123B74" w:rsidRPr="00EC73B7">
        <w:rPr>
          <w:sz w:val="16"/>
          <w:szCs w:val="16"/>
        </w:rPr>
        <w:t>s</w:t>
      </w:r>
      <w:r w:rsidR="00D335EB" w:rsidRPr="00EC73B7">
        <w:rPr>
          <w:sz w:val="16"/>
          <w:szCs w:val="16"/>
        </w:rPr>
        <w:t xml:space="preserve"> 2018 TCP </w:t>
      </w:r>
      <w:r w:rsidR="00A74167">
        <w:rPr>
          <w:sz w:val="16"/>
          <w:szCs w:val="16"/>
        </w:rPr>
        <w:t>C</w:t>
      </w:r>
      <w:r w:rsidR="00D335EB" w:rsidRPr="00EC73B7">
        <w:rPr>
          <w:sz w:val="16"/>
          <w:szCs w:val="16"/>
        </w:rPr>
        <w:t>ode review</w:t>
      </w:r>
      <w:r w:rsidR="009479B9" w:rsidRPr="00EC73B7">
        <w:rPr>
          <w:sz w:val="16"/>
          <w:szCs w:val="16"/>
        </w:rPr>
        <w:t>:</w:t>
      </w:r>
      <w:r w:rsidR="007E71C6" w:rsidRPr="00EC73B7">
        <w:rPr>
          <w:sz w:val="16"/>
          <w:szCs w:val="16"/>
        </w:rPr>
        <w:t xml:space="preserve"> </w:t>
      </w:r>
      <w:hyperlink r:id="rId2" w:history="1">
        <w:r w:rsidR="007E71C6" w:rsidRPr="00EC73B7">
          <w:rPr>
            <w:rStyle w:val="Hyperlink"/>
            <w:sz w:val="16"/>
            <w:szCs w:val="16"/>
          </w:rPr>
          <w:t>https://accan.org.au/our-work/submissions/1528-tcp-code?highlight=WyJ0Y3AiXQ==</w:t>
        </w:r>
      </w:hyperlink>
      <w:r w:rsidR="007E71C6" w:rsidRPr="00EC73B7">
        <w:rPr>
          <w:sz w:val="16"/>
          <w:szCs w:val="16"/>
        </w:rPr>
        <w:t xml:space="preserve"> ;</w:t>
      </w:r>
      <w:r w:rsidR="00B829ED" w:rsidRPr="00EC73B7">
        <w:rPr>
          <w:sz w:val="16"/>
          <w:szCs w:val="16"/>
        </w:rPr>
        <w:t xml:space="preserve"> ACCAN’s</w:t>
      </w:r>
      <w:r w:rsidR="00BF70B5">
        <w:rPr>
          <w:sz w:val="16"/>
          <w:szCs w:val="16"/>
        </w:rPr>
        <w:t xml:space="preserve"> 2020 submission to</w:t>
      </w:r>
      <w:r w:rsidR="00B829ED" w:rsidRPr="00EC73B7">
        <w:rPr>
          <w:sz w:val="16"/>
          <w:szCs w:val="16"/>
        </w:rPr>
        <w:t xml:space="preserve"> </w:t>
      </w:r>
      <w:r w:rsidR="0091580F">
        <w:rPr>
          <w:sz w:val="16"/>
          <w:szCs w:val="16"/>
        </w:rPr>
        <w:t>C</w:t>
      </w:r>
      <w:r w:rsidR="00B829ED" w:rsidRPr="00EC73B7">
        <w:rPr>
          <w:sz w:val="16"/>
          <w:szCs w:val="16"/>
        </w:rPr>
        <w:t xml:space="preserve">onsumer </w:t>
      </w:r>
      <w:r w:rsidR="0091580F">
        <w:rPr>
          <w:sz w:val="16"/>
          <w:szCs w:val="16"/>
        </w:rPr>
        <w:t>S</w:t>
      </w:r>
      <w:r w:rsidR="00B829ED" w:rsidRPr="00EC73B7">
        <w:rPr>
          <w:sz w:val="16"/>
          <w:szCs w:val="16"/>
        </w:rPr>
        <w:t xml:space="preserve">afeguards </w:t>
      </w:r>
      <w:r w:rsidR="0091580F">
        <w:rPr>
          <w:sz w:val="16"/>
          <w:szCs w:val="16"/>
        </w:rPr>
        <w:t>Review Part C</w:t>
      </w:r>
      <w:r w:rsidR="009479B9" w:rsidRPr="00EC73B7">
        <w:rPr>
          <w:sz w:val="16"/>
          <w:szCs w:val="16"/>
        </w:rPr>
        <w:t xml:space="preserve">: </w:t>
      </w:r>
      <w:hyperlink r:id="rId3" w:history="1">
        <w:r w:rsidR="009479B9" w:rsidRPr="00EC73B7">
          <w:rPr>
            <w:rStyle w:val="Hyperlink"/>
            <w:sz w:val="16"/>
            <w:szCs w:val="16"/>
          </w:rPr>
          <w:t>https://accan.org.au/our-work/submissions/1804-csr-partc</w:t>
        </w:r>
      </w:hyperlink>
      <w:r w:rsidR="009479B9" w:rsidRPr="00EC73B7">
        <w:rPr>
          <w:sz w:val="16"/>
          <w:szCs w:val="16"/>
        </w:rPr>
        <w:t xml:space="preserve"> </w:t>
      </w:r>
      <w:r w:rsidR="00475EEF" w:rsidRPr="00EC73B7">
        <w:rPr>
          <w:sz w:val="16"/>
          <w:szCs w:val="16"/>
        </w:rPr>
        <w:t>; Consumer Action Law Cent</w:t>
      </w:r>
      <w:r w:rsidR="00DF392F" w:rsidRPr="00EC73B7">
        <w:rPr>
          <w:sz w:val="16"/>
          <w:szCs w:val="16"/>
        </w:rPr>
        <w:t xml:space="preserve">re’s 2018 </w:t>
      </w:r>
      <w:r w:rsidR="00051F5B" w:rsidRPr="00EC73B7">
        <w:rPr>
          <w:sz w:val="16"/>
          <w:szCs w:val="16"/>
        </w:rPr>
        <w:t xml:space="preserve">TCP </w:t>
      </w:r>
      <w:r w:rsidR="00A74167">
        <w:rPr>
          <w:sz w:val="16"/>
          <w:szCs w:val="16"/>
        </w:rPr>
        <w:t>C</w:t>
      </w:r>
      <w:r w:rsidR="00051F5B" w:rsidRPr="00EC73B7">
        <w:rPr>
          <w:sz w:val="16"/>
          <w:szCs w:val="16"/>
        </w:rPr>
        <w:t xml:space="preserve">ode submission: </w:t>
      </w:r>
      <w:hyperlink r:id="rId4" w:history="1">
        <w:r w:rsidR="00DF63CA" w:rsidRPr="00EC73B7">
          <w:rPr>
            <w:rStyle w:val="Hyperlink"/>
            <w:sz w:val="16"/>
            <w:szCs w:val="16"/>
          </w:rPr>
          <w:t>https://consumeraction.org.au/draft-tcp-code/</w:t>
        </w:r>
      </w:hyperlink>
      <w:r w:rsidR="00DF63CA" w:rsidRPr="00EC73B7">
        <w:rPr>
          <w:sz w:val="16"/>
          <w:szCs w:val="16"/>
        </w:rPr>
        <w:t xml:space="preserve">. </w:t>
      </w:r>
    </w:p>
  </w:footnote>
  <w:footnote w:id="5">
    <w:p w14:paraId="2C3C8B15" w14:textId="6BDA14E4" w:rsidR="00E06D28" w:rsidRPr="00EC73B7" w:rsidRDefault="00E06D28">
      <w:pPr>
        <w:pStyle w:val="FootnoteText"/>
        <w:rPr>
          <w:lang w:val="en-US"/>
        </w:rPr>
      </w:pPr>
      <w:r w:rsidRPr="003A2A24">
        <w:rPr>
          <w:rStyle w:val="FootnoteReference"/>
          <w:sz w:val="16"/>
          <w:szCs w:val="16"/>
        </w:rPr>
        <w:footnoteRef/>
      </w:r>
      <w:r w:rsidRPr="003A2A24">
        <w:rPr>
          <w:sz w:val="16"/>
          <w:szCs w:val="16"/>
        </w:rPr>
        <w:t xml:space="preserve"> </w:t>
      </w:r>
      <w:r w:rsidR="00602C03" w:rsidRPr="003A2A24">
        <w:rPr>
          <w:sz w:val="16"/>
          <w:szCs w:val="16"/>
          <w:lang w:val="en-US"/>
        </w:rPr>
        <w:t>Communications Alliance</w:t>
      </w:r>
      <w:r w:rsidR="00CF1C1A" w:rsidRPr="003A2A24">
        <w:rPr>
          <w:sz w:val="16"/>
          <w:szCs w:val="16"/>
          <w:lang w:val="en-US"/>
        </w:rPr>
        <w:t>, 2023, Industry Guideline G660:2023 Assisting Consumers Affected by Domestic and Family Violence.</w:t>
      </w:r>
    </w:p>
  </w:footnote>
  <w:footnote w:id="6">
    <w:p w14:paraId="5009DDF5" w14:textId="3D723545" w:rsidR="00066B21" w:rsidRPr="00AC3FE3" w:rsidRDefault="00066B21">
      <w:pPr>
        <w:pStyle w:val="FootnoteText"/>
        <w:rPr>
          <w:sz w:val="16"/>
          <w:szCs w:val="16"/>
        </w:rPr>
      </w:pPr>
      <w:r w:rsidRPr="00285BBA">
        <w:rPr>
          <w:rStyle w:val="FootnoteReference"/>
          <w:sz w:val="16"/>
          <w:szCs w:val="16"/>
        </w:rPr>
        <w:footnoteRef/>
      </w:r>
      <w:r w:rsidRPr="00285BBA">
        <w:rPr>
          <w:sz w:val="16"/>
          <w:szCs w:val="16"/>
        </w:rPr>
        <w:t xml:space="preserve"> </w:t>
      </w:r>
      <w:r w:rsidRPr="00AC3FE3">
        <w:rPr>
          <w:sz w:val="16"/>
          <w:szCs w:val="16"/>
        </w:rPr>
        <w:t xml:space="preserve">Communications Alliance, 2022, </w:t>
      </w:r>
      <w:r w:rsidR="00A47A6A" w:rsidRPr="00A47A6A">
        <w:rPr>
          <w:sz w:val="16"/>
          <w:szCs w:val="16"/>
        </w:rPr>
        <w:t>C628:2019</w:t>
      </w:r>
      <w:r w:rsidR="00A47A6A">
        <w:rPr>
          <w:sz w:val="16"/>
          <w:szCs w:val="16"/>
        </w:rPr>
        <w:t xml:space="preserve"> </w:t>
      </w:r>
      <w:r w:rsidRPr="00AC3FE3">
        <w:rPr>
          <w:sz w:val="16"/>
          <w:szCs w:val="16"/>
        </w:rPr>
        <w:t xml:space="preserve">Telecommunications Consumer Protections Code, Incorporating Variation No.1/2022, 7.6.1  </w:t>
      </w:r>
    </w:p>
  </w:footnote>
  <w:footnote w:id="7">
    <w:p w14:paraId="292E26F1" w14:textId="5A36B0BA" w:rsidR="00066B21" w:rsidRPr="00AC3FE3" w:rsidRDefault="00066B21">
      <w:pPr>
        <w:pStyle w:val="FootnoteText"/>
        <w:rPr>
          <w:sz w:val="16"/>
          <w:szCs w:val="16"/>
        </w:rPr>
      </w:pPr>
      <w:r w:rsidRPr="00AC3FE3">
        <w:rPr>
          <w:rStyle w:val="FootnoteReference"/>
          <w:sz w:val="16"/>
          <w:szCs w:val="16"/>
        </w:rPr>
        <w:footnoteRef/>
      </w:r>
      <w:r w:rsidRPr="00AC3FE3">
        <w:rPr>
          <w:sz w:val="16"/>
          <w:szCs w:val="16"/>
        </w:rPr>
        <w:t xml:space="preserve"> </w:t>
      </w:r>
      <w:bookmarkStart w:id="16" w:name="_Hlk136861621"/>
      <w:r w:rsidRPr="00AC3FE3">
        <w:rPr>
          <w:sz w:val="16"/>
          <w:szCs w:val="16"/>
        </w:rPr>
        <w:t xml:space="preserve">Financial Counselling Australia, 2021, </w:t>
      </w:r>
      <w:r w:rsidRPr="00D83B30">
        <w:rPr>
          <w:i/>
          <w:iCs/>
          <w:sz w:val="16"/>
          <w:szCs w:val="16"/>
        </w:rPr>
        <w:t>Telcos and Financial Hardship: Feedback from the frontline</w:t>
      </w:r>
      <w:r w:rsidRPr="00AC3FE3">
        <w:rPr>
          <w:sz w:val="16"/>
          <w:szCs w:val="16"/>
        </w:rPr>
        <w:t>, p.12</w:t>
      </w:r>
      <w:r w:rsidR="00327F53">
        <w:rPr>
          <w:sz w:val="16"/>
          <w:szCs w:val="16"/>
        </w:rPr>
        <w:t xml:space="preserve">, </w:t>
      </w:r>
      <w:r w:rsidRPr="00AC3FE3">
        <w:rPr>
          <w:sz w:val="16"/>
          <w:szCs w:val="16"/>
        </w:rPr>
        <w:t xml:space="preserve">Available at: </w:t>
      </w:r>
      <w:hyperlink r:id="rId5" w:history="1">
        <w:r w:rsidRPr="00AC3FE3">
          <w:rPr>
            <w:rStyle w:val="Hyperlink"/>
            <w:sz w:val="16"/>
            <w:szCs w:val="16"/>
          </w:rPr>
          <w:t>https://www.financialcounsellingaustralia.org.au/fca-content/uploads/2021/04/Telcos-and-Financial-Hardship-Feedback-from-the-Frontline-Final.pdf</w:t>
        </w:r>
      </w:hyperlink>
      <w:r w:rsidRPr="00AC3FE3">
        <w:rPr>
          <w:sz w:val="16"/>
          <w:szCs w:val="16"/>
        </w:rPr>
        <w:t>.</w:t>
      </w:r>
      <w:bookmarkEnd w:id="16"/>
    </w:p>
  </w:footnote>
  <w:footnote w:id="8">
    <w:p w14:paraId="56C37199" w14:textId="0591DF71" w:rsidR="00B93148" w:rsidDel="004D1DF0" w:rsidRDefault="00B93148">
      <w:pPr>
        <w:pStyle w:val="FootnoteText"/>
      </w:pPr>
      <w:r w:rsidRPr="005F62BA" w:rsidDel="004D1DF0">
        <w:rPr>
          <w:rStyle w:val="FootnoteReference"/>
          <w:sz w:val="16"/>
          <w:szCs w:val="16"/>
        </w:rPr>
        <w:footnoteRef/>
      </w:r>
      <w:r w:rsidR="006E5C23" w:rsidRPr="005F62BA">
        <w:rPr>
          <w:sz w:val="16"/>
          <w:szCs w:val="16"/>
        </w:rPr>
        <w:t xml:space="preserve"> Communications Alliance, 2022, </w:t>
      </w:r>
      <w:r w:rsidR="00A47A6A" w:rsidRPr="00A47A6A">
        <w:rPr>
          <w:sz w:val="16"/>
          <w:szCs w:val="16"/>
        </w:rPr>
        <w:t xml:space="preserve">C628:2019 </w:t>
      </w:r>
      <w:r w:rsidR="006E5C23" w:rsidRPr="005F62BA">
        <w:rPr>
          <w:sz w:val="16"/>
          <w:szCs w:val="16"/>
        </w:rPr>
        <w:t xml:space="preserve">Telecommunications Consumer Protections Code, Incorporating Variation No.1/2022, 6.7.1 </w:t>
      </w:r>
      <w:r w:rsidR="005F62BA" w:rsidRPr="005F62BA">
        <w:rPr>
          <w:sz w:val="16"/>
          <w:szCs w:val="16"/>
        </w:rPr>
        <w:t>(a)(</w:t>
      </w:r>
      <w:proofErr w:type="spellStart"/>
      <w:r w:rsidR="005F62BA" w:rsidRPr="005F62BA">
        <w:rPr>
          <w:sz w:val="16"/>
          <w:szCs w:val="16"/>
        </w:rPr>
        <w:t>i</w:t>
      </w:r>
      <w:proofErr w:type="spellEnd"/>
      <w:r w:rsidR="005F62BA" w:rsidRPr="005F62BA">
        <w:rPr>
          <w:sz w:val="16"/>
          <w:szCs w:val="16"/>
        </w:rPr>
        <w:t>).</w:t>
      </w:r>
      <w:r w:rsidR="006E5C23" w:rsidRPr="005F62BA">
        <w:rPr>
          <w:sz w:val="16"/>
          <w:szCs w:val="16"/>
        </w:rPr>
        <w:t xml:space="preserve">  </w:t>
      </w:r>
    </w:p>
  </w:footnote>
  <w:footnote w:id="9">
    <w:p w14:paraId="776D6996" w14:textId="28963012" w:rsidR="006244B7" w:rsidRDefault="006244B7">
      <w:pPr>
        <w:pStyle w:val="FootnoteText"/>
      </w:pPr>
      <w:r w:rsidRPr="00EC73B7">
        <w:rPr>
          <w:rStyle w:val="FootnoteReference"/>
          <w:sz w:val="16"/>
          <w:szCs w:val="16"/>
        </w:rPr>
        <w:footnoteRef/>
      </w:r>
      <w:r w:rsidRPr="00EC73B7">
        <w:rPr>
          <w:sz w:val="16"/>
          <w:szCs w:val="16"/>
        </w:rPr>
        <w:t xml:space="preserve"> ACMA</w:t>
      </w:r>
      <w:r w:rsidR="00D83B30">
        <w:rPr>
          <w:sz w:val="16"/>
          <w:szCs w:val="16"/>
        </w:rPr>
        <w:t>,</w:t>
      </w:r>
      <w:r w:rsidRPr="00EC73B7">
        <w:rPr>
          <w:sz w:val="16"/>
          <w:szCs w:val="16"/>
        </w:rPr>
        <w:t xml:space="preserve"> 2023</w:t>
      </w:r>
      <w:r w:rsidR="00D83B30">
        <w:rPr>
          <w:sz w:val="16"/>
          <w:szCs w:val="16"/>
        </w:rPr>
        <w:t xml:space="preserve">, </w:t>
      </w:r>
      <w:r w:rsidRPr="00D83B30">
        <w:rPr>
          <w:i/>
          <w:iCs/>
          <w:sz w:val="16"/>
          <w:szCs w:val="16"/>
        </w:rPr>
        <w:t>Financial Hardship</w:t>
      </w:r>
      <w:r w:rsidR="00782723" w:rsidRPr="00D83B30">
        <w:rPr>
          <w:i/>
          <w:iCs/>
          <w:sz w:val="16"/>
          <w:szCs w:val="16"/>
        </w:rPr>
        <w:t xml:space="preserve"> in the telco sector – Keeping the consumer connected</w:t>
      </w:r>
      <w:r w:rsidR="00D83B30">
        <w:rPr>
          <w:sz w:val="16"/>
          <w:szCs w:val="16"/>
        </w:rPr>
        <w:t xml:space="preserve">, </w:t>
      </w:r>
      <w:r w:rsidR="00140BE4" w:rsidRPr="00EC73B7">
        <w:rPr>
          <w:sz w:val="16"/>
          <w:szCs w:val="16"/>
        </w:rPr>
        <w:t xml:space="preserve">Available at: </w:t>
      </w:r>
      <w:hyperlink r:id="rId6" w:history="1">
        <w:r w:rsidR="00DF6674" w:rsidRPr="00EC73B7">
          <w:rPr>
            <w:rStyle w:val="Hyperlink"/>
            <w:sz w:val="16"/>
            <w:szCs w:val="16"/>
          </w:rPr>
          <w:t>https://www.acma.gov.au/sites/default/files/2023-04/Financial%20hardship%20in%20the%20telco%20sector_Keeping%20the%20customer%20connected.pdf</w:t>
        </w:r>
      </w:hyperlink>
      <w:r w:rsidR="00DF6674" w:rsidRPr="00EC73B7">
        <w:rPr>
          <w:sz w:val="16"/>
          <w:szCs w:val="16"/>
        </w:rPr>
        <w:t xml:space="preserve">.  </w:t>
      </w:r>
    </w:p>
  </w:footnote>
  <w:footnote w:id="10">
    <w:p w14:paraId="02E7CEB9" w14:textId="77F788FC" w:rsidR="001E7E4D" w:rsidRPr="00CB663A" w:rsidRDefault="001E7E4D">
      <w:pPr>
        <w:pStyle w:val="FootnoteText"/>
        <w:rPr>
          <w:sz w:val="16"/>
          <w:szCs w:val="16"/>
        </w:rPr>
      </w:pPr>
      <w:r w:rsidRPr="00CB663A">
        <w:rPr>
          <w:rStyle w:val="FootnoteReference"/>
          <w:sz w:val="16"/>
          <w:szCs w:val="16"/>
        </w:rPr>
        <w:footnoteRef/>
      </w:r>
      <w:r w:rsidRPr="00CB663A">
        <w:rPr>
          <w:sz w:val="16"/>
          <w:szCs w:val="16"/>
        </w:rPr>
        <w:t xml:space="preserve"> </w:t>
      </w:r>
      <w:r w:rsidR="00D83B30" w:rsidRPr="00D83B30">
        <w:rPr>
          <w:sz w:val="16"/>
          <w:szCs w:val="16"/>
        </w:rPr>
        <w:t xml:space="preserve">Communications Alliance, 2022, C628:2019 Telecommunications Consumer Protections Code, Incorporating Variation No.1/2022, </w:t>
      </w:r>
      <w:r w:rsidR="00D83B30">
        <w:rPr>
          <w:sz w:val="16"/>
          <w:szCs w:val="16"/>
        </w:rPr>
        <w:t>6.1</w:t>
      </w:r>
    </w:p>
  </w:footnote>
  <w:footnote w:id="11">
    <w:p w14:paraId="0F2950FA" w14:textId="2804877A" w:rsidR="00D10D4C" w:rsidRPr="00CB663A" w:rsidRDefault="00D10D4C">
      <w:pPr>
        <w:pStyle w:val="FootnoteText"/>
        <w:rPr>
          <w:sz w:val="16"/>
          <w:szCs w:val="16"/>
        </w:rPr>
      </w:pPr>
      <w:r w:rsidRPr="00CB663A">
        <w:rPr>
          <w:rStyle w:val="FootnoteReference"/>
          <w:sz w:val="16"/>
          <w:szCs w:val="16"/>
        </w:rPr>
        <w:footnoteRef/>
      </w:r>
      <w:r w:rsidRPr="00CB663A">
        <w:rPr>
          <w:sz w:val="16"/>
          <w:szCs w:val="16"/>
        </w:rPr>
        <w:t xml:space="preserve"> </w:t>
      </w:r>
      <w:r w:rsidR="000C46BD">
        <w:rPr>
          <w:sz w:val="16"/>
          <w:szCs w:val="16"/>
        </w:rPr>
        <w:t xml:space="preserve">ACMA, </w:t>
      </w:r>
      <w:r w:rsidRPr="00CB663A">
        <w:rPr>
          <w:sz w:val="16"/>
          <w:szCs w:val="16"/>
        </w:rPr>
        <w:t>2020</w:t>
      </w:r>
      <w:r w:rsidR="000C46BD">
        <w:rPr>
          <w:sz w:val="16"/>
          <w:szCs w:val="16"/>
        </w:rPr>
        <w:t>,</w:t>
      </w:r>
      <w:r w:rsidRPr="00CB663A">
        <w:rPr>
          <w:sz w:val="16"/>
          <w:szCs w:val="16"/>
        </w:rPr>
        <w:t xml:space="preserve"> </w:t>
      </w:r>
      <w:r w:rsidRPr="00C727B9">
        <w:rPr>
          <w:i/>
          <w:iCs/>
          <w:sz w:val="16"/>
          <w:szCs w:val="16"/>
        </w:rPr>
        <w:t>Telco consumer credit checks</w:t>
      </w:r>
      <w:r w:rsidR="00C727B9" w:rsidRPr="00C727B9">
        <w:rPr>
          <w:i/>
          <w:iCs/>
          <w:sz w:val="16"/>
          <w:szCs w:val="16"/>
        </w:rPr>
        <w:t>:</w:t>
      </w:r>
      <w:r w:rsidRPr="00C727B9">
        <w:rPr>
          <w:i/>
          <w:iCs/>
          <w:sz w:val="16"/>
          <w:szCs w:val="16"/>
        </w:rPr>
        <w:t xml:space="preserve"> Findings of shadow shopping study</w:t>
      </w:r>
      <w:r w:rsidR="000C46BD">
        <w:rPr>
          <w:sz w:val="16"/>
          <w:szCs w:val="16"/>
        </w:rPr>
        <w:t xml:space="preserve">, Available at: </w:t>
      </w:r>
      <w:hyperlink r:id="rId7" w:history="1">
        <w:r w:rsidR="00D21A80" w:rsidRPr="00ED4620">
          <w:rPr>
            <w:rStyle w:val="Hyperlink"/>
            <w:sz w:val="16"/>
            <w:szCs w:val="16"/>
          </w:rPr>
          <w:t>https://www.acma.gov.au/publications/2020-06/report/telco-consumer-credit-checks-findings-shadow-shopping-study</w:t>
        </w:r>
      </w:hyperlink>
      <w:r w:rsidR="008229DC">
        <w:rPr>
          <w:sz w:val="16"/>
          <w:szCs w:val="16"/>
        </w:rPr>
        <w:t>.</w:t>
      </w:r>
      <w:r w:rsidR="00D21A80">
        <w:rPr>
          <w:sz w:val="16"/>
          <w:szCs w:val="16"/>
        </w:rPr>
        <w:t xml:space="preserve"> </w:t>
      </w:r>
    </w:p>
  </w:footnote>
  <w:footnote w:id="12">
    <w:p w14:paraId="2410C88A" w14:textId="09D586B3" w:rsidR="003E24BC" w:rsidRPr="00CB663A" w:rsidRDefault="003E24BC" w:rsidP="00CB663A">
      <w:pPr>
        <w:pStyle w:val="Default"/>
        <w:rPr>
          <w:sz w:val="16"/>
          <w:szCs w:val="16"/>
        </w:rPr>
      </w:pPr>
      <w:r w:rsidRPr="00CB663A">
        <w:rPr>
          <w:rStyle w:val="FootnoteReference"/>
          <w:sz w:val="16"/>
          <w:szCs w:val="16"/>
        </w:rPr>
        <w:footnoteRef/>
      </w:r>
      <w:r w:rsidRPr="003A271F">
        <w:rPr>
          <w:sz w:val="16"/>
          <w:szCs w:val="16"/>
        </w:rPr>
        <w:t xml:space="preserve"> T</w:t>
      </w:r>
      <w:r w:rsidR="003B6500">
        <w:rPr>
          <w:sz w:val="16"/>
          <w:szCs w:val="16"/>
        </w:rPr>
        <w:t>elecommunications Industry Ombudsman</w:t>
      </w:r>
      <w:r w:rsidR="00747FE6">
        <w:rPr>
          <w:sz w:val="16"/>
          <w:szCs w:val="16"/>
        </w:rPr>
        <w:t>,</w:t>
      </w:r>
      <w:r w:rsidRPr="003A271F">
        <w:rPr>
          <w:sz w:val="16"/>
          <w:szCs w:val="16"/>
        </w:rPr>
        <w:t xml:space="preserve"> </w:t>
      </w:r>
      <w:r w:rsidR="00747FE6">
        <w:rPr>
          <w:sz w:val="16"/>
          <w:szCs w:val="16"/>
        </w:rPr>
        <w:t xml:space="preserve">2019, </w:t>
      </w:r>
      <w:r w:rsidRPr="00747FE6">
        <w:rPr>
          <w:i/>
          <w:iCs/>
          <w:sz w:val="16"/>
          <w:szCs w:val="16"/>
        </w:rPr>
        <w:t>Systemic Insight: Sales Practices Driving Consumer Debt</w:t>
      </w:r>
      <w:r w:rsidR="00747FE6">
        <w:rPr>
          <w:sz w:val="16"/>
          <w:szCs w:val="16"/>
        </w:rPr>
        <w:t xml:space="preserve">, Available at: </w:t>
      </w:r>
      <w:hyperlink r:id="rId8" w:history="1">
        <w:r w:rsidR="00747FE6" w:rsidRPr="00ED4620">
          <w:rPr>
            <w:rStyle w:val="Hyperlink"/>
            <w:sz w:val="16"/>
            <w:szCs w:val="16"/>
          </w:rPr>
          <w:t>https://www.tio.com.au/sites/default/files/2019-05/TIO-Systemic-Insight-Sales-Practices-Driving-Consumer-Debt-f.pdf</w:t>
        </w:r>
      </w:hyperlink>
      <w:r w:rsidR="00747FE6">
        <w:rPr>
          <w:sz w:val="16"/>
          <w:szCs w:val="16"/>
        </w:rPr>
        <w:t xml:space="preserve">. </w:t>
      </w:r>
    </w:p>
  </w:footnote>
  <w:footnote w:id="13">
    <w:p w14:paraId="044F2C0B" w14:textId="4F4D542D" w:rsidR="003E24BC" w:rsidRPr="00CB663A" w:rsidRDefault="003E24BC">
      <w:pPr>
        <w:pStyle w:val="FootnoteText"/>
        <w:rPr>
          <w:sz w:val="16"/>
          <w:szCs w:val="16"/>
        </w:rPr>
      </w:pPr>
      <w:r w:rsidRPr="00CB663A">
        <w:rPr>
          <w:rStyle w:val="FootnoteReference"/>
          <w:sz w:val="16"/>
          <w:szCs w:val="16"/>
        </w:rPr>
        <w:footnoteRef/>
      </w:r>
      <w:r w:rsidRPr="00CB663A">
        <w:rPr>
          <w:sz w:val="16"/>
          <w:szCs w:val="16"/>
        </w:rPr>
        <w:t xml:space="preserve"> ACCC</w:t>
      </w:r>
      <w:r w:rsidR="00DC0DC9">
        <w:rPr>
          <w:sz w:val="16"/>
          <w:szCs w:val="16"/>
        </w:rPr>
        <w:t xml:space="preserve">, </w:t>
      </w:r>
      <w:r w:rsidR="00BF21BC">
        <w:rPr>
          <w:sz w:val="16"/>
          <w:szCs w:val="16"/>
        </w:rPr>
        <w:t>2021</w:t>
      </w:r>
      <w:r w:rsidR="00020233">
        <w:rPr>
          <w:sz w:val="16"/>
          <w:szCs w:val="16"/>
        </w:rPr>
        <w:t xml:space="preserve">, </w:t>
      </w:r>
      <w:r w:rsidRPr="00DC0DC9">
        <w:rPr>
          <w:i/>
          <w:iCs/>
          <w:sz w:val="16"/>
          <w:szCs w:val="16"/>
        </w:rPr>
        <w:t>Telstra to pay $50m penalty for unconscionable sales to Indigenous consumers</w:t>
      </w:r>
      <w:r w:rsidR="00DC0DC9">
        <w:rPr>
          <w:sz w:val="16"/>
          <w:szCs w:val="16"/>
        </w:rPr>
        <w:t>,</w:t>
      </w:r>
      <w:r w:rsidR="00020233">
        <w:rPr>
          <w:sz w:val="16"/>
          <w:szCs w:val="16"/>
        </w:rPr>
        <w:t xml:space="preserve"> </w:t>
      </w:r>
      <w:r w:rsidR="00DC0DC9">
        <w:rPr>
          <w:sz w:val="16"/>
          <w:szCs w:val="16"/>
        </w:rPr>
        <w:t xml:space="preserve">Available at: </w:t>
      </w:r>
      <w:hyperlink r:id="rId9" w:history="1">
        <w:r w:rsidR="00DC0DC9" w:rsidRPr="00ED4620">
          <w:rPr>
            <w:rStyle w:val="Hyperlink"/>
            <w:sz w:val="16"/>
            <w:szCs w:val="16"/>
          </w:rPr>
          <w:t>https://www.accc.gov.au/media-release/telstra-to-pay-50m-penalty-for-unconscionable-sales-to-indigenous-consumers</w:t>
        </w:r>
      </w:hyperlink>
      <w:r w:rsidR="00DC0DC9">
        <w:rPr>
          <w:sz w:val="16"/>
          <w:szCs w:val="16"/>
        </w:rPr>
        <w:t xml:space="preserve">. </w:t>
      </w:r>
    </w:p>
  </w:footnote>
  <w:footnote w:id="14">
    <w:p w14:paraId="496EE457" w14:textId="70CFD543" w:rsidR="00B64556" w:rsidRPr="00CB663A" w:rsidRDefault="00B64556">
      <w:pPr>
        <w:pStyle w:val="FootnoteText"/>
        <w:rPr>
          <w:sz w:val="16"/>
          <w:szCs w:val="16"/>
        </w:rPr>
      </w:pPr>
      <w:r w:rsidRPr="00CB663A">
        <w:rPr>
          <w:rStyle w:val="FootnoteReference"/>
          <w:sz w:val="16"/>
          <w:szCs w:val="16"/>
        </w:rPr>
        <w:footnoteRef/>
      </w:r>
      <w:r w:rsidRPr="00CB663A">
        <w:rPr>
          <w:sz w:val="16"/>
          <w:szCs w:val="16"/>
        </w:rPr>
        <w:t xml:space="preserve"> </w:t>
      </w:r>
      <w:r w:rsidR="00AE008F" w:rsidRPr="00AE008F">
        <w:rPr>
          <w:sz w:val="16"/>
          <w:szCs w:val="16"/>
        </w:rPr>
        <w:t xml:space="preserve">Financial Counselling Australia, 2021, </w:t>
      </w:r>
      <w:r w:rsidR="00AE008F" w:rsidRPr="00AE008F">
        <w:rPr>
          <w:i/>
          <w:iCs/>
          <w:sz w:val="16"/>
          <w:szCs w:val="16"/>
        </w:rPr>
        <w:t>Telcos and Financial Hardship: Feedback from the frontline</w:t>
      </w:r>
      <w:r w:rsidR="00AE008F" w:rsidRPr="00AE008F">
        <w:rPr>
          <w:sz w:val="16"/>
          <w:szCs w:val="16"/>
        </w:rPr>
        <w:t>, p.</w:t>
      </w:r>
      <w:r w:rsidR="00E12E17">
        <w:rPr>
          <w:sz w:val="16"/>
          <w:szCs w:val="16"/>
        </w:rPr>
        <w:t>24</w:t>
      </w:r>
      <w:r w:rsidR="00AE008F" w:rsidRPr="00AE008F">
        <w:rPr>
          <w:sz w:val="16"/>
          <w:szCs w:val="16"/>
        </w:rPr>
        <w:t xml:space="preserve">, Available at: </w:t>
      </w:r>
      <w:hyperlink r:id="rId10" w:history="1">
        <w:r w:rsidR="00AE008F" w:rsidRPr="00AE008F">
          <w:rPr>
            <w:rStyle w:val="Hyperlink"/>
            <w:sz w:val="16"/>
            <w:szCs w:val="16"/>
          </w:rPr>
          <w:t>https://www.financialcounsellingaustralia.org.au/fca-content/uploads/2021/04/Telcos-and-Financial-Hardship-Feedback-from-the-Frontline-Final.pdf</w:t>
        </w:r>
      </w:hyperlink>
      <w:r w:rsidR="00AE008F" w:rsidRPr="00AE008F">
        <w:rPr>
          <w:sz w:val="16"/>
          <w:szCs w:val="16"/>
        </w:rPr>
        <w:t>.</w:t>
      </w:r>
    </w:p>
  </w:footnote>
  <w:footnote w:id="15">
    <w:p w14:paraId="468B3F57" w14:textId="3449975B" w:rsidR="00B64556" w:rsidRPr="00CB663A" w:rsidRDefault="00B64556">
      <w:pPr>
        <w:pStyle w:val="FootnoteText"/>
        <w:rPr>
          <w:sz w:val="16"/>
          <w:szCs w:val="16"/>
        </w:rPr>
      </w:pPr>
      <w:r w:rsidRPr="00CB663A">
        <w:rPr>
          <w:rStyle w:val="FootnoteReference"/>
          <w:sz w:val="16"/>
          <w:szCs w:val="16"/>
        </w:rPr>
        <w:footnoteRef/>
      </w:r>
      <w:r w:rsidRPr="00CB663A">
        <w:rPr>
          <w:sz w:val="16"/>
          <w:szCs w:val="16"/>
        </w:rPr>
        <w:t xml:space="preserve"> </w:t>
      </w:r>
      <w:r w:rsidR="005A38D9" w:rsidRPr="005A38D9">
        <w:rPr>
          <w:sz w:val="16"/>
          <w:szCs w:val="16"/>
        </w:rPr>
        <w:t xml:space="preserve">Financial Counselling Australia, 2021, </w:t>
      </w:r>
      <w:r w:rsidR="005A38D9" w:rsidRPr="005A38D9">
        <w:rPr>
          <w:i/>
          <w:iCs/>
          <w:sz w:val="16"/>
          <w:szCs w:val="16"/>
        </w:rPr>
        <w:t>Telcos and Financial Hardship: Feedback from the frontline</w:t>
      </w:r>
      <w:r w:rsidR="005A38D9" w:rsidRPr="005A38D9">
        <w:rPr>
          <w:sz w:val="16"/>
          <w:szCs w:val="16"/>
        </w:rPr>
        <w:t xml:space="preserve">, p.24, Available at: </w:t>
      </w:r>
      <w:hyperlink r:id="rId11" w:history="1">
        <w:r w:rsidR="005A38D9" w:rsidRPr="005A38D9">
          <w:rPr>
            <w:rStyle w:val="Hyperlink"/>
            <w:sz w:val="16"/>
            <w:szCs w:val="16"/>
          </w:rPr>
          <w:t>https://www.financialcounsellingaustralia.org.au/fca-content/uploads/2021/04/Telcos-and-Financial-Hardship-Feedback-from-the-Frontline-Final.pdf</w:t>
        </w:r>
      </w:hyperlink>
      <w:r w:rsidR="005A38D9" w:rsidRPr="005A38D9">
        <w:rPr>
          <w:sz w:val="16"/>
          <w:szCs w:val="16"/>
        </w:rPr>
        <w:t>.</w:t>
      </w:r>
    </w:p>
  </w:footnote>
  <w:footnote w:id="16">
    <w:p w14:paraId="26D48686" w14:textId="65A74E7D" w:rsidR="00DE28EA" w:rsidRPr="003A271F" w:rsidRDefault="00DE28EA" w:rsidP="00DE28EA">
      <w:pPr>
        <w:pStyle w:val="FootnoteText"/>
        <w:rPr>
          <w:sz w:val="16"/>
          <w:szCs w:val="16"/>
        </w:rPr>
      </w:pPr>
      <w:r w:rsidRPr="003A271F">
        <w:rPr>
          <w:rStyle w:val="FootnoteReference"/>
          <w:sz w:val="16"/>
          <w:szCs w:val="16"/>
        </w:rPr>
        <w:footnoteRef/>
      </w:r>
      <w:r w:rsidRPr="003A271F">
        <w:rPr>
          <w:sz w:val="16"/>
          <w:szCs w:val="16"/>
        </w:rPr>
        <w:t xml:space="preserve"> </w:t>
      </w:r>
      <w:r w:rsidR="005A38D9" w:rsidRPr="005A38D9">
        <w:rPr>
          <w:sz w:val="16"/>
          <w:szCs w:val="16"/>
        </w:rPr>
        <w:t xml:space="preserve">Communications Alliance, 2022, C628:2019 Telecommunications Consumer Protections Code, Incorporating Variation No.1/2022, </w:t>
      </w:r>
      <w:r w:rsidR="005A38D9">
        <w:rPr>
          <w:sz w:val="16"/>
          <w:szCs w:val="16"/>
        </w:rPr>
        <w:t>5.6.1.</w:t>
      </w:r>
    </w:p>
  </w:footnote>
  <w:footnote w:id="17">
    <w:p w14:paraId="4239873D" w14:textId="2A4C7EFE" w:rsidR="00DE28EA" w:rsidRPr="00946791" w:rsidRDefault="00DE28EA" w:rsidP="00DE28EA">
      <w:pPr>
        <w:pStyle w:val="FootnoteText"/>
        <w:rPr>
          <w:sz w:val="16"/>
          <w:szCs w:val="16"/>
        </w:rPr>
      </w:pPr>
      <w:r w:rsidRPr="003A271F">
        <w:rPr>
          <w:rStyle w:val="FootnoteReference"/>
          <w:sz w:val="16"/>
          <w:szCs w:val="16"/>
        </w:rPr>
        <w:footnoteRef/>
      </w:r>
      <w:r w:rsidRPr="003A271F">
        <w:rPr>
          <w:sz w:val="16"/>
          <w:szCs w:val="16"/>
        </w:rPr>
        <w:t xml:space="preserve"> </w:t>
      </w:r>
      <w:r w:rsidR="00B5324C">
        <w:rPr>
          <w:sz w:val="16"/>
          <w:szCs w:val="16"/>
        </w:rPr>
        <w:t>Telstra,</w:t>
      </w:r>
      <w:r w:rsidR="00B5324C" w:rsidRPr="00B5324C">
        <w:t xml:space="preserve"> </w:t>
      </w:r>
      <w:r w:rsidR="00B5324C" w:rsidRPr="00B5324C">
        <w:rPr>
          <w:i/>
          <w:iCs/>
          <w:sz w:val="16"/>
          <w:szCs w:val="16"/>
        </w:rPr>
        <w:t>Why are my paper bills changing to electronic bills?</w:t>
      </w:r>
      <w:r w:rsidR="00054390">
        <w:rPr>
          <w:sz w:val="16"/>
          <w:szCs w:val="16"/>
        </w:rPr>
        <w:t xml:space="preserve">, </w:t>
      </w:r>
      <w:r w:rsidR="00B5324C">
        <w:rPr>
          <w:sz w:val="16"/>
          <w:szCs w:val="16"/>
        </w:rPr>
        <w:t xml:space="preserve">Available at: </w:t>
      </w:r>
      <w:hyperlink r:id="rId12" w:history="1">
        <w:r w:rsidR="00B5324C" w:rsidRPr="00ED4620">
          <w:rPr>
            <w:rStyle w:val="Hyperlink"/>
            <w:sz w:val="16"/>
            <w:szCs w:val="16"/>
          </w:rPr>
          <w:t>https://www.telstra.com.au/small-business/online-support/accounts-payments/paper-bill-fees</w:t>
        </w:r>
      </w:hyperlink>
      <w:r w:rsidRPr="003A271F">
        <w:rPr>
          <w:sz w:val="16"/>
          <w:szCs w:val="16"/>
        </w:rPr>
        <w:t xml:space="preserve"> ; </w:t>
      </w:r>
      <w:r w:rsidR="00D671B3">
        <w:rPr>
          <w:sz w:val="16"/>
          <w:szCs w:val="16"/>
        </w:rPr>
        <w:t>Optus,</w:t>
      </w:r>
      <w:r w:rsidR="00D671B3" w:rsidRPr="00D671B3">
        <w:t xml:space="preserve"> </w:t>
      </w:r>
      <w:r w:rsidR="00D671B3" w:rsidRPr="00D671B3">
        <w:rPr>
          <w:i/>
          <w:iCs/>
          <w:sz w:val="16"/>
          <w:szCs w:val="16"/>
        </w:rPr>
        <w:t>Late payment and other billing fees</w:t>
      </w:r>
      <w:r w:rsidR="00D671B3">
        <w:rPr>
          <w:sz w:val="16"/>
          <w:szCs w:val="16"/>
        </w:rPr>
        <w:t xml:space="preserve">, Available at: </w:t>
      </w:r>
      <w:hyperlink r:id="rId13" w:history="1">
        <w:r w:rsidR="00D671B3" w:rsidRPr="00ED4620">
          <w:rPr>
            <w:rStyle w:val="Hyperlink"/>
            <w:sz w:val="16"/>
            <w:szCs w:val="16"/>
          </w:rPr>
          <w:t>https://www.optus.com.au/for-you/support/answer?id=1466</w:t>
        </w:r>
      </w:hyperlink>
      <w:r w:rsidRPr="003A271F">
        <w:rPr>
          <w:sz w:val="16"/>
          <w:szCs w:val="16"/>
        </w:rPr>
        <w:t>.</w:t>
      </w:r>
    </w:p>
  </w:footnote>
  <w:footnote w:id="18">
    <w:p w14:paraId="5F08541D" w14:textId="3086D475" w:rsidR="00006621" w:rsidRPr="008977F1" w:rsidRDefault="00006621" w:rsidP="00006621">
      <w:pPr>
        <w:pStyle w:val="FootnoteText"/>
        <w:rPr>
          <w:sz w:val="16"/>
          <w:szCs w:val="16"/>
        </w:rPr>
      </w:pPr>
      <w:r w:rsidRPr="008977F1">
        <w:rPr>
          <w:rStyle w:val="FootnoteReference"/>
          <w:sz w:val="16"/>
          <w:szCs w:val="16"/>
        </w:rPr>
        <w:footnoteRef/>
      </w:r>
      <w:r w:rsidRPr="008977F1">
        <w:rPr>
          <w:sz w:val="16"/>
          <w:szCs w:val="16"/>
        </w:rPr>
        <w:t xml:space="preserve"> ACCAN</w:t>
      </w:r>
      <w:r w:rsidR="00D671B3">
        <w:rPr>
          <w:sz w:val="16"/>
          <w:szCs w:val="16"/>
        </w:rPr>
        <w:t xml:space="preserve">, </w:t>
      </w:r>
      <w:r w:rsidRPr="008977F1">
        <w:rPr>
          <w:sz w:val="16"/>
          <w:szCs w:val="16"/>
        </w:rPr>
        <w:t>2023</w:t>
      </w:r>
      <w:r w:rsidR="00D671B3">
        <w:rPr>
          <w:sz w:val="16"/>
          <w:szCs w:val="16"/>
        </w:rPr>
        <w:t xml:space="preserve">, </w:t>
      </w:r>
      <w:r w:rsidRPr="008977F1">
        <w:rPr>
          <w:sz w:val="16"/>
          <w:szCs w:val="16"/>
        </w:rPr>
        <w:t>ACCAN Research Snapshot: Direct Debit in</w:t>
      </w:r>
    </w:p>
    <w:p w14:paraId="5D8FC429" w14:textId="185DF6B7" w:rsidR="00006621" w:rsidRDefault="00006621" w:rsidP="00006621">
      <w:pPr>
        <w:pStyle w:val="FootnoteText"/>
      </w:pPr>
      <w:r w:rsidRPr="008977F1">
        <w:rPr>
          <w:sz w:val="16"/>
          <w:szCs w:val="16"/>
        </w:rPr>
        <w:t>Telecommunications</w:t>
      </w:r>
      <w:r w:rsidR="00D671B3">
        <w:rPr>
          <w:sz w:val="16"/>
          <w:szCs w:val="16"/>
        </w:rPr>
        <w:t>,</w:t>
      </w:r>
      <w:r w:rsidRPr="008977F1">
        <w:rPr>
          <w:sz w:val="16"/>
          <w:szCs w:val="16"/>
        </w:rPr>
        <w:t xml:space="preserve"> p.</w:t>
      </w:r>
      <w:r>
        <w:rPr>
          <w:sz w:val="16"/>
          <w:szCs w:val="16"/>
        </w:rPr>
        <w:t>2</w:t>
      </w:r>
      <w:r w:rsidR="00D671B3">
        <w:rPr>
          <w:sz w:val="16"/>
          <w:szCs w:val="16"/>
        </w:rPr>
        <w:t>,</w:t>
      </w:r>
      <w:r w:rsidRPr="008977F1">
        <w:rPr>
          <w:sz w:val="16"/>
          <w:szCs w:val="16"/>
        </w:rPr>
        <w:t xml:space="preserve"> Available at: </w:t>
      </w:r>
      <w:hyperlink r:id="rId14" w:history="1">
        <w:r w:rsidRPr="008977F1">
          <w:rPr>
            <w:rStyle w:val="Hyperlink"/>
            <w:sz w:val="16"/>
            <w:szCs w:val="16"/>
          </w:rPr>
          <w:t>https://accan.org.au/files/Reports/ACCAN%20Research%20Snapshot%20-%20Direct%20Debit%20in%20Telecommunications.pdf</w:t>
        </w:r>
      </w:hyperlink>
      <w:r w:rsidRPr="008977F1">
        <w:rPr>
          <w:sz w:val="16"/>
          <w:szCs w:val="16"/>
        </w:rPr>
        <w:t xml:space="preserve">.     </w:t>
      </w:r>
    </w:p>
  </w:footnote>
  <w:footnote w:id="19">
    <w:p w14:paraId="198BBA22" w14:textId="34B5F5A5" w:rsidR="00006621" w:rsidRPr="00946791" w:rsidRDefault="00006621" w:rsidP="00515892">
      <w:pPr>
        <w:pStyle w:val="FootnoteText"/>
        <w:rPr>
          <w:sz w:val="16"/>
          <w:szCs w:val="16"/>
        </w:rPr>
      </w:pPr>
      <w:r w:rsidRPr="00164917">
        <w:rPr>
          <w:rStyle w:val="FootnoteReference"/>
          <w:color w:val="000000" w:themeColor="text1"/>
          <w:sz w:val="16"/>
          <w:szCs w:val="16"/>
        </w:rPr>
        <w:footnoteRef/>
      </w:r>
      <w:r w:rsidRPr="00164917">
        <w:rPr>
          <w:color w:val="000000" w:themeColor="text1"/>
          <w:sz w:val="16"/>
          <w:szCs w:val="16"/>
        </w:rPr>
        <w:t xml:space="preserve"> </w:t>
      </w:r>
      <w:r w:rsidR="00515892">
        <w:rPr>
          <w:sz w:val="16"/>
          <w:szCs w:val="16"/>
        </w:rPr>
        <w:t>Ibid.</w:t>
      </w:r>
      <w:r w:rsidRPr="008977F1">
        <w:rPr>
          <w:sz w:val="16"/>
          <w:szCs w:val="16"/>
        </w:rPr>
        <w:t xml:space="preserve">     </w:t>
      </w:r>
    </w:p>
  </w:footnote>
  <w:footnote w:id="20">
    <w:p w14:paraId="13302C58" w14:textId="0BCD251C" w:rsidR="00251B38" w:rsidRPr="0055574A" w:rsidRDefault="00251B38" w:rsidP="00251B38">
      <w:pPr>
        <w:pStyle w:val="FootnoteText"/>
        <w:rPr>
          <w:lang w:val="en-US"/>
        </w:rPr>
      </w:pPr>
      <w:r w:rsidRPr="0055574A">
        <w:rPr>
          <w:rStyle w:val="FootnoteReference"/>
          <w:sz w:val="16"/>
          <w:szCs w:val="16"/>
        </w:rPr>
        <w:footnoteRef/>
      </w:r>
      <w:r w:rsidRPr="0055574A">
        <w:rPr>
          <w:sz w:val="16"/>
          <w:szCs w:val="16"/>
        </w:rPr>
        <w:t xml:space="preserve"> </w:t>
      </w:r>
      <w:r w:rsidR="00515892" w:rsidRPr="00515892">
        <w:rPr>
          <w:sz w:val="16"/>
          <w:szCs w:val="16"/>
        </w:rPr>
        <w:t>Financial Counselling Australia, 2021, Telcos and Financial Hardship: Feedback from the frontline, p.2</w:t>
      </w:r>
      <w:r w:rsidR="00515892">
        <w:rPr>
          <w:sz w:val="16"/>
          <w:szCs w:val="16"/>
        </w:rPr>
        <w:t>8</w:t>
      </w:r>
      <w:r w:rsidR="00515892" w:rsidRPr="00515892">
        <w:rPr>
          <w:sz w:val="16"/>
          <w:szCs w:val="16"/>
        </w:rPr>
        <w:t xml:space="preserve">, Available at: </w:t>
      </w:r>
      <w:hyperlink r:id="rId15" w:history="1">
        <w:r w:rsidR="00515892" w:rsidRPr="00ED4620">
          <w:rPr>
            <w:rStyle w:val="Hyperlink"/>
            <w:sz w:val="16"/>
            <w:szCs w:val="16"/>
          </w:rPr>
          <w:t>https://www.financialcounsellingaustralia.org.au/fca-content/uploads/2021/04/Telcos-and-Financial-Hardship-Feedback-from-the-Frontline-Final.pdf</w:t>
        </w:r>
      </w:hyperlink>
      <w:r w:rsidR="00515892">
        <w:rPr>
          <w:sz w:val="16"/>
          <w:szCs w:val="16"/>
        </w:rPr>
        <w:t>.</w:t>
      </w:r>
    </w:p>
  </w:footnote>
  <w:footnote w:id="21">
    <w:p w14:paraId="64EEA380" w14:textId="7B668385" w:rsidR="00882897" w:rsidRDefault="00882897">
      <w:pPr>
        <w:pStyle w:val="FootnoteText"/>
      </w:pPr>
      <w:r w:rsidRPr="00CB663A">
        <w:rPr>
          <w:rStyle w:val="FootnoteReference"/>
          <w:sz w:val="16"/>
          <w:szCs w:val="16"/>
        </w:rPr>
        <w:footnoteRef/>
      </w:r>
      <w:r w:rsidRPr="00CB663A">
        <w:rPr>
          <w:sz w:val="16"/>
          <w:szCs w:val="16"/>
        </w:rPr>
        <w:t xml:space="preserve"> </w:t>
      </w:r>
      <w:r w:rsidR="00BE615C" w:rsidRPr="00BE615C">
        <w:rPr>
          <w:sz w:val="16"/>
          <w:szCs w:val="16"/>
        </w:rPr>
        <w:t xml:space="preserve">ACCC, 2021, Telstra to pay $50m penalty for unconscionable sales to Indigenous consumers, Available at: </w:t>
      </w:r>
      <w:hyperlink r:id="rId16" w:history="1">
        <w:r w:rsidR="00BE615C" w:rsidRPr="00ED4620">
          <w:rPr>
            <w:rStyle w:val="Hyperlink"/>
            <w:sz w:val="16"/>
            <w:szCs w:val="16"/>
          </w:rPr>
          <w:t>https://www.accc.gov.au/media-release/telstra-to-pay-50m-penalty-for-unconscionable-sales-to-indigenous-consumers</w:t>
        </w:r>
      </w:hyperlink>
      <w:r w:rsidR="00BE615C">
        <w:rPr>
          <w:sz w:val="16"/>
          <w:szCs w:val="16"/>
        </w:rPr>
        <w:t>.</w:t>
      </w:r>
    </w:p>
  </w:footnote>
  <w:footnote w:id="22">
    <w:p w14:paraId="1CB20B8B" w14:textId="4E1B4717" w:rsidR="00D06153" w:rsidRDefault="00D06153">
      <w:pPr>
        <w:pStyle w:val="FootnoteText"/>
      </w:pPr>
      <w:r w:rsidRPr="00CB663A">
        <w:rPr>
          <w:rStyle w:val="FootnoteReference"/>
          <w:sz w:val="16"/>
          <w:szCs w:val="16"/>
        </w:rPr>
        <w:footnoteRef/>
      </w:r>
      <w:r w:rsidRPr="00CB663A">
        <w:rPr>
          <w:sz w:val="16"/>
          <w:szCs w:val="16"/>
        </w:rPr>
        <w:t xml:space="preserve"> </w:t>
      </w:r>
      <w:r w:rsidR="00D514F7" w:rsidRPr="00D514F7">
        <w:rPr>
          <w:sz w:val="16"/>
          <w:szCs w:val="16"/>
        </w:rPr>
        <w:t>Financial Counselling Australia, 2021, Telcos and Financial Hardship: Feedback from the frontline, p.</w:t>
      </w:r>
      <w:r w:rsidR="00D514F7">
        <w:rPr>
          <w:sz w:val="16"/>
          <w:szCs w:val="16"/>
        </w:rPr>
        <w:t>3</w:t>
      </w:r>
      <w:r w:rsidR="00D514F7" w:rsidRPr="00D514F7">
        <w:rPr>
          <w:sz w:val="16"/>
          <w:szCs w:val="16"/>
        </w:rPr>
        <w:t xml:space="preserve">, Available at: </w:t>
      </w:r>
      <w:hyperlink r:id="rId17" w:history="1">
        <w:r w:rsidR="00D514F7" w:rsidRPr="00ED4620">
          <w:rPr>
            <w:rStyle w:val="Hyperlink"/>
            <w:sz w:val="16"/>
            <w:szCs w:val="16"/>
          </w:rPr>
          <w:t>https://www.financialcounsellingaustralia.org.au/fca-content/uploads/2021/04/Telcos-and-Financial-Hardship-Feedback-from-the-Frontline-Final.pdf</w:t>
        </w:r>
      </w:hyperlink>
      <w:r w:rsidR="00D514F7">
        <w:rPr>
          <w:sz w:val="16"/>
          <w:szCs w:val="16"/>
        </w:rPr>
        <w:t xml:space="preserve">. </w:t>
      </w:r>
    </w:p>
  </w:footnote>
  <w:footnote w:id="23">
    <w:p w14:paraId="0B16260C" w14:textId="790AB39D" w:rsidR="00F27A4D" w:rsidRPr="00AB7C87" w:rsidRDefault="00F27A4D" w:rsidP="00F27A4D">
      <w:pPr>
        <w:pStyle w:val="FootnoteText"/>
        <w:rPr>
          <w:sz w:val="16"/>
          <w:szCs w:val="16"/>
          <w:lang w:val="en-US"/>
        </w:rPr>
      </w:pPr>
      <w:r w:rsidRPr="00AB7C87">
        <w:rPr>
          <w:rStyle w:val="FootnoteReference"/>
          <w:sz w:val="16"/>
          <w:szCs w:val="16"/>
        </w:rPr>
        <w:footnoteRef/>
      </w:r>
      <w:r w:rsidRPr="00AB7C87">
        <w:rPr>
          <w:sz w:val="16"/>
          <w:szCs w:val="16"/>
        </w:rPr>
        <w:t xml:space="preserve"> </w:t>
      </w:r>
      <w:r w:rsidR="00D06153">
        <w:rPr>
          <w:sz w:val="16"/>
          <w:szCs w:val="16"/>
          <w:lang w:val="en-US"/>
        </w:rPr>
        <w:t>Ibid</w:t>
      </w:r>
      <w:r w:rsidR="00235A21">
        <w:rPr>
          <w:sz w:val="16"/>
          <w:szCs w:val="16"/>
          <w:lang w:val="en-US"/>
        </w:rPr>
        <w:t xml:space="preserve"> p.5. </w:t>
      </w:r>
    </w:p>
  </w:footnote>
  <w:footnote w:id="24">
    <w:p w14:paraId="6BBE45BE" w14:textId="031565E1" w:rsidR="00F27A4D" w:rsidRPr="001A24AB" w:rsidRDefault="00F27A4D" w:rsidP="00F27A4D">
      <w:pPr>
        <w:pStyle w:val="FootnoteText"/>
        <w:rPr>
          <w:sz w:val="16"/>
          <w:szCs w:val="16"/>
          <w:lang w:val="en-US"/>
        </w:rPr>
      </w:pPr>
      <w:r w:rsidRPr="001A24AB">
        <w:rPr>
          <w:rStyle w:val="FootnoteReference"/>
          <w:sz w:val="16"/>
          <w:szCs w:val="16"/>
        </w:rPr>
        <w:footnoteRef/>
      </w:r>
      <w:r w:rsidRPr="001A24AB">
        <w:rPr>
          <w:sz w:val="16"/>
          <w:szCs w:val="16"/>
        </w:rPr>
        <w:t xml:space="preserve"> </w:t>
      </w:r>
      <w:r w:rsidR="00054390" w:rsidRPr="001A24AB">
        <w:rPr>
          <w:sz w:val="16"/>
          <w:szCs w:val="16"/>
        </w:rPr>
        <w:t>Financial Counselling Australia, 2021, Telcos and Financial Hardship: Feedback from the frontline, p.</w:t>
      </w:r>
      <w:r w:rsidR="00310891" w:rsidRPr="001A24AB">
        <w:rPr>
          <w:sz w:val="16"/>
          <w:szCs w:val="16"/>
        </w:rPr>
        <w:t>8</w:t>
      </w:r>
      <w:r w:rsidR="00054390" w:rsidRPr="001A24AB">
        <w:rPr>
          <w:sz w:val="16"/>
          <w:szCs w:val="16"/>
        </w:rPr>
        <w:t xml:space="preserve">, Available at: </w:t>
      </w:r>
      <w:hyperlink r:id="rId18" w:history="1">
        <w:r w:rsidR="00054390" w:rsidRPr="001A24AB">
          <w:rPr>
            <w:rStyle w:val="Hyperlink"/>
            <w:sz w:val="16"/>
            <w:szCs w:val="16"/>
          </w:rPr>
          <w:t>https://www.financialcounsellingaustralia.org.au/fca-content/uploads/2021/04/Telcos-and-Financial-Hardship-Feedback-from-the-Frontline-Final.pdf</w:t>
        </w:r>
      </w:hyperlink>
      <w:r w:rsidR="00054390" w:rsidRPr="001A24AB">
        <w:rPr>
          <w:sz w:val="16"/>
          <w:szCs w:val="16"/>
        </w:rPr>
        <w:t xml:space="preserve">. </w:t>
      </w:r>
      <w:r w:rsidRPr="001A24AB">
        <w:rPr>
          <w:sz w:val="16"/>
          <w:szCs w:val="16"/>
          <w:lang w:val="en-US"/>
        </w:rPr>
        <w:t xml:space="preserve">| FCA asked </w:t>
      </w:r>
      <w:r w:rsidRPr="001A24AB">
        <w:rPr>
          <w:sz w:val="16"/>
          <w:szCs w:val="16"/>
        </w:rPr>
        <w:t>financial counsellors; “On average, what proportion of your clients are struggling to pay their telco debts?”. The most common answer was that more than 50</w:t>
      </w:r>
      <w:r w:rsidR="00C9401A" w:rsidRPr="001A24AB">
        <w:rPr>
          <w:sz w:val="16"/>
          <w:szCs w:val="16"/>
        </w:rPr>
        <w:t xml:space="preserve">% </w:t>
      </w:r>
      <w:r w:rsidRPr="001A24AB">
        <w:rPr>
          <w:sz w:val="16"/>
          <w:szCs w:val="16"/>
        </w:rPr>
        <w:t>of clients were struggling to pay.</w:t>
      </w:r>
    </w:p>
  </w:footnote>
  <w:footnote w:id="25">
    <w:p w14:paraId="71E0818A" w14:textId="77777777" w:rsidR="0016560A" w:rsidRPr="0016560A" w:rsidRDefault="00FB3D31" w:rsidP="0016560A">
      <w:pPr>
        <w:pStyle w:val="FootnoteText"/>
        <w:rPr>
          <w:sz w:val="16"/>
          <w:szCs w:val="16"/>
          <w:lang w:val="en-US"/>
        </w:rPr>
      </w:pPr>
      <w:r w:rsidRPr="001A24AB">
        <w:rPr>
          <w:rStyle w:val="FootnoteReference"/>
          <w:sz w:val="16"/>
          <w:szCs w:val="16"/>
        </w:rPr>
        <w:footnoteRef/>
      </w:r>
      <w:r w:rsidRPr="001A24AB">
        <w:rPr>
          <w:sz w:val="16"/>
          <w:szCs w:val="16"/>
        </w:rPr>
        <w:t xml:space="preserve"> </w:t>
      </w:r>
      <w:r w:rsidRPr="001A24AB">
        <w:rPr>
          <w:sz w:val="16"/>
          <w:szCs w:val="16"/>
          <w:lang w:val="en-US"/>
        </w:rPr>
        <w:t>ACMA</w:t>
      </w:r>
      <w:r w:rsidR="00310891" w:rsidRPr="001A24AB">
        <w:rPr>
          <w:sz w:val="16"/>
          <w:szCs w:val="16"/>
          <w:lang w:val="en-US"/>
        </w:rPr>
        <w:t xml:space="preserve">, </w:t>
      </w:r>
      <w:r w:rsidRPr="001A24AB">
        <w:rPr>
          <w:sz w:val="16"/>
          <w:szCs w:val="16"/>
          <w:lang w:val="en-US"/>
        </w:rPr>
        <w:t>202</w:t>
      </w:r>
      <w:r w:rsidR="0016560A">
        <w:rPr>
          <w:sz w:val="16"/>
          <w:szCs w:val="16"/>
          <w:lang w:val="en-US"/>
        </w:rPr>
        <w:t>1</w:t>
      </w:r>
      <w:r w:rsidR="001A24AB" w:rsidRPr="001A24AB">
        <w:rPr>
          <w:sz w:val="16"/>
          <w:szCs w:val="16"/>
          <w:lang w:val="en-US"/>
        </w:rPr>
        <w:t xml:space="preserve">, </w:t>
      </w:r>
      <w:r w:rsidRPr="001A24AB">
        <w:rPr>
          <w:i/>
          <w:iCs/>
          <w:sz w:val="16"/>
          <w:szCs w:val="16"/>
          <w:lang w:val="en-US"/>
        </w:rPr>
        <w:t>Customer financial hardship in the telco industry: State of play report 2019–20</w:t>
      </w:r>
      <w:r w:rsidR="001A24AB" w:rsidRPr="001A24AB">
        <w:rPr>
          <w:sz w:val="16"/>
          <w:szCs w:val="16"/>
          <w:lang w:val="en-US"/>
        </w:rPr>
        <w:t>,</w:t>
      </w:r>
      <w:r w:rsidR="0016560A">
        <w:rPr>
          <w:sz w:val="16"/>
          <w:szCs w:val="16"/>
          <w:lang w:val="en-US"/>
        </w:rPr>
        <w:t xml:space="preserve"> </w:t>
      </w:r>
      <w:r w:rsidR="0016560A" w:rsidRPr="0016560A">
        <w:rPr>
          <w:sz w:val="16"/>
          <w:szCs w:val="16"/>
          <w:lang w:val="en-US"/>
        </w:rPr>
        <w:t>Telco financial hardship programs:</w:t>
      </w:r>
    </w:p>
    <w:p w14:paraId="53256CEA" w14:textId="3891E1CC" w:rsidR="00FB3D31" w:rsidRPr="0016560A" w:rsidRDefault="0016560A" w:rsidP="0016560A">
      <w:pPr>
        <w:pStyle w:val="FootnoteText"/>
        <w:rPr>
          <w:sz w:val="16"/>
          <w:szCs w:val="16"/>
          <w:lang w:val="en-US"/>
        </w:rPr>
      </w:pPr>
      <w:r w:rsidRPr="0016560A">
        <w:rPr>
          <w:sz w:val="16"/>
          <w:szCs w:val="16"/>
          <w:lang w:val="en-US"/>
        </w:rPr>
        <w:t>views from financial counsellors</w:t>
      </w:r>
      <w:r>
        <w:rPr>
          <w:sz w:val="16"/>
          <w:szCs w:val="16"/>
          <w:lang w:val="en-US"/>
        </w:rPr>
        <w:t xml:space="preserve"> - </w:t>
      </w:r>
      <w:r w:rsidRPr="0016560A">
        <w:rPr>
          <w:sz w:val="16"/>
          <w:szCs w:val="16"/>
          <w:lang w:val="en-US"/>
        </w:rPr>
        <w:t>Qualitative research</w:t>
      </w:r>
      <w:r>
        <w:rPr>
          <w:sz w:val="16"/>
          <w:szCs w:val="16"/>
          <w:lang w:val="en-US"/>
        </w:rPr>
        <w:t>,</w:t>
      </w:r>
      <w:r w:rsidR="00FB3D31" w:rsidRPr="001A24AB">
        <w:rPr>
          <w:sz w:val="16"/>
          <w:szCs w:val="16"/>
          <w:lang w:val="en-US"/>
        </w:rPr>
        <w:t xml:space="preserve"> p.</w:t>
      </w:r>
      <w:r w:rsidR="00843029">
        <w:rPr>
          <w:sz w:val="16"/>
          <w:szCs w:val="16"/>
          <w:lang w:val="en-US"/>
        </w:rPr>
        <w:t>2</w:t>
      </w:r>
      <w:r w:rsidR="001A24AB" w:rsidRPr="001A24AB">
        <w:rPr>
          <w:sz w:val="16"/>
          <w:szCs w:val="16"/>
          <w:lang w:val="en-US"/>
        </w:rPr>
        <w:t xml:space="preserve">, </w:t>
      </w:r>
      <w:r w:rsidR="00FB3D31" w:rsidRPr="001A24AB">
        <w:rPr>
          <w:sz w:val="16"/>
          <w:szCs w:val="16"/>
          <w:lang w:val="en-US"/>
        </w:rPr>
        <w:t xml:space="preserve">Available at: </w:t>
      </w:r>
      <w:hyperlink r:id="rId19" w:history="1">
        <w:r w:rsidR="00FB3D31" w:rsidRPr="001A24AB">
          <w:rPr>
            <w:rStyle w:val="Hyperlink"/>
            <w:sz w:val="16"/>
            <w:szCs w:val="16"/>
            <w:lang w:val="en-US"/>
          </w:rPr>
          <w:t>https://www.acma.gov.au/publications/2021-02/report/customer-financial-hardship-telco-industry-state-play-report-2019-20</w:t>
        </w:r>
      </w:hyperlink>
      <w:r w:rsidR="00FB3D31" w:rsidRPr="00130D3A">
        <w:rPr>
          <w:sz w:val="16"/>
          <w:szCs w:val="16"/>
          <w:lang w:val="en-US"/>
        </w:rPr>
        <w:t xml:space="preserve"> </w:t>
      </w:r>
    </w:p>
  </w:footnote>
  <w:footnote w:id="26">
    <w:p w14:paraId="7B0FF1C1" w14:textId="77FBE71D" w:rsidR="00BA6CDC" w:rsidRPr="001A24AB" w:rsidRDefault="00BA6CDC">
      <w:pPr>
        <w:pStyle w:val="FootnoteText"/>
        <w:rPr>
          <w:sz w:val="16"/>
          <w:szCs w:val="16"/>
          <w:lang w:val="en-US"/>
        </w:rPr>
      </w:pPr>
      <w:r w:rsidRPr="001A24AB">
        <w:rPr>
          <w:rStyle w:val="FootnoteReference"/>
          <w:sz w:val="16"/>
          <w:szCs w:val="16"/>
        </w:rPr>
        <w:footnoteRef/>
      </w:r>
      <w:r w:rsidRPr="001A24AB">
        <w:rPr>
          <w:sz w:val="16"/>
          <w:szCs w:val="16"/>
        </w:rPr>
        <w:t xml:space="preserve"> </w:t>
      </w:r>
      <w:r w:rsidR="00546D8F" w:rsidRPr="001A24AB">
        <w:rPr>
          <w:sz w:val="16"/>
          <w:szCs w:val="16"/>
        </w:rPr>
        <w:t>Roy Morgan</w:t>
      </w:r>
      <w:r w:rsidR="001A24AB">
        <w:rPr>
          <w:sz w:val="16"/>
          <w:szCs w:val="16"/>
        </w:rPr>
        <w:t>,</w:t>
      </w:r>
      <w:r w:rsidR="00AB5602">
        <w:rPr>
          <w:sz w:val="16"/>
          <w:szCs w:val="16"/>
        </w:rPr>
        <w:t xml:space="preserve"> </w:t>
      </w:r>
      <w:r w:rsidR="00546D8F" w:rsidRPr="001A24AB">
        <w:rPr>
          <w:sz w:val="16"/>
          <w:szCs w:val="16"/>
        </w:rPr>
        <w:t>2023</w:t>
      </w:r>
      <w:r w:rsidR="001A24AB">
        <w:rPr>
          <w:sz w:val="16"/>
          <w:szCs w:val="16"/>
        </w:rPr>
        <w:t>,</w:t>
      </w:r>
      <w:r w:rsidR="00546D8F" w:rsidRPr="001A24AB">
        <w:rPr>
          <w:sz w:val="16"/>
          <w:szCs w:val="16"/>
        </w:rPr>
        <w:t xml:space="preserve"> </w:t>
      </w:r>
      <w:r w:rsidR="00546D8F" w:rsidRPr="001A24AB">
        <w:rPr>
          <w:i/>
          <w:iCs/>
          <w:sz w:val="16"/>
          <w:szCs w:val="16"/>
        </w:rPr>
        <w:t>Telecommunications industry overtakes Social Media as the most distrusted industry</w:t>
      </w:r>
      <w:r w:rsidR="00546D8F" w:rsidRPr="001A24AB">
        <w:rPr>
          <w:sz w:val="16"/>
          <w:szCs w:val="16"/>
        </w:rPr>
        <w:t xml:space="preserve"> (Article No. 9193)</w:t>
      </w:r>
      <w:r w:rsidR="001A24AB">
        <w:rPr>
          <w:sz w:val="16"/>
          <w:szCs w:val="16"/>
        </w:rPr>
        <w:t>, Available at:</w:t>
      </w:r>
      <w:r w:rsidR="00546D8F" w:rsidRPr="001A24AB">
        <w:rPr>
          <w:sz w:val="16"/>
          <w:szCs w:val="16"/>
        </w:rPr>
        <w:t xml:space="preserve"> </w:t>
      </w:r>
      <w:hyperlink r:id="rId20" w:history="1">
        <w:r w:rsidR="00546D8F" w:rsidRPr="001A24AB">
          <w:rPr>
            <w:rStyle w:val="Hyperlink"/>
            <w:sz w:val="16"/>
            <w:szCs w:val="16"/>
          </w:rPr>
          <w:t>https://roymorgan-cms-dev.s3.ap-southeast-2.amazonaws.com/wp-content/uploads/2023/04/04235718/9193-Risk-Monitor-Telco-most-distrusted-industry-2023-1.pdf</w:t>
        </w:r>
      </w:hyperlink>
      <w:r w:rsidR="00546D8F" w:rsidRPr="001A24AB">
        <w:rPr>
          <w:rStyle w:val="Hyperlink"/>
          <w:sz w:val="16"/>
          <w:szCs w:val="16"/>
        </w:rPr>
        <w:t xml:space="preserve">. </w:t>
      </w:r>
    </w:p>
  </w:footnote>
  <w:footnote w:id="27">
    <w:p w14:paraId="05D5382A" w14:textId="7689A11B" w:rsidR="00126CBD" w:rsidRDefault="00126CBD">
      <w:pPr>
        <w:pStyle w:val="FootnoteText"/>
      </w:pPr>
      <w:r w:rsidRPr="00137F52">
        <w:rPr>
          <w:rStyle w:val="FootnoteReference"/>
          <w:sz w:val="16"/>
          <w:szCs w:val="16"/>
        </w:rPr>
        <w:footnoteRef/>
      </w:r>
      <w:r w:rsidRPr="00137F52">
        <w:rPr>
          <w:sz w:val="16"/>
          <w:szCs w:val="16"/>
        </w:rPr>
        <w:t xml:space="preserve"> ACCAN, </w:t>
      </w:r>
      <w:r w:rsidR="00E14C91" w:rsidRPr="00137F52">
        <w:rPr>
          <w:sz w:val="16"/>
          <w:szCs w:val="16"/>
        </w:rPr>
        <w:t xml:space="preserve">2020, </w:t>
      </w:r>
      <w:r w:rsidR="00E14C91" w:rsidRPr="00EF454D">
        <w:rPr>
          <w:i/>
          <w:iCs/>
          <w:sz w:val="16"/>
          <w:szCs w:val="16"/>
        </w:rPr>
        <w:t>Submission to Consumer Safeguards Review Part C</w:t>
      </w:r>
      <w:r w:rsidR="00781CAE" w:rsidRPr="00137F52">
        <w:rPr>
          <w:sz w:val="16"/>
          <w:szCs w:val="16"/>
        </w:rPr>
        <w:t xml:space="preserve">, </w:t>
      </w:r>
      <w:r w:rsidR="00137F52" w:rsidRPr="00137F52">
        <w:rPr>
          <w:sz w:val="16"/>
          <w:szCs w:val="16"/>
        </w:rPr>
        <w:t xml:space="preserve">p.35, Available at: </w:t>
      </w:r>
      <w:hyperlink r:id="rId21" w:history="1">
        <w:r w:rsidR="00137F52" w:rsidRPr="00137F52">
          <w:rPr>
            <w:rStyle w:val="Hyperlink"/>
            <w:sz w:val="16"/>
            <w:szCs w:val="16"/>
          </w:rPr>
          <w:t>https://accan.org.au/our-work/submissions/1804-csr-partc</w:t>
        </w:r>
      </w:hyperlink>
      <w:r w:rsidR="00137F52" w:rsidRPr="00137F52">
        <w:rPr>
          <w:sz w:val="16"/>
          <w:szCs w:val="16"/>
        </w:rPr>
        <w:t xml:space="preserve">. </w:t>
      </w:r>
    </w:p>
  </w:footnote>
  <w:footnote w:id="28">
    <w:p w14:paraId="0ED9FDFC" w14:textId="0F29E11F" w:rsidR="00CE1DCD" w:rsidRPr="00CB663A" w:rsidRDefault="00CE1DCD">
      <w:pPr>
        <w:pStyle w:val="FootnoteText"/>
        <w:rPr>
          <w:sz w:val="16"/>
          <w:szCs w:val="16"/>
          <w:lang w:val="en-US"/>
        </w:rPr>
      </w:pPr>
      <w:r w:rsidRPr="00CB663A">
        <w:rPr>
          <w:rStyle w:val="FootnoteReference"/>
          <w:sz w:val="16"/>
          <w:szCs w:val="16"/>
        </w:rPr>
        <w:footnoteRef/>
      </w:r>
      <w:r w:rsidRPr="00CB663A">
        <w:rPr>
          <w:sz w:val="16"/>
          <w:szCs w:val="16"/>
        </w:rPr>
        <w:t xml:space="preserve"> </w:t>
      </w:r>
      <w:r w:rsidRPr="00CB663A">
        <w:rPr>
          <w:sz w:val="16"/>
          <w:szCs w:val="16"/>
          <w:lang w:val="en-US"/>
        </w:rPr>
        <w:t xml:space="preserve">ACCAN, </w:t>
      </w:r>
      <w:r w:rsidR="001515EA">
        <w:rPr>
          <w:sz w:val="16"/>
          <w:szCs w:val="16"/>
          <w:lang w:val="en-US"/>
        </w:rPr>
        <w:t xml:space="preserve">2018, </w:t>
      </w:r>
      <w:r w:rsidRPr="00EF454D">
        <w:rPr>
          <w:i/>
          <w:iCs/>
          <w:sz w:val="16"/>
          <w:szCs w:val="16"/>
          <w:lang w:val="en-US"/>
        </w:rPr>
        <w:t>Submission to the Telecommunications Consumer Protections Code</w:t>
      </w:r>
      <w:r w:rsidR="004301C9" w:rsidRPr="00CB663A">
        <w:rPr>
          <w:sz w:val="16"/>
          <w:szCs w:val="16"/>
          <w:lang w:val="en-US"/>
        </w:rPr>
        <w:t xml:space="preserve"> (Communications Alliance</w:t>
      </w:r>
      <w:r w:rsidR="001515EA">
        <w:rPr>
          <w:sz w:val="16"/>
          <w:szCs w:val="16"/>
          <w:lang w:val="en-US"/>
        </w:rPr>
        <w:t xml:space="preserve">), p.5, Available at: </w:t>
      </w:r>
      <w:hyperlink r:id="rId22" w:history="1">
        <w:r w:rsidR="001515EA" w:rsidRPr="00ED4620">
          <w:rPr>
            <w:rStyle w:val="Hyperlink"/>
            <w:sz w:val="16"/>
            <w:szCs w:val="16"/>
            <w:lang w:val="en-US"/>
          </w:rPr>
          <w:t>https://accan.org.au/files/Submissions/TCP%20Code_ACCAN%20submission%20100818.pdf</w:t>
        </w:r>
      </w:hyperlink>
      <w:r w:rsidR="004301C9" w:rsidRPr="00CB663A">
        <w:rPr>
          <w:sz w:val="16"/>
          <w:szCs w:val="16"/>
          <w:lang w:val="en-US"/>
        </w:rPr>
        <w:t xml:space="preserve">. </w:t>
      </w:r>
      <w:r w:rsidR="004C64D7" w:rsidRPr="00CB663A">
        <w:rPr>
          <w:sz w:val="16"/>
          <w:szCs w:val="16"/>
          <w:lang w:val="en-US"/>
        </w:rPr>
        <w:t xml:space="preserve"> </w:t>
      </w:r>
    </w:p>
  </w:footnote>
  <w:footnote w:id="29">
    <w:p w14:paraId="60C45206" w14:textId="77777777" w:rsidR="00A80803" w:rsidRPr="00F502FF" w:rsidRDefault="00A80803" w:rsidP="00A80803">
      <w:pPr>
        <w:pStyle w:val="Footnotes"/>
        <w:spacing w:after="0" w:line="240" w:lineRule="auto"/>
        <w:rPr>
          <w:sz w:val="16"/>
          <w:szCs w:val="16"/>
        </w:rPr>
      </w:pPr>
      <w:r w:rsidRPr="00F502FF">
        <w:rPr>
          <w:rStyle w:val="FootnoteReference"/>
          <w:sz w:val="16"/>
          <w:szCs w:val="16"/>
        </w:rPr>
        <w:footnoteRef/>
      </w:r>
      <w:r w:rsidRPr="00F502FF">
        <w:rPr>
          <w:sz w:val="16"/>
          <w:szCs w:val="16"/>
          <w:vertAlign w:val="superscript"/>
        </w:rPr>
        <w:t xml:space="preserve"> </w:t>
      </w:r>
      <w:r w:rsidRPr="00F502FF">
        <w:rPr>
          <w:sz w:val="16"/>
          <w:szCs w:val="16"/>
        </w:rPr>
        <w:t xml:space="preserve">Australian Bureau of Statistics 2021-22, Personal Safety, Australia, ABS, viewed 16 March 2023, </w:t>
      </w:r>
      <w:hyperlink r:id="rId23" w:history="1">
        <w:r w:rsidRPr="00F502FF">
          <w:rPr>
            <w:rStyle w:val="Hyperlink"/>
            <w:sz w:val="16"/>
            <w:szCs w:val="16"/>
          </w:rPr>
          <w:t>https://www.abs.gov.au/statistics/people/crime-and-justice/personal-safety-australia/latest-release</w:t>
        </w:r>
      </w:hyperlink>
      <w:r w:rsidRPr="00F502FF">
        <w:rPr>
          <w:sz w:val="16"/>
          <w:szCs w:val="16"/>
        </w:rPr>
        <w:t xml:space="preserve">. </w:t>
      </w:r>
    </w:p>
  </w:footnote>
  <w:footnote w:id="30">
    <w:p w14:paraId="668BA212" w14:textId="2A7C92D8" w:rsidR="00A80803" w:rsidRPr="00F502FF" w:rsidRDefault="00A80803" w:rsidP="00A80803">
      <w:pPr>
        <w:pStyle w:val="Footnotes"/>
        <w:spacing w:after="0" w:line="240" w:lineRule="auto"/>
        <w:rPr>
          <w:sz w:val="16"/>
          <w:szCs w:val="16"/>
        </w:rPr>
      </w:pPr>
      <w:r w:rsidRPr="00F502FF">
        <w:rPr>
          <w:rStyle w:val="FootnoteReference"/>
          <w:sz w:val="16"/>
          <w:szCs w:val="16"/>
        </w:rPr>
        <w:footnoteRef/>
      </w:r>
      <w:r w:rsidRPr="00F502FF">
        <w:rPr>
          <w:sz w:val="16"/>
          <w:szCs w:val="16"/>
          <w:vertAlign w:val="superscript"/>
        </w:rPr>
        <w:t xml:space="preserve"> </w:t>
      </w:r>
      <w:r w:rsidRPr="00F502FF">
        <w:rPr>
          <w:sz w:val="16"/>
          <w:szCs w:val="16"/>
        </w:rPr>
        <w:t>Molly Dragiewicz ‘How children are involved in technology-facilitated coercive control’ (Lecture, British Society of Criminology Annual Conference, online, 8 July 2021) 6.</w:t>
      </w:r>
    </w:p>
  </w:footnote>
  <w:footnote w:id="31">
    <w:p w14:paraId="15D569FA" w14:textId="357D6A5A" w:rsidR="00A80803" w:rsidRPr="00F502FF" w:rsidRDefault="00A80803" w:rsidP="00A80803">
      <w:pPr>
        <w:pStyle w:val="Footnotes"/>
        <w:spacing w:after="0" w:line="240" w:lineRule="auto"/>
        <w:rPr>
          <w:sz w:val="16"/>
          <w:szCs w:val="16"/>
        </w:rPr>
      </w:pPr>
      <w:r w:rsidRPr="00F502FF">
        <w:rPr>
          <w:rStyle w:val="FootnoteReference"/>
          <w:sz w:val="16"/>
          <w:szCs w:val="16"/>
        </w:rPr>
        <w:footnoteRef/>
      </w:r>
      <w:r w:rsidRPr="00F502FF">
        <w:rPr>
          <w:sz w:val="16"/>
          <w:szCs w:val="16"/>
          <w:vertAlign w:val="superscript"/>
        </w:rPr>
        <w:t xml:space="preserve"> </w:t>
      </w:r>
      <w:bookmarkStart w:id="17" w:name="_Hlk131432942"/>
      <w:r w:rsidRPr="00F502FF">
        <w:rPr>
          <w:sz w:val="16"/>
          <w:szCs w:val="16"/>
        </w:rPr>
        <w:t>KPMG</w:t>
      </w:r>
      <w:r w:rsidR="00824F18">
        <w:rPr>
          <w:sz w:val="16"/>
          <w:szCs w:val="16"/>
        </w:rPr>
        <w:t>,</w:t>
      </w:r>
      <w:r w:rsidRPr="00F502FF">
        <w:rPr>
          <w:sz w:val="16"/>
          <w:szCs w:val="16"/>
        </w:rPr>
        <w:t xml:space="preserve"> </w:t>
      </w:r>
      <w:r w:rsidR="00824F18">
        <w:rPr>
          <w:sz w:val="16"/>
          <w:szCs w:val="16"/>
        </w:rPr>
        <w:t xml:space="preserve">2016, </w:t>
      </w:r>
      <w:r w:rsidRPr="00824F18">
        <w:rPr>
          <w:i/>
          <w:iCs/>
          <w:sz w:val="16"/>
          <w:szCs w:val="16"/>
        </w:rPr>
        <w:t>‘The cost of violence against women and their children in Australia’</w:t>
      </w:r>
      <w:bookmarkEnd w:id="17"/>
      <w:r w:rsidR="00824F18">
        <w:rPr>
          <w:sz w:val="16"/>
          <w:szCs w:val="16"/>
        </w:rPr>
        <w:t xml:space="preserve">. </w:t>
      </w:r>
    </w:p>
  </w:footnote>
  <w:footnote w:id="32">
    <w:p w14:paraId="374F62B4" w14:textId="239BDDEF" w:rsidR="00A80803" w:rsidRPr="00FC667B" w:rsidRDefault="00A80803" w:rsidP="00A80803">
      <w:pPr>
        <w:pStyle w:val="Footnotes"/>
        <w:spacing w:after="0" w:line="240" w:lineRule="auto"/>
        <w:rPr>
          <w:sz w:val="18"/>
          <w:szCs w:val="18"/>
        </w:rPr>
      </w:pPr>
      <w:r w:rsidRPr="00F502FF">
        <w:rPr>
          <w:rStyle w:val="FootnoteReference"/>
          <w:sz w:val="16"/>
          <w:szCs w:val="16"/>
        </w:rPr>
        <w:footnoteRef/>
      </w:r>
      <w:r w:rsidRPr="00F502FF">
        <w:rPr>
          <w:sz w:val="16"/>
          <w:szCs w:val="16"/>
          <w:vertAlign w:val="superscript"/>
        </w:rPr>
        <w:t xml:space="preserve"> </w:t>
      </w:r>
      <w:r w:rsidRPr="00F502FF">
        <w:rPr>
          <w:sz w:val="16"/>
          <w:szCs w:val="16"/>
        </w:rPr>
        <w:t xml:space="preserve">Telecommunications Industry Ombudsman </w:t>
      </w:r>
      <w:r w:rsidRPr="00824F18">
        <w:rPr>
          <w:i/>
          <w:iCs/>
          <w:sz w:val="16"/>
          <w:szCs w:val="16"/>
        </w:rPr>
        <w:t>‘Phone or internet complaints impacted by family violence’</w:t>
      </w:r>
      <w:r w:rsidR="00824F18">
        <w:rPr>
          <w:sz w:val="16"/>
          <w:szCs w:val="16"/>
        </w:rPr>
        <w:t xml:space="preserve">, Available at: </w:t>
      </w:r>
      <w:hyperlink r:id="rId24" w:history="1">
        <w:r w:rsidR="00824F18" w:rsidRPr="00ED4620">
          <w:rPr>
            <w:rStyle w:val="Hyperlink"/>
            <w:sz w:val="16"/>
            <w:szCs w:val="16"/>
          </w:rPr>
          <w:t>https://www.tio.com.au/guides/family-violence/phone-or-internet-complaints-impacted-family-violence</w:t>
        </w:r>
      </w:hyperlink>
      <w:r w:rsidRPr="00F502FF">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3F167" w14:textId="77777777" w:rsidR="00A75493" w:rsidRPr="009A314F" w:rsidRDefault="00AD3EFC" w:rsidP="00E42CDF">
    <w:pPr>
      <w:tabs>
        <w:tab w:val="left" w:pos="1843"/>
      </w:tabs>
      <w:ind w:hanging="851"/>
      <w:rPr>
        <w:rFonts w:ascii="Verdana" w:hAnsi="Verdana"/>
      </w:rPr>
    </w:pPr>
    <w:r w:rsidRPr="009A314F">
      <w:rPr>
        <w:rFonts w:ascii="Verdana" w:hAnsi="Verdana"/>
        <w:noProof/>
      </w:rPr>
      <w:drawing>
        <wp:anchor distT="0" distB="0" distL="114300" distR="114300" simplePos="0" relativeHeight="251658240" behindDoc="0" locked="0" layoutInCell="1" allowOverlap="1" wp14:anchorId="502B2D6E" wp14:editId="237AC61B">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rsidRPr="009A314F">
      <w:rPr>
        <w:rFonts w:ascii="Verdana" w:hAnsi="Verdana"/>
        <w:b/>
        <w:bCs/>
        <w:i/>
        <w:iCs/>
      </w:rPr>
      <w:t xml:space="preserve">   </w:t>
    </w:r>
    <w:r w:rsidRPr="009A314F">
      <w:rPr>
        <w:rFonts w:ascii="Verdana" w:hAnsi="Verdana"/>
        <w:b/>
        <w:bCs/>
        <w:i/>
        <w:iCs/>
        <w:color w:val="43C7F4" w:themeColor="accent1"/>
      </w:rPr>
      <w:t xml:space="preserve">Your </w:t>
    </w:r>
    <w:r w:rsidRPr="009A314F">
      <w:rPr>
        <w:rStyle w:val="Letterhead2Char"/>
        <w:rFonts w:ascii="Verdana" w:hAnsi="Verdana"/>
      </w:rPr>
      <w:t>consumer</w:t>
    </w:r>
    <w:r w:rsidRPr="009A314F">
      <w:rPr>
        <w:rFonts w:ascii="Verdana" w:hAnsi="Verdana"/>
        <w:b/>
        <w:bCs/>
        <w:i/>
        <w:iCs/>
        <w:color w:val="43C7F4" w:themeColor="accent1"/>
      </w:rPr>
      <w:t xml:space="preserve"> voice on phones and internet</w:t>
    </w:r>
    <w:r w:rsidRPr="009A314F">
      <w:rPr>
        <w:rFonts w:ascii="Verdana" w:hAnsi="Verdana"/>
        <w:noProof/>
      </w:rPr>
      <mc:AlternateContent>
        <mc:Choice Requires="wps">
          <w:drawing>
            <wp:anchor distT="0" distB="0" distL="114300" distR="114300" simplePos="0" relativeHeight="251658241" behindDoc="1" locked="0" layoutInCell="1" allowOverlap="1" wp14:anchorId="380EB7ED" wp14:editId="27B2C8D4">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9246BC5" id="Rectangle 1" o:spid="_x0000_s1026"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fillcolor="#43c7f4" stroked="f" strokeweight="2p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34038"/>
    <w:multiLevelType w:val="hybridMultilevel"/>
    <w:tmpl w:val="B11AB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BF56AA"/>
    <w:multiLevelType w:val="hybridMultilevel"/>
    <w:tmpl w:val="17708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CC6C58"/>
    <w:multiLevelType w:val="hybridMultilevel"/>
    <w:tmpl w:val="5CA82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FA05B8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248716BD"/>
    <w:multiLevelType w:val="hybridMultilevel"/>
    <w:tmpl w:val="FECED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0437CE"/>
    <w:multiLevelType w:val="hybridMultilevel"/>
    <w:tmpl w:val="10DC3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418"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7" w15:restartNumberingAfterBreak="0">
    <w:nsid w:val="2F783E0B"/>
    <w:multiLevelType w:val="hybridMultilevel"/>
    <w:tmpl w:val="1E74C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7C5FB2"/>
    <w:multiLevelType w:val="multilevel"/>
    <w:tmpl w:val="6AFEEB4C"/>
    <w:numStyleLink w:val="Bullets"/>
  </w:abstractNum>
  <w:abstractNum w:abstractNumId="9" w15:restartNumberingAfterBreak="0">
    <w:nsid w:val="35F41370"/>
    <w:multiLevelType w:val="multilevel"/>
    <w:tmpl w:val="836A04B4"/>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0" w15:restartNumberingAfterBreak="0">
    <w:nsid w:val="3A784907"/>
    <w:multiLevelType w:val="hybridMultilevel"/>
    <w:tmpl w:val="BDFCECF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F8107CC"/>
    <w:multiLevelType w:val="hybridMultilevel"/>
    <w:tmpl w:val="BFCA4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857923"/>
    <w:multiLevelType w:val="multilevel"/>
    <w:tmpl w:val="989E8E90"/>
    <w:styleLink w:val="Appendices"/>
    <w:lvl w:ilvl="0">
      <w:start w:val="1"/>
      <w:numFmt w:val="upperLetter"/>
      <w:lvlText w:val="Appendix %1."/>
      <w:lvlJc w:val="left"/>
      <w:pPr>
        <w:ind w:left="0" w:firstLine="0"/>
      </w:pPr>
      <w:rPr>
        <w:rFonts w:hint="default"/>
      </w:rPr>
    </w:lvl>
    <w:lvl w:ilvl="1">
      <w:start w:val="1"/>
      <w:numFmt w:val="lowerRoman"/>
      <w:lvlText w:val="%1.%2"/>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56DB5FA9"/>
    <w:multiLevelType w:val="hybridMultilevel"/>
    <w:tmpl w:val="1FAA0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467144"/>
    <w:multiLevelType w:val="multilevel"/>
    <w:tmpl w:val="3FD07300"/>
    <w:lvl w:ilvl="0">
      <w:start w:val="1"/>
      <w:numFmt w:val="upperLetter"/>
      <w:lvlText w:val="Appendix %1."/>
      <w:lvlJc w:val="left"/>
      <w:pPr>
        <w:ind w:left="0" w:firstLine="0"/>
      </w:pPr>
      <w:rPr>
        <w:rFonts w:hint="default"/>
      </w:rPr>
    </w:lvl>
    <w:lvl w:ilvl="1">
      <w:start w:val="1"/>
      <w:numFmt w:val="lowerRoman"/>
      <w:lvlText w:val="%1.%2"/>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5BBB6657"/>
    <w:multiLevelType w:val="hybridMultilevel"/>
    <w:tmpl w:val="BE461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B87702"/>
    <w:multiLevelType w:val="hybridMultilevel"/>
    <w:tmpl w:val="D3D06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8F7F0B"/>
    <w:multiLevelType w:val="hybridMultilevel"/>
    <w:tmpl w:val="60783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CAA0FE4"/>
    <w:multiLevelType w:val="multilevel"/>
    <w:tmpl w:val="E2F45A98"/>
    <w:styleLink w:val="Blockquotebullets"/>
    <w:lvl w:ilvl="0">
      <w:start w:val="1"/>
      <w:numFmt w:val="bullet"/>
      <w:lvlText w:val=""/>
      <w:lvlJc w:val="left"/>
      <w:pPr>
        <w:ind w:left="1701" w:hanging="283"/>
      </w:pPr>
      <w:rPr>
        <w:rFonts w:ascii="Symbol" w:hAnsi="Symbol"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15:restartNumberingAfterBreak="0">
    <w:nsid w:val="70B10DC2"/>
    <w:multiLevelType w:val="hybridMultilevel"/>
    <w:tmpl w:val="E3302756"/>
    <w:lvl w:ilvl="0" w:tplc="7C6223D4">
      <w:start w:val="1"/>
      <w:numFmt w:val="bullet"/>
      <w:lvlText w:val=""/>
      <w:lvlJc w:val="left"/>
      <w:pPr>
        <w:ind w:left="1440" w:hanging="360"/>
      </w:pPr>
      <w:rPr>
        <w:rFonts w:ascii="Symbol" w:hAnsi="Symbol"/>
      </w:rPr>
    </w:lvl>
    <w:lvl w:ilvl="1" w:tplc="F8C0936C">
      <w:start w:val="1"/>
      <w:numFmt w:val="bullet"/>
      <w:lvlText w:val=""/>
      <w:lvlJc w:val="left"/>
      <w:pPr>
        <w:ind w:left="1440" w:hanging="360"/>
      </w:pPr>
      <w:rPr>
        <w:rFonts w:ascii="Symbol" w:hAnsi="Symbol"/>
      </w:rPr>
    </w:lvl>
    <w:lvl w:ilvl="2" w:tplc="075CCE38">
      <w:start w:val="1"/>
      <w:numFmt w:val="bullet"/>
      <w:lvlText w:val=""/>
      <w:lvlJc w:val="left"/>
      <w:pPr>
        <w:ind w:left="1440" w:hanging="360"/>
      </w:pPr>
      <w:rPr>
        <w:rFonts w:ascii="Symbol" w:hAnsi="Symbol"/>
      </w:rPr>
    </w:lvl>
    <w:lvl w:ilvl="3" w:tplc="F280A020">
      <w:start w:val="1"/>
      <w:numFmt w:val="bullet"/>
      <w:lvlText w:val=""/>
      <w:lvlJc w:val="left"/>
      <w:pPr>
        <w:ind w:left="1440" w:hanging="360"/>
      </w:pPr>
      <w:rPr>
        <w:rFonts w:ascii="Symbol" w:hAnsi="Symbol"/>
      </w:rPr>
    </w:lvl>
    <w:lvl w:ilvl="4" w:tplc="8BF6F906">
      <w:start w:val="1"/>
      <w:numFmt w:val="bullet"/>
      <w:lvlText w:val=""/>
      <w:lvlJc w:val="left"/>
      <w:pPr>
        <w:ind w:left="1440" w:hanging="360"/>
      </w:pPr>
      <w:rPr>
        <w:rFonts w:ascii="Symbol" w:hAnsi="Symbol"/>
      </w:rPr>
    </w:lvl>
    <w:lvl w:ilvl="5" w:tplc="EEFCBB8C">
      <w:start w:val="1"/>
      <w:numFmt w:val="bullet"/>
      <w:lvlText w:val=""/>
      <w:lvlJc w:val="left"/>
      <w:pPr>
        <w:ind w:left="1440" w:hanging="360"/>
      </w:pPr>
      <w:rPr>
        <w:rFonts w:ascii="Symbol" w:hAnsi="Symbol"/>
      </w:rPr>
    </w:lvl>
    <w:lvl w:ilvl="6" w:tplc="71E26C0E">
      <w:start w:val="1"/>
      <w:numFmt w:val="bullet"/>
      <w:lvlText w:val=""/>
      <w:lvlJc w:val="left"/>
      <w:pPr>
        <w:ind w:left="1440" w:hanging="360"/>
      </w:pPr>
      <w:rPr>
        <w:rFonts w:ascii="Symbol" w:hAnsi="Symbol"/>
      </w:rPr>
    </w:lvl>
    <w:lvl w:ilvl="7" w:tplc="CF9E97F0">
      <w:start w:val="1"/>
      <w:numFmt w:val="bullet"/>
      <w:lvlText w:val=""/>
      <w:lvlJc w:val="left"/>
      <w:pPr>
        <w:ind w:left="1440" w:hanging="360"/>
      </w:pPr>
      <w:rPr>
        <w:rFonts w:ascii="Symbol" w:hAnsi="Symbol"/>
      </w:rPr>
    </w:lvl>
    <w:lvl w:ilvl="8" w:tplc="64F6D000">
      <w:start w:val="1"/>
      <w:numFmt w:val="bullet"/>
      <w:lvlText w:val=""/>
      <w:lvlJc w:val="left"/>
      <w:pPr>
        <w:ind w:left="1440" w:hanging="360"/>
      </w:pPr>
      <w:rPr>
        <w:rFonts w:ascii="Symbol" w:hAnsi="Symbol"/>
      </w:rPr>
    </w:lvl>
  </w:abstractNum>
  <w:abstractNum w:abstractNumId="20" w15:restartNumberingAfterBreak="0">
    <w:nsid w:val="77FF45ED"/>
    <w:multiLevelType w:val="multilevel"/>
    <w:tmpl w:val="A7920A6E"/>
    <w:styleLink w:val="Heading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none"/>
      <w:suff w:val="nothing"/>
      <w:lvlText w:val=""/>
      <w:lvlJc w:val="left"/>
      <w:pPr>
        <w:ind w:left="0" w:firstLine="0"/>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21" w15:restartNumberingAfterBreak="0">
    <w:nsid w:val="7C16240A"/>
    <w:multiLevelType w:val="hybridMultilevel"/>
    <w:tmpl w:val="8AA45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72037082">
    <w:abstractNumId w:val="20"/>
  </w:num>
  <w:num w:numId="2" w16cid:durableId="432474946">
    <w:abstractNumId w:val="6"/>
  </w:num>
  <w:num w:numId="3" w16cid:durableId="1224683495">
    <w:abstractNumId w:val="8"/>
  </w:num>
  <w:num w:numId="4" w16cid:durableId="1132165798">
    <w:abstractNumId w:val="12"/>
  </w:num>
  <w:num w:numId="5" w16cid:durableId="1171020225">
    <w:abstractNumId w:val="14"/>
  </w:num>
  <w:num w:numId="6" w16cid:durableId="671227">
    <w:abstractNumId w:val="18"/>
  </w:num>
  <w:num w:numId="7" w16cid:durableId="1993439199">
    <w:abstractNumId w:val="9"/>
  </w:num>
  <w:num w:numId="8" w16cid:durableId="1867600657">
    <w:abstractNumId w:val="9"/>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9" w16cid:durableId="313729236">
    <w:abstractNumId w:val="17"/>
  </w:num>
  <w:num w:numId="10" w16cid:durableId="1509759729">
    <w:abstractNumId w:val="2"/>
  </w:num>
  <w:num w:numId="11" w16cid:durableId="1072309346">
    <w:abstractNumId w:val="10"/>
  </w:num>
  <w:num w:numId="12" w16cid:durableId="810364806">
    <w:abstractNumId w:val="9"/>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13" w16cid:durableId="1844663340">
    <w:abstractNumId w:val="9"/>
    <w:lvlOverride w:ilvl="0">
      <w:startOverride w:val="1"/>
      <w:lvl w:ilvl="0">
        <w:start w:val="1"/>
        <w:numFmt w:val="decimal"/>
        <w:pStyle w:val="Recommendation"/>
        <w:lvlText w:val="Recommendation %1:"/>
        <w:lvlJc w:val="left"/>
        <w:pPr>
          <w:ind w:left="851" w:firstLine="0"/>
        </w:pPr>
        <w:rPr>
          <w:rFonts w:hint="default"/>
          <w:b/>
          <w:bCs/>
        </w:rPr>
      </w:lvl>
    </w:lvlOverride>
    <w:lvlOverride w:ilvl="1">
      <w:startOverride w:val="1"/>
      <w:lvl w:ilvl="1">
        <w:start w:val="1"/>
        <w:numFmt w:val="none"/>
        <w:lvlText w:val=""/>
        <w:lvlJc w:val="left"/>
        <w:pPr>
          <w:ind w:left="851" w:hanging="851"/>
        </w:pPr>
        <w:rPr>
          <w:rFonts w:hint="default"/>
        </w:rPr>
      </w:lvl>
    </w:lvlOverride>
    <w:lvlOverride w:ilvl="2">
      <w:startOverride w:val="1"/>
      <w:lvl w:ilvl="2">
        <w:start w:val="1"/>
        <w:numFmt w:val="none"/>
        <w:lvlText w:val=""/>
        <w:lvlJc w:val="left"/>
        <w:pPr>
          <w:ind w:left="851" w:hanging="851"/>
        </w:pPr>
        <w:rPr>
          <w:rFonts w:hint="default"/>
        </w:rPr>
      </w:lvl>
    </w:lvlOverride>
    <w:lvlOverride w:ilvl="3">
      <w:startOverride w:val="1"/>
      <w:lvl w:ilvl="3">
        <w:start w:val="1"/>
        <w:numFmt w:val="none"/>
        <w:lvlText w:val=""/>
        <w:lvlJc w:val="left"/>
        <w:pPr>
          <w:ind w:left="851" w:hanging="851"/>
        </w:pPr>
        <w:rPr>
          <w:rFonts w:hint="default"/>
        </w:rPr>
      </w:lvl>
    </w:lvlOverride>
    <w:lvlOverride w:ilvl="4">
      <w:startOverride w:val="1"/>
      <w:lvl w:ilvl="4">
        <w:start w:val="1"/>
        <w:numFmt w:val="none"/>
        <w:lvlText w:val=""/>
        <w:lvlJc w:val="left"/>
        <w:pPr>
          <w:ind w:left="851" w:hanging="851"/>
        </w:pPr>
        <w:rPr>
          <w:rFonts w:hint="default"/>
        </w:rPr>
      </w:lvl>
    </w:lvlOverride>
    <w:lvlOverride w:ilvl="5">
      <w:startOverride w:val="1"/>
      <w:lvl w:ilvl="5">
        <w:start w:val="1"/>
        <w:numFmt w:val="none"/>
        <w:lvlText w:val=""/>
        <w:lvlJc w:val="left"/>
        <w:pPr>
          <w:ind w:left="851" w:hanging="851"/>
        </w:pPr>
        <w:rPr>
          <w:rFonts w:hint="default"/>
        </w:rPr>
      </w:lvl>
    </w:lvlOverride>
    <w:lvlOverride w:ilvl="6">
      <w:startOverride w:val="1"/>
      <w:lvl w:ilvl="6">
        <w:start w:val="1"/>
        <w:numFmt w:val="none"/>
        <w:lvlText w:val=""/>
        <w:lvlJc w:val="left"/>
        <w:pPr>
          <w:ind w:left="851" w:hanging="851"/>
        </w:pPr>
        <w:rPr>
          <w:rFonts w:hint="default"/>
        </w:rPr>
      </w:lvl>
    </w:lvlOverride>
    <w:lvlOverride w:ilvl="7">
      <w:startOverride w:val="1"/>
      <w:lvl w:ilvl="7">
        <w:start w:val="1"/>
        <w:numFmt w:val="none"/>
        <w:lvlText w:val=""/>
        <w:lvlJc w:val="left"/>
        <w:pPr>
          <w:ind w:left="851" w:hanging="851"/>
        </w:pPr>
        <w:rPr>
          <w:rFonts w:hint="default"/>
        </w:rPr>
      </w:lvl>
    </w:lvlOverride>
    <w:lvlOverride w:ilvl="8">
      <w:startOverride w:val="1"/>
      <w:lvl w:ilvl="8">
        <w:start w:val="1"/>
        <w:numFmt w:val="none"/>
        <w:lvlText w:val=""/>
        <w:lvlJc w:val="left"/>
        <w:pPr>
          <w:ind w:left="851" w:hanging="851"/>
        </w:pPr>
        <w:rPr>
          <w:rFonts w:hint="default"/>
        </w:rPr>
      </w:lvl>
    </w:lvlOverride>
  </w:num>
  <w:num w:numId="14" w16cid:durableId="2090424979">
    <w:abstractNumId w:val="9"/>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15" w16cid:durableId="2141916877">
    <w:abstractNumId w:val="9"/>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16" w16cid:durableId="2119565755">
    <w:abstractNumId w:val="9"/>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17" w16cid:durableId="1090809510">
    <w:abstractNumId w:val="9"/>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18" w16cid:durableId="1912232019">
    <w:abstractNumId w:val="9"/>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19" w16cid:durableId="774058698">
    <w:abstractNumId w:val="9"/>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0" w16cid:durableId="1158770200">
    <w:abstractNumId w:val="9"/>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1" w16cid:durableId="381249190">
    <w:abstractNumId w:val="9"/>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2" w16cid:durableId="1140656652">
    <w:abstractNumId w:val="9"/>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3" w16cid:durableId="1002853049">
    <w:abstractNumId w:val="9"/>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4" w16cid:durableId="1469009992">
    <w:abstractNumId w:val="9"/>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5" w16cid:durableId="1148788633">
    <w:abstractNumId w:val="9"/>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6" w16cid:durableId="2112387065">
    <w:abstractNumId w:val="9"/>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7" w16cid:durableId="492186319">
    <w:abstractNumId w:val="9"/>
    <w:lvlOverride w:ilvl="0">
      <w:lvl w:ilvl="0">
        <w:start w:val="1"/>
        <w:numFmt w:val="decimal"/>
        <w:pStyle w:val="Recommendation"/>
        <w:lvlText w:val="Recommendation %1:"/>
        <w:lvlJc w:val="left"/>
        <w:pPr>
          <w:ind w:left="851" w:firstLine="0"/>
        </w:pPr>
        <w:rPr>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8" w16cid:durableId="991526398">
    <w:abstractNumId w:val="9"/>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9" w16cid:durableId="580263020">
    <w:abstractNumId w:val="9"/>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0" w16cid:durableId="589044174">
    <w:abstractNumId w:val="9"/>
    <w:lvlOverride w:ilvl="0">
      <w:startOverride w:val="1"/>
      <w:lvl w:ilvl="0">
        <w:start w:val="1"/>
        <w:numFmt w:val="decimal"/>
        <w:pStyle w:val="Recommendation"/>
        <w:lvlText w:val="Recommendation %1:"/>
        <w:lvlJc w:val="left"/>
        <w:pPr>
          <w:ind w:left="851" w:firstLine="0"/>
        </w:pPr>
        <w:rPr>
          <w:rFonts w:hint="default"/>
          <w:b/>
          <w:bCs/>
        </w:rPr>
      </w:lvl>
    </w:lvlOverride>
    <w:lvlOverride w:ilvl="1">
      <w:startOverride w:val="1"/>
      <w:lvl w:ilvl="1">
        <w:start w:val="1"/>
        <w:numFmt w:val="none"/>
        <w:lvlText w:val=""/>
        <w:lvlJc w:val="left"/>
        <w:pPr>
          <w:ind w:left="851" w:hanging="851"/>
        </w:pPr>
        <w:rPr>
          <w:rFonts w:hint="default"/>
        </w:rPr>
      </w:lvl>
    </w:lvlOverride>
    <w:lvlOverride w:ilvl="2">
      <w:startOverride w:val="1"/>
      <w:lvl w:ilvl="2">
        <w:start w:val="1"/>
        <w:numFmt w:val="none"/>
        <w:lvlText w:val=""/>
        <w:lvlJc w:val="left"/>
        <w:pPr>
          <w:ind w:left="851" w:hanging="851"/>
        </w:pPr>
        <w:rPr>
          <w:rFonts w:hint="default"/>
        </w:rPr>
      </w:lvl>
    </w:lvlOverride>
    <w:lvlOverride w:ilvl="3">
      <w:startOverride w:val="1"/>
      <w:lvl w:ilvl="3">
        <w:start w:val="1"/>
        <w:numFmt w:val="none"/>
        <w:lvlText w:val=""/>
        <w:lvlJc w:val="left"/>
        <w:pPr>
          <w:ind w:left="851" w:hanging="851"/>
        </w:pPr>
        <w:rPr>
          <w:rFonts w:hint="default"/>
        </w:rPr>
      </w:lvl>
    </w:lvlOverride>
    <w:lvlOverride w:ilvl="4">
      <w:startOverride w:val="1"/>
      <w:lvl w:ilvl="4">
        <w:start w:val="1"/>
        <w:numFmt w:val="none"/>
        <w:lvlText w:val=""/>
        <w:lvlJc w:val="left"/>
        <w:pPr>
          <w:ind w:left="851" w:hanging="851"/>
        </w:pPr>
        <w:rPr>
          <w:rFonts w:hint="default"/>
        </w:rPr>
      </w:lvl>
    </w:lvlOverride>
    <w:lvlOverride w:ilvl="5">
      <w:startOverride w:val="1"/>
      <w:lvl w:ilvl="5">
        <w:start w:val="1"/>
        <w:numFmt w:val="none"/>
        <w:lvlText w:val=""/>
        <w:lvlJc w:val="left"/>
        <w:pPr>
          <w:ind w:left="851" w:hanging="851"/>
        </w:pPr>
        <w:rPr>
          <w:rFonts w:hint="default"/>
        </w:rPr>
      </w:lvl>
    </w:lvlOverride>
    <w:lvlOverride w:ilvl="6">
      <w:startOverride w:val="1"/>
      <w:lvl w:ilvl="6">
        <w:start w:val="1"/>
        <w:numFmt w:val="none"/>
        <w:lvlText w:val=""/>
        <w:lvlJc w:val="left"/>
        <w:pPr>
          <w:ind w:left="851" w:hanging="851"/>
        </w:pPr>
        <w:rPr>
          <w:rFonts w:hint="default"/>
        </w:rPr>
      </w:lvl>
    </w:lvlOverride>
    <w:lvlOverride w:ilvl="7">
      <w:startOverride w:val="1"/>
      <w:lvl w:ilvl="7">
        <w:start w:val="1"/>
        <w:numFmt w:val="none"/>
        <w:lvlText w:val=""/>
        <w:lvlJc w:val="left"/>
        <w:pPr>
          <w:ind w:left="851" w:hanging="851"/>
        </w:pPr>
        <w:rPr>
          <w:rFonts w:hint="default"/>
        </w:rPr>
      </w:lvl>
    </w:lvlOverride>
    <w:lvlOverride w:ilvl="8">
      <w:startOverride w:val="1"/>
      <w:lvl w:ilvl="8">
        <w:start w:val="1"/>
        <w:numFmt w:val="none"/>
        <w:lvlText w:val=""/>
        <w:lvlJc w:val="left"/>
        <w:pPr>
          <w:ind w:left="851" w:hanging="851"/>
        </w:pPr>
        <w:rPr>
          <w:rFonts w:hint="default"/>
        </w:rPr>
      </w:lvl>
    </w:lvlOverride>
  </w:num>
  <w:num w:numId="31" w16cid:durableId="1043673926">
    <w:abstractNumId w:val="9"/>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2" w16cid:durableId="1965386979">
    <w:abstractNumId w:val="13"/>
  </w:num>
  <w:num w:numId="33" w16cid:durableId="1312905854">
    <w:abstractNumId w:val="16"/>
  </w:num>
  <w:num w:numId="34" w16cid:durableId="1781879025">
    <w:abstractNumId w:val="0"/>
  </w:num>
  <w:num w:numId="35" w16cid:durableId="643658102">
    <w:abstractNumId w:val="19"/>
  </w:num>
  <w:num w:numId="36" w16cid:durableId="841362315">
    <w:abstractNumId w:val="7"/>
  </w:num>
  <w:num w:numId="37" w16cid:durableId="1900893816">
    <w:abstractNumId w:val="3"/>
  </w:num>
  <w:num w:numId="38" w16cid:durableId="903949223">
    <w:abstractNumId w:val="15"/>
  </w:num>
  <w:num w:numId="39" w16cid:durableId="1462962750">
    <w:abstractNumId w:val="21"/>
  </w:num>
  <w:num w:numId="40" w16cid:durableId="1035884416">
    <w:abstractNumId w:val="1"/>
  </w:num>
  <w:num w:numId="41" w16cid:durableId="1596789214">
    <w:abstractNumId w:val="5"/>
  </w:num>
  <w:num w:numId="42" w16cid:durableId="158890994">
    <w:abstractNumId w:val="11"/>
  </w:num>
  <w:num w:numId="43" w16cid:durableId="2112702822">
    <w:abstractNumId w:val="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13F"/>
    <w:rsid w:val="00001455"/>
    <w:rsid w:val="000016DA"/>
    <w:rsid w:val="000023EE"/>
    <w:rsid w:val="00002592"/>
    <w:rsid w:val="00002A84"/>
    <w:rsid w:val="000036FA"/>
    <w:rsid w:val="000039AA"/>
    <w:rsid w:val="000039D9"/>
    <w:rsid w:val="00006621"/>
    <w:rsid w:val="000067DE"/>
    <w:rsid w:val="00006849"/>
    <w:rsid w:val="00006C00"/>
    <w:rsid w:val="00006E14"/>
    <w:rsid w:val="00007E4A"/>
    <w:rsid w:val="00007FC8"/>
    <w:rsid w:val="00010266"/>
    <w:rsid w:val="0001125F"/>
    <w:rsid w:val="00011C5B"/>
    <w:rsid w:val="00012C6D"/>
    <w:rsid w:val="000130E1"/>
    <w:rsid w:val="000130FB"/>
    <w:rsid w:val="00014781"/>
    <w:rsid w:val="00014872"/>
    <w:rsid w:val="00014E08"/>
    <w:rsid w:val="0001509E"/>
    <w:rsid w:val="0001702B"/>
    <w:rsid w:val="000173C7"/>
    <w:rsid w:val="0001751C"/>
    <w:rsid w:val="00017FF5"/>
    <w:rsid w:val="00020140"/>
    <w:rsid w:val="00020233"/>
    <w:rsid w:val="00020BC5"/>
    <w:rsid w:val="0002144A"/>
    <w:rsid w:val="0002178D"/>
    <w:rsid w:val="00021EEE"/>
    <w:rsid w:val="00022392"/>
    <w:rsid w:val="00022D35"/>
    <w:rsid w:val="00022D64"/>
    <w:rsid w:val="0002361E"/>
    <w:rsid w:val="0002376D"/>
    <w:rsid w:val="00023BBD"/>
    <w:rsid w:val="0002405B"/>
    <w:rsid w:val="000242ED"/>
    <w:rsid w:val="000247A0"/>
    <w:rsid w:val="000247C7"/>
    <w:rsid w:val="00024E5A"/>
    <w:rsid w:val="00024FEC"/>
    <w:rsid w:val="00025032"/>
    <w:rsid w:val="0002581A"/>
    <w:rsid w:val="00025FC3"/>
    <w:rsid w:val="00026D6F"/>
    <w:rsid w:val="00030298"/>
    <w:rsid w:val="00031DE1"/>
    <w:rsid w:val="00032441"/>
    <w:rsid w:val="00032689"/>
    <w:rsid w:val="00034122"/>
    <w:rsid w:val="000341DA"/>
    <w:rsid w:val="000345B4"/>
    <w:rsid w:val="0003574C"/>
    <w:rsid w:val="00036165"/>
    <w:rsid w:val="000362DE"/>
    <w:rsid w:val="0003642C"/>
    <w:rsid w:val="0003646C"/>
    <w:rsid w:val="00036E9B"/>
    <w:rsid w:val="00037663"/>
    <w:rsid w:val="00040073"/>
    <w:rsid w:val="00043B14"/>
    <w:rsid w:val="00044434"/>
    <w:rsid w:val="00044EB9"/>
    <w:rsid w:val="00045937"/>
    <w:rsid w:val="00045986"/>
    <w:rsid w:val="00047413"/>
    <w:rsid w:val="00047C2A"/>
    <w:rsid w:val="00051F5B"/>
    <w:rsid w:val="00052737"/>
    <w:rsid w:val="0005295B"/>
    <w:rsid w:val="00052D56"/>
    <w:rsid w:val="00052D75"/>
    <w:rsid w:val="000530BA"/>
    <w:rsid w:val="000540F5"/>
    <w:rsid w:val="00054390"/>
    <w:rsid w:val="000544D0"/>
    <w:rsid w:val="000547D7"/>
    <w:rsid w:val="00055C9C"/>
    <w:rsid w:val="00056D71"/>
    <w:rsid w:val="000576D9"/>
    <w:rsid w:val="00057A92"/>
    <w:rsid w:val="000613B8"/>
    <w:rsid w:val="00061D64"/>
    <w:rsid w:val="00062788"/>
    <w:rsid w:val="00062A46"/>
    <w:rsid w:val="000630AA"/>
    <w:rsid w:val="00063DD0"/>
    <w:rsid w:val="00064BD9"/>
    <w:rsid w:val="000652A7"/>
    <w:rsid w:val="0006590C"/>
    <w:rsid w:val="00065DE3"/>
    <w:rsid w:val="00066555"/>
    <w:rsid w:val="00066851"/>
    <w:rsid w:val="00066B21"/>
    <w:rsid w:val="00066C39"/>
    <w:rsid w:val="00066CD4"/>
    <w:rsid w:val="00067E2E"/>
    <w:rsid w:val="00070D78"/>
    <w:rsid w:val="00071F03"/>
    <w:rsid w:val="000726A3"/>
    <w:rsid w:val="00072C5D"/>
    <w:rsid w:val="0007314D"/>
    <w:rsid w:val="00074521"/>
    <w:rsid w:val="00074C5F"/>
    <w:rsid w:val="000750B0"/>
    <w:rsid w:val="00075C32"/>
    <w:rsid w:val="00076133"/>
    <w:rsid w:val="00076A0A"/>
    <w:rsid w:val="00076A49"/>
    <w:rsid w:val="000770A8"/>
    <w:rsid w:val="00077240"/>
    <w:rsid w:val="0008068C"/>
    <w:rsid w:val="00081A04"/>
    <w:rsid w:val="00082536"/>
    <w:rsid w:val="000829D8"/>
    <w:rsid w:val="00082B67"/>
    <w:rsid w:val="000840C2"/>
    <w:rsid w:val="0008589E"/>
    <w:rsid w:val="00085A43"/>
    <w:rsid w:val="00085A45"/>
    <w:rsid w:val="00086136"/>
    <w:rsid w:val="000861D3"/>
    <w:rsid w:val="00086378"/>
    <w:rsid w:val="00086745"/>
    <w:rsid w:val="00087DD2"/>
    <w:rsid w:val="00090606"/>
    <w:rsid w:val="00091018"/>
    <w:rsid w:val="0009140F"/>
    <w:rsid w:val="00091C58"/>
    <w:rsid w:val="0009245D"/>
    <w:rsid w:val="0009448F"/>
    <w:rsid w:val="00095DF2"/>
    <w:rsid w:val="000962DF"/>
    <w:rsid w:val="000A010F"/>
    <w:rsid w:val="000A0C6F"/>
    <w:rsid w:val="000A0DE3"/>
    <w:rsid w:val="000A2BF2"/>
    <w:rsid w:val="000A2F1D"/>
    <w:rsid w:val="000A3806"/>
    <w:rsid w:val="000A3FBC"/>
    <w:rsid w:val="000A41A1"/>
    <w:rsid w:val="000A4520"/>
    <w:rsid w:val="000A55EE"/>
    <w:rsid w:val="000A583C"/>
    <w:rsid w:val="000A5FF9"/>
    <w:rsid w:val="000A76DD"/>
    <w:rsid w:val="000A785E"/>
    <w:rsid w:val="000B032F"/>
    <w:rsid w:val="000B0350"/>
    <w:rsid w:val="000B0BF8"/>
    <w:rsid w:val="000B0F57"/>
    <w:rsid w:val="000B11EF"/>
    <w:rsid w:val="000B2023"/>
    <w:rsid w:val="000B2C45"/>
    <w:rsid w:val="000B2C49"/>
    <w:rsid w:val="000B38BC"/>
    <w:rsid w:val="000B5F49"/>
    <w:rsid w:val="000B67B0"/>
    <w:rsid w:val="000B6E6F"/>
    <w:rsid w:val="000B7682"/>
    <w:rsid w:val="000B7737"/>
    <w:rsid w:val="000C08DC"/>
    <w:rsid w:val="000C1476"/>
    <w:rsid w:val="000C182B"/>
    <w:rsid w:val="000C231C"/>
    <w:rsid w:val="000C23B7"/>
    <w:rsid w:val="000C3D78"/>
    <w:rsid w:val="000C463F"/>
    <w:rsid w:val="000C46BD"/>
    <w:rsid w:val="000C5BAA"/>
    <w:rsid w:val="000C7431"/>
    <w:rsid w:val="000D0290"/>
    <w:rsid w:val="000D0D3C"/>
    <w:rsid w:val="000D17E4"/>
    <w:rsid w:val="000D18A2"/>
    <w:rsid w:val="000D249A"/>
    <w:rsid w:val="000D3021"/>
    <w:rsid w:val="000D354E"/>
    <w:rsid w:val="000D3599"/>
    <w:rsid w:val="000D3F85"/>
    <w:rsid w:val="000D42D8"/>
    <w:rsid w:val="000D5346"/>
    <w:rsid w:val="000D67C3"/>
    <w:rsid w:val="000D6C9F"/>
    <w:rsid w:val="000E0A5E"/>
    <w:rsid w:val="000E1593"/>
    <w:rsid w:val="000E2844"/>
    <w:rsid w:val="000E2A17"/>
    <w:rsid w:val="000E32F3"/>
    <w:rsid w:val="000E3400"/>
    <w:rsid w:val="000E35EF"/>
    <w:rsid w:val="000E5484"/>
    <w:rsid w:val="000E5504"/>
    <w:rsid w:val="000E5CAE"/>
    <w:rsid w:val="000E624D"/>
    <w:rsid w:val="000E7BA0"/>
    <w:rsid w:val="000F0991"/>
    <w:rsid w:val="000F10C0"/>
    <w:rsid w:val="000F21D4"/>
    <w:rsid w:val="000F2ACA"/>
    <w:rsid w:val="000F3856"/>
    <w:rsid w:val="000F3CEA"/>
    <w:rsid w:val="000F4511"/>
    <w:rsid w:val="000F4CA3"/>
    <w:rsid w:val="000F5EDE"/>
    <w:rsid w:val="000F764C"/>
    <w:rsid w:val="001000C6"/>
    <w:rsid w:val="00101614"/>
    <w:rsid w:val="0010185E"/>
    <w:rsid w:val="00101F57"/>
    <w:rsid w:val="001026D8"/>
    <w:rsid w:val="00103999"/>
    <w:rsid w:val="00103DAC"/>
    <w:rsid w:val="0010436E"/>
    <w:rsid w:val="001045FD"/>
    <w:rsid w:val="00104619"/>
    <w:rsid w:val="00104D5B"/>
    <w:rsid w:val="00104DAD"/>
    <w:rsid w:val="00105402"/>
    <w:rsid w:val="00106AEC"/>
    <w:rsid w:val="00107F32"/>
    <w:rsid w:val="001109F2"/>
    <w:rsid w:val="00110D22"/>
    <w:rsid w:val="00111CBB"/>
    <w:rsid w:val="00111F02"/>
    <w:rsid w:val="001129E2"/>
    <w:rsid w:val="00113465"/>
    <w:rsid w:val="00113AE0"/>
    <w:rsid w:val="00114BF7"/>
    <w:rsid w:val="00116219"/>
    <w:rsid w:val="00117242"/>
    <w:rsid w:val="001208E7"/>
    <w:rsid w:val="00120A44"/>
    <w:rsid w:val="00121158"/>
    <w:rsid w:val="001217E2"/>
    <w:rsid w:val="001217FD"/>
    <w:rsid w:val="00121D47"/>
    <w:rsid w:val="00122DD1"/>
    <w:rsid w:val="00123B74"/>
    <w:rsid w:val="00125060"/>
    <w:rsid w:val="0012556A"/>
    <w:rsid w:val="00126183"/>
    <w:rsid w:val="0012636E"/>
    <w:rsid w:val="0012663D"/>
    <w:rsid w:val="001266A0"/>
    <w:rsid w:val="00126CBD"/>
    <w:rsid w:val="001270D6"/>
    <w:rsid w:val="00127240"/>
    <w:rsid w:val="001275E7"/>
    <w:rsid w:val="0012775D"/>
    <w:rsid w:val="00127AD5"/>
    <w:rsid w:val="00127BC7"/>
    <w:rsid w:val="00130042"/>
    <w:rsid w:val="0013035D"/>
    <w:rsid w:val="001305F4"/>
    <w:rsid w:val="00130E70"/>
    <w:rsid w:val="00132365"/>
    <w:rsid w:val="001323D9"/>
    <w:rsid w:val="00132BFA"/>
    <w:rsid w:val="00132E6C"/>
    <w:rsid w:val="00133153"/>
    <w:rsid w:val="001336C0"/>
    <w:rsid w:val="001338FE"/>
    <w:rsid w:val="00134BAC"/>
    <w:rsid w:val="00135C01"/>
    <w:rsid w:val="001366E8"/>
    <w:rsid w:val="00136E66"/>
    <w:rsid w:val="00137C51"/>
    <w:rsid w:val="00137F52"/>
    <w:rsid w:val="00140193"/>
    <w:rsid w:val="00140BE4"/>
    <w:rsid w:val="0014124F"/>
    <w:rsid w:val="00142593"/>
    <w:rsid w:val="001428C1"/>
    <w:rsid w:val="001432DE"/>
    <w:rsid w:val="00143365"/>
    <w:rsid w:val="001434FA"/>
    <w:rsid w:val="00143973"/>
    <w:rsid w:val="001441DF"/>
    <w:rsid w:val="001452ED"/>
    <w:rsid w:val="00145394"/>
    <w:rsid w:val="00145C23"/>
    <w:rsid w:val="001473AC"/>
    <w:rsid w:val="00150873"/>
    <w:rsid w:val="00150887"/>
    <w:rsid w:val="001514F8"/>
    <w:rsid w:val="0015159F"/>
    <w:rsid w:val="001515EA"/>
    <w:rsid w:val="00151A82"/>
    <w:rsid w:val="00151EAB"/>
    <w:rsid w:val="00152CAF"/>
    <w:rsid w:val="001531E7"/>
    <w:rsid w:val="001537A7"/>
    <w:rsid w:val="001541EA"/>
    <w:rsid w:val="001545CB"/>
    <w:rsid w:val="0015599B"/>
    <w:rsid w:val="00155A0B"/>
    <w:rsid w:val="00155DA4"/>
    <w:rsid w:val="00157498"/>
    <w:rsid w:val="001605C9"/>
    <w:rsid w:val="00160895"/>
    <w:rsid w:val="00160B62"/>
    <w:rsid w:val="001618A9"/>
    <w:rsid w:val="00161B2B"/>
    <w:rsid w:val="00161F32"/>
    <w:rsid w:val="001623E5"/>
    <w:rsid w:val="00162724"/>
    <w:rsid w:val="001629F8"/>
    <w:rsid w:val="00163200"/>
    <w:rsid w:val="00163325"/>
    <w:rsid w:val="00163B56"/>
    <w:rsid w:val="00165303"/>
    <w:rsid w:val="001655C5"/>
    <w:rsid w:val="0016560A"/>
    <w:rsid w:val="00165B17"/>
    <w:rsid w:val="001663C7"/>
    <w:rsid w:val="00167714"/>
    <w:rsid w:val="0017083D"/>
    <w:rsid w:val="00171821"/>
    <w:rsid w:val="00171E8F"/>
    <w:rsid w:val="00172088"/>
    <w:rsid w:val="001720B6"/>
    <w:rsid w:val="00172764"/>
    <w:rsid w:val="00172ADC"/>
    <w:rsid w:val="00172C58"/>
    <w:rsid w:val="001730E0"/>
    <w:rsid w:val="00173E02"/>
    <w:rsid w:val="00173F7C"/>
    <w:rsid w:val="0017456B"/>
    <w:rsid w:val="00174911"/>
    <w:rsid w:val="001754ED"/>
    <w:rsid w:val="00176649"/>
    <w:rsid w:val="001766A1"/>
    <w:rsid w:val="00176E1D"/>
    <w:rsid w:val="001774CB"/>
    <w:rsid w:val="00180163"/>
    <w:rsid w:val="001816C2"/>
    <w:rsid w:val="001828D8"/>
    <w:rsid w:val="00182975"/>
    <w:rsid w:val="00182D3F"/>
    <w:rsid w:val="00183F78"/>
    <w:rsid w:val="001847EB"/>
    <w:rsid w:val="00185442"/>
    <w:rsid w:val="001865FD"/>
    <w:rsid w:val="00186ADF"/>
    <w:rsid w:val="0018733A"/>
    <w:rsid w:val="0018766D"/>
    <w:rsid w:val="0019097C"/>
    <w:rsid w:val="00191636"/>
    <w:rsid w:val="00191FB4"/>
    <w:rsid w:val="0019340F"/>
    <w:rsid w:val="00193BED"/>
    <w:rsid w:val="00193DB9"/>
    <w:rsid w:val="0019461C"/>
    <w:rsid w:val="00194FCC"/>
    <w:rsid w:val="0019567C"/>
    <w:rsid w:val="00196B16"/>
    <w:rsid w:val="00196F0F"/>
    <w:rsid w:val="00196FE2"/>
    <w:rsid w:val="001A0171"/>
    <w:rsid w:val="001A128B"/>
    <w:rsid w:val="001A2014"/>
    <w:rsid w:val="001A24AB"/>
    <w:rsid w:val="001A2736"/>
    <w:rsid w:val="001A2BA5"/>
    <w:rsid w:val="001A3380"/>
    <w:rsid w:val="001A386D"/>
    <w:rsid w:val="001A5738"/>
    <w:rsid w:val="001A579D"/>
    <w:rsid w:val="001A5E6F"/>
    <w:rsid w:val="001A60E4"/>
    <w:rsid w:val="001A772D"/>
    <w:rsid w:val="001A78DA"/>
    <w:rsid w:val="001A7FAF"/>
    <w:rsid w:val="001B0DED"/>
    <w:rsid w:val="001B1E0A"/>
    <w:rsid w:val="001B1EC0"/>
    <w:rsid w:val="001B2881"/>
    <w:rsid w:val="001B2A2A"/>
    <w:rsid w:val="001B2B06"/>
    <w:rsid w:val="001B321E"/>
    <w:rsid w:val="001B47B2"/>
    <w:rsid w:val="001B4F92"/>
    <w:rsid w:val="001B55B3"/>
    <w:rsid w:val="001B5856"/>
    <w:rsid w:val="001B5FB2"/>
    <w:rsid w:val="001B63DD"/>
    <w:rsid w:val="001B6438"/>
    <w:rsid w:val="001B7A8C"/>
    <w:rsid w:val="001C0ABE"/>
    <w:rsid w:val="001C15B6"/>
    <w:rsid w:val="001C2CC5"/>
    <w:rsid w:val="001C2F77"/>
    <w:rsid w:val="001C3C24"/>
    <w:rsid w:val="001C40D8"/>
    <w:rsid w:val="001C4264"/>
    <w:rsid w:val="001C4810"/>
    <w:rsid w:val="001C5033"/>
    <w:rsid w:val="001C508D"/>
    <w:rsid w:val="001C5112"/>
    <w:rsid w:val="001C5469"/>
    <w:rsid w:val="001C55DF"/>
    <w:rsid w:val="001C5B99"/>
    <w:rsid w:val="001C5C8E"/>
    <w:rsid w:val="001C64D6"/>
    <w:rsid w:val="001C672F"/>
    <w:rsid w:val="001D1194"/>
    <w:rsid w:val="001D2405"/>
    <w:rsid w:val="001D4FF2"/>
    <w:rsid w:val="001D52CA"/>
    <w:rsid w:val="001D5C22"/>
    <w:rsid w:val="001D5D30"/>
    <w:rsid w:val="001D5F85"/>
    <w:rsid w:val="001D6AA1"/>
    <w:rsid w:val="001D6F9E"/>
    <w:rsid w:val="001D7489"/>
    <w:rsid w:val="001D7A1B"/>
    <w:rsid w:val="001E1AE7"/>
    <w:rsid w:val="001E2408"/>
    <w:rsid w:val="001E3CC3"/>
    <w:rsid w:val="001E4108"/>
    <w:rsid w:val="001E7669"/>
    <w:rsid w:val="001E7889"/>
    <w:rsid w:val="001E78F2"/>
    <w:rsid w:val="001E7E32"/>
    <w:rsid w:val="001E7E4D"/>
    <w:rsid w:val="001F00FE"/>
    <w:rsid w:val="001F013B"/>
    <w:rsid w:val="001F055E"/>
    <w:rsid w:val="001F0DC6"/>
    <w:rsid w:val="001F160C"/>
    <w:rsid w:val="001F28EF"/>
    <w:rsid w:val="001F2AE2"/>
    <w:rsid w:val="001F3911"/>
    <w:rsid w:val="001F43CA"/>
    <w:rsid w:val="001F4AF6"/>
    <w:rsid w:val="001F4C29"/>
    <w:rsid w:val="001F59D4"/>
    <w:rsid w:val="001F7374"/>
    <w:rsid w:val="001F73CA"/>
    <w:rsid w:val="001F757D"/>
    <w:rsid w:val="001F77F6"/>
    <w:rsid w:val="001F7BE0"/>
    <w:rsid w:val="00200725"/>
    <w:rsid w:val="00200982"/>
    <w:rsid w:val="00200F02"/>
    <w:rsid w:val="002021BE"/>
    <w:rsid w:val="002023B1"/>
    <w:rsid w:val="00202585"/>
    <w:rsid w:val="00202751"/>
    <w:rsid w:val="002038F3"/>
    <w:rsid w:val="0020560A"/>
    <w:rsid w:val="00205D78"/>
    <w:rsid w:val="00206730"/>
    <w:rsid w:val="00207412"/>
    <w:rsid w:val="00207BED"/>
    <w:rsid w:val="00207E2E"/>
    <w:rsid w:val="00207EC8"/>
    <w:rsid w:val="00211174"/>
    <w:rsid w:val="002118F3"/>
    <w:rsid w:val="00213534"/>
    <w:rsid w:val="002140FC"/>
    <w:rsid w:val="0021413E"/>
    <w:rsid w:val="0021558D"/>
    <w:rsid w:val="00215D55"/>
    <w:rsid w:val="00217937"/>
    <w:rsid w:val="00217FAD"/>
    <w:rsid w:val="0022051F"/>
    <w:rsid w:val="002217D2"/>
    <w:rsid w:val="00221977"/>
    <w:rsid w:val="0022224B"/>
    <w:rsid w:val="00223479"/>
    <w:rsid w:val="0022466E"/>
    <w:rsid w:val="002247B0"/>
    <w:rsid w:val="00225C1A"/>
    <w:rsid w:val="00225E59"/>
    <w:rsid w:val="00227B6D"/>
    <w:rsid w:val="00227B7B"/>
    <w:rsid w:val="002304EE"/>
    <w:rsid w:val="00230A0E"/>
    <w:rsid w:val="00231AB2"/>
    <w:rsid w:val="00234418"/>
    <w:rsid w:val="0023453E"/>
    <w:rsid w:val="0023499C"/>
    <w:rsid w:val="00235A21"/>
    <w:rsid w:val="00236525"/>
    <w:rsid w:val="002366E4"/>
    <w:rsid w:val="00236C4E"/>
    <w:rsid w:val="00240C51"/>
    <w:rsid w:val="00241362"/>
    <w:rsid w:val="0024166C"/>
    <w:rsid w:val="002417EF"/>
    <w:rsid w:val="00242941"/>
    <w:rsid w:val="00243451"/>
    <w:rsid w:val="0024368F"/>
    <w:rsid w:val="002441A2"/>
    <w:rsid w:val="0024449F"/>
    <w:rsid w:val="002446C4"/>
    <w:rsid w:val="00244FE0"/>
    <w:rsid w:val="00245265"/>
    <w:rsid w:val="00245C97"/>
    <w:rsid w:val="00246111"/>
    <w:rsid w:val="0024632B"/>
    <w:rsid w:val="00247D67"/>
    <w:rsid w:val="00250448"/>
    <w:rsid w:val="00250A89"/>
    <w:rsid w:val="00251782"/>
    <w:rsid w:val="00251B38"/>
    <w:rsid w:val="00252148"/>
    <w:rsid w:val="00252999"/>
    <w:rsid w:val="00252F86"/>
    <w:rsid w:val="00253604"/>
    <w:rsid w:val="00255FD9"/>
    <w:rsid w:val="002567BC"/>
    <w:rsid w:val="00257A24"/>
    <w:rsid w:val="002602C4"/>
    <w:rsid w:val="0026030A"/>
    <w:rsid w:val="00260397"/>
    <w:rsid w:val="002603BB"/>
    <w:rsid w:val="00261BA9"/>
    <w:rsid w:val="00262938"/>
    <w:rsid w:val="0026420E"/>
    <w:rsid w:val="00264E04"/>
    <w:rsid w:val="00265936"/>
    <w:rsid w:val="00265E88"/>
    <w:rsid w:val="0026652F"/>
    <w:rsid w:val="002665F5"/>
    <w:rsid w:val="0027021C"/>
    <w:rsid w:val="0027168A"/>
    <w:rsid w:val="002718A5"/>
    <w:rsid w:val="00272512"/>
    <w:rsid w:val="002727F8"/>
    <w:rsid w:val="00272B9E"/>
    <w:rsid w:val="00274126"/>
    <w:rsid w:val="00274E04"/>
    <w:rsid w:val="002765B2"/>
    <w:rsid w:val="002767A3"/>
    <w:rsid w:val="00276F66"/>
    <w:rsid w:val="00277BA3"/>
    <w:rsid w:val="00277C4B"/>
    <w:rsid w:val="00277DE4"/>
    <w:rsid w:val="002801B4"/>
    <w:rsid w:val="00280451"/>
    <w:rsid w:val="00281129"/>
    <w:rsid w:val="00281259"/>
    <w:rsid w:val="00281CE2"/>
    <w:rsid w:val="00281FF9"/>
    <w:rsid w:val="002822FC"/>
    <w:rsid w:val="0028275F"/>
    <w:rsid w:val="00284B9A"/>
    <w:rsid w:val="00285BBA"/>
    <w:rsid w:val="002865AB"/>
    <w:rsid w:val="00286846"/>
    <w:rsid w:val="00287C0A"/>
    <w:rsid w:val="0029054C"/>
    <w:rsid w:val="00292331"/>
    <w:rsid w:val="00292D4E"/>
    <w:rsid w:val="00293A29"/>
    <w:rsid w:val="00293A42"/>
    <w:rsid w:val="00293E90"/>
    <w:rsid w:val="00294A56"/>
    <w:rsid w:val="00294CDC"/>
    <w:rsid w:val="002952CB"/>
    <w:rsid w:val="00296FA3"/>
    <w:rsid w:val="00297164"/>
    <w:rsid w:val="002971C4"/>
    <w:rsid w:val="002A1728"/>
    <w:rsid w:val="002A1E67"/>
    <w:rsid w:val="002A24BD"/>
    <w:rsid w:val="002A3F2B"/>
    <w:rsid w:val="002A4D26"/>
    <w:rsid w:val="002A518F"/>
    <w:rsid w:val="002A5303"/>
    <w:rsid w:val="002A6483"/>
    <w:rsid w:val="002A6A0C"/>
    <w:rsid w:val="002A6B58"/>
    <w:rsid w:val="002B048F"/>
    <w:rsid w:val="002B0920"/>
    <w:rsid w:val="002B1EA5"/>
    <w:rsid w:val="002B30EF"/>
    <w:rsid w:val="002B3C40"/>
    <w:rsid w:val="002B3FB2"/>
    <w:rsid w:val="002B429F"/>
    <w:rsid w:val="002C069D"/>
    <w:rsid w:val="002C21D2"/>
    <w:rsid w:val="002C2901"/>
    <w:rsid w:val="002C3051"/>
    <w:rsid w:val="002C30D3"/>
    <w:rsid w:val="002C366A"/>
    <w:rsid w:val="002C403A"/>
    <w:rsid w:val="002C4B69"/>
    <w:rsid w:val="002C58B8"/>
    <w:rsid w:val="002C603E"/>
    <w:rsid w:val="002C6899"/>
    <w:rsid w:val="002C6DF1"/>
    <w:rsid w:val="002C76C8"/>
    <w:rsid w:val="002C7F9B"/>
    <w:rsid w:val="002D004C"/>
    <w:rsid w:val="002D0309"/>
    <w:rsid w:val="002D0E21"/>
    <w:rsid w:val="002D148B"/>
    <w:rsid w:val="002D1707"/>
    <w:rsid w:val="002D18C5"/>
    <w:rsid w:val="002D28D4"/>
    <w:rsid w:val="002D2CDB"/>
    <w:rsid w:val="002D374C"/>
    <w:rsid w:val="002D615B"/>
    <w:rsid w:val="002D6C5C"/>
    <w:rsid w:val="002D72DE"/>
    <w:rsid w:val="002D7ACE"/>
    <w:rsid w:val="002E0480"/>
    <w:rsid w:val="002E09F6"/>
    <w:rsid w:val="002E15F5"/>
    <w:rsid w:val="002E225B"/>
    <w:rsid w:val="002E43FC"/>
    <w:rsid w:val="002E4757"/>
    <w:rsid w:val="002E4978"/>
    <w:rsid w:val="002E4DC6"/>
    <w:rsid w:val="002E5AFB"/>
    <w:rsid w:val="002E72C2"/>
    <w:rsid w:val="002E74B7"/>
    <w:rsid w:val="002E7B65"/>
    <w:rsid w:val="002F05DB"/>
    <w:rsid w:val="002F06F7"/>
    <w:rsid w:val="002F0B4F"/>
    <w:rsid w:val="002F0F57"/>
    <w:rsid w:val="002F1399"/>
    <w:rsid w:val="002F1EFA"/>
    <w:rsid w:val="002F292E"/>
    <w:rsid w:val="002F2ADF"/>
    <w:rsid w:val="002F48F3"/>
    <w:rsid w:val="002F4DFB"/>
    <w:rsid w:val="002F6866"/>
    <w:rsid w:val="002F7A7E"/>
    <w:rsid w:val="002F7C61"/>
    <w:rsid w:val="0030154D"/>
    <w:rsid w:val="00301A71"/>
    <w:rsid w:val="00301B8D"/>
    <w:rsid w:val="00301D3A"/>
    <w:rsid w:val="00301D88"/>
    <w:rsid w:val="00301E9C"/>
    <w:rsid w:val="003025AF"/>
    <w:rsid w:val="00302D3C"/>
    <w:rsid w:val="003035F4"/>
    <w:rsid w:val="0030563A"/>
    <w:rsid w:val="00305FD7"/>
    <w:rsid w:val="003065DD"/>
    <w:rsid w:val="003066E8"/>
    <w:rsid w:val="00306CFF"/>
    <w:rsid w:val="00307388"/>
    <w:rsid w:val="00310891"/>
    <w:rsid w:val="00310CBD"/>
    <w:rsid w:val="00311409"/>
    <w:rsid w:val="00313073"/>
    <w:rsid w:val="003134D9"/>
    <w:rsid w:val="00313643"/>
    <w:rsid w:val="00313D4C"/>
    <w:rsid w:val="00314352"/>
    <w:rsid w:val="0031567A"/>
    <w:rsid w:val="0031601D"/>
    <w:rsid w:val="0031654A"/>
    <w:rsid w:val="00316962"/>
    <w:rsid w:val="00317E1B"/>
    <w:rsid w:val="00320A6C"/>
    <w:rsid w:val="00320C04"/>
    <w:rsid w:val="0032136A"/>
    <w:rsid w:val="00321D72"/>
    <w:rsid w:val="00323843"/>
    <w:rsid w:val="00325743"/>
    <w:rsid w:val="00325AFA"/>
    <w:rsid w:val="00326B4C"/>
    <w:rsid w:val="00326D69"/>
    <w:rsid w:val="00327296"/>
    <w:rsid w:val="00327DE5"/>
    <w:rsid w:val="00327DF1"/>
    <w:rsid w:val="00327F53"/>
    <w:rsid w:val="003304B5"/>
    <w:rsid w:val="00330618"/>
    <w:rsid w:val="00331BE9"/>
    <w:rsid w:val="00332D76"/>
    <w:rsid w:val="003335CC"/>
    <w:rsid w:val="003336B2"/>
    <w:rsid w:val="00333D3E"/>
    <w:rsid w:val="0033676B"/>
    <w:rsid w:val="003367F5"/>
    <w:rsid w:val="00336BC3"/>
    <w:rsid w:val="00336F1E"/>
    <w:rsid w:val="00337F5A"/>
    <w:rsid w:val="003403FD"/>
    <w:rsid w:val="00341BB1"/>
    <w:rsid w:val="00342B40"/>
    <w:rsid w:val="003437B0"/>
    <w:rsid w:val="00343CDD"/>
    <w:rsid w:val="003444A4"/>
    <w:rsid w:val="00345569"/>
    <w:rsid w:val="003456BA"/>
    <w:rsid w:val="00345A50"/>
    <w:rsid w:val="003471E0"/>
    <w:rsid w:val="00347A89"/>
    <w:rsid w:val="0035013A"/>
    <w:rsid w:val="00350455"/>
    <w:rsid w:val="0035079B"/>
    <w:rsid w:val="00350CF8"/>
    <w:rsid w:val="003516D3"/>
    <w:rsid w:val="00351C15"/>
    <w:rsid w:val="003521C8"/>
    <w:rsid w:val="00352911"/>
    <w:rsid w:val="003532F3"/>
    <w:rsid w:val="00353C9D"/>
    <w:rsid w:val="00354158"/>
    <w:rsid w:val="00354534"/>
    <w:rsid w:val="00355A74"/>
    <w:rsid w:val="003561E2"/>
    <w:rsid w:val="003564F1"/>
    <w:rsid w:val="00356F16"/>
    <w:rsid w:val="003573DB"/>
    <w:rsid w:val="00357B60"/>
    <w:rsid w:val="00360559"/>
    <w:rsid w:val="00360987"/>
    <w:rsid w:val="00361F1D"/>
    <w:rsid w:val="0036229D"/>
    <w:rsid w:val="0036333C"/>
    <w:rsid w:val="00364A72"/>
    <w:rsid w:val="003654A7"/>
    <w:rsid w:val="00365772"/>
    <w:rsid w:val="00365963"/>
    <w:rsid w:val="003661B3"/>
    <w:rsid w:val="003663B7"/>
    <w:rsid w:val="003667B4"/>
    <w:rsid w:val="003670C7"/>
    <w:rsid w:val="00370091"/>
    <w:rsid w:val="00370750"/>
    <w:rsid w:val="00370BF8"/>
    <w:rsid w:val="00371118"/>
    <w:rsid w:val="00372570"/>
    <w:rsid w:val="00372EFB"/>
    <w:rsid w:val="00372F65"/>
    <w:rsid w:val="003742A1"/>
    <w:rsid w:val="00374C5D"/>
    <w:rsid w:val="0037505F"/>
    <w:rsid w:val="003753FF"/>
    <w:rsid w:val="003758DE"/>
    <w:rsid w:val="00375DFC"/>
    <w:rsid w:val="00376832"/>
    <w:rsid w:val="003801E0"/>
    <w:rsid w:val="00381C48"/>
    <w:rsid w:val="0038213A"/>
    <w:rsid w:val="00382375"/>
    <w:rsid w:val="00383369"/>
    <w:rsid w:val="00385DC8"/>
    <w:rsid w:val="00386C98"/>
    <w:rsid w:val="003916DA"/>
    <w:rsid w:val="003930D0"/>
    <w:rsid w:val="0039408A"/>
    <w:rsid w:val="0039416E"/>
    <w:rsid w:val="003941DA"/>
    <w:rsid w:val="003941E6"/>
    <w:rsid w:val="003A0471"/>
    <w:rsid w:val="003A0AD2"/>
    <w:rsid w:val="003A11DE"/>
    <w:rsid w:val="003A1675"/>
    <w:rsid w:val="003A1DD5"/>
    <w:rsid w:val="003A2485"/>
    <w:rsid w:val="003A271F"/>
    <w:rsid w:val="003A2A24"/>
    <w:rsid w:val="003A2E6C"/>
    <w:rsid w:val="003A32D9"/>
    <w:rsid w:val="003A4D4A"/>
    <w:rsid w:val="003A4E4E"/>
    <w:rsid w:val="003A504A"/>
    <w:rsid w:val="003A531A"/>
    <w:rsid w:val="003A654D"/>
    <w:rsid w:val="003B0198"/>
    <w:rsid w:val="003B0B0B"/>
    <w:rsid w:val="003B190D"/>
    <w:rsid w:val="003B2695"/>
    <w:rsid w:val="003B34EC"/>
    <w:rsid w:val="003B4F26"/>
    <w:rsid w:val="003B4F60"/>
    <w:rsid w:val="003B5BBD"/>
    <w:rsid w:val="003B5EF5"/>
    <w:rsid w:val="003B6500"/>
    <w:rsid w:val="003C03D1"/>
    <w:rsid w:val="003C0626"/>
    <w:rsid w:val="003C1118"/>
    <w:rsid w:val="003C1464"/>
    <w:rsid w:val="003C3084"/>
    <w:rsid w:val="003C3511"/>
    <w:rsid w:val="003C3577"/>
    <w:rsid w:val="003C4832"/>
    <w:rsid w:val="003C6711"/>
    <w:rsid w:val="003C6788"/>
    <w:rsid w:val="003C6D3F"/>
    <w:rsid w:val="003D1145"/>
    <w:rsid w:val="003D1BEA"/>
    <w:rsid w:val="003D3EAE"/>
    <w:rsid w:val="003D4A50"/>
    <w:rsid w:val="003D4B57"/>
    <w:rsid w:val="003D5727"/>
    <w:rsid w:val="003D649C"/>
    <w:rsid w:val="003D6C85"/>
    <w:rsid w:val="003D748E"/>
    <w:rsid w:val="003D7C36"/>
    <w:rsid w:val="003D7DCC"/>
    <w:rsid w:val="003E17AE"/>
    <w:rsid w:val="003E24BC"/>
    <w:rsid w:val="003E2DAA"/>
    <w:rsid w:val="003E3BA4"/>
    <w:rsid w:val="003E3D2C"/>
    <w:rsid w:val="003E5355"/>
    <w:rsid w:val="003E5472"/>
    <w:rsid w:val="003E57DE"/>
    <w:rsid w:val="003E6305"/>
    <w:rsid w:val="003E6BF9"/>
    <w:rsid w:val="003F0087"/>
    <w:rsid w:val="003F0870"/>
    <w:rsid w:val="003F0FC3"/>
    <w:rsid w:val="003F20D3"/>
    <w:rsid w:val="003F2C44"/>
    <w:rsid w:val="003F2E91"/>
    <w:rsid w:val="003F379F"/>
    <w:rsid w:val="003F3FBD"/>
    <w:rsid w:val="003F533B"/>
    <w:rsid w:val="003F5C31"/>
    <w:rsid w:val="003F74E3"/>
    <w:rsid w:val="003F785A"/>
    <w:rsid w:val="003F78DD"/>
    <w:rsid w:val="0040102E"/>
    <w:rsid w:val="00401C2C"/>
    <w:rsid w:val="0040204B"/>
    <w:rsid w:val="00402A95"/>
    <w:rsid w:val="00403105"/>
    <w:rsid w:val="00403C95"/>
    <w:rsid w:val="0040417A"/>
    <w:rsid w:val="00404A87"/>
    <w:rsid w:val="00404B08"/>
    <w:rsid w:val="00405151"/>
    <w:rsid w:val="0040544A"/>
    <w:rsid w:val="0040553A"/>
    <w:rsid w:val="00407B4D"/>
    <w:rsid w:val="004112F5"/>
    <w:rsid w:val="004118F7"/>
    <w:rsid w:val="004125B7"/>
    <w:rsid w:val="00412E18"/>
    <w:rsid w:val="00413478"/>
    <w:rsid w:val="00414755"/>
    <w:rsid w:val="00415013"/>
    <w:rsid w:val="004151EA"/>
    <w:rsid w:val="0041617F"/>
    <w:rsid w:val="0041685D"/>
    <w:rsid w:val="0041755B"/>
    <w:rsid w:val="00417751"/>
    <w:rsid w:val="004203E8"/>
    <w:rsid w:val="004205D1"/>
    <w:rsid w:val="00420BD1"/>
    <w:rsid w:val="00420CD3"/>
    <w:rsid w:val="00421431"/>
    <w:rsid w:val="00422A79"/>
    <w:rsid w:val="00423CA0"/>
    <w:rsid w:val="00423CF7"/>
    <w:rsid w:val="00424378"/>
    <w:rsid w:val="00425BB0"/>
    <w:rsid w:val="004263CD"/>
    <w:rsid w:val="00426E45"/>
    <w:rsid w:val="004301C9"/>
    <w:rsid w:val="0043153C"/>
    <w:rsid w:val="00431DB3"/>
    <w:rsid w:val="004320DA"/>
    <w:rsid w:val="00432915"/>
    <w:rsid w:val="00432D6A"/>
    <w:rsid w:val="0043310D"/>
    <w:rsid w:val="00433F67"/>
    <w:rsid w:val="004346ED"/>
    <w:rsid w:val="004348B7"/>
    <w:rsid w:val="00434911"/>
    <w:rsid w:val="00434C0C"/>
    <w:rsid w:val="004355C3"/>
    <w:rsid w:val="00436AC6"/>
    <w:rsid w:val="004370D8"/>
    <w:rsid w:val="0043749E"/>
    <w:rsid w:val="00437899"/>
    <w:rsid w:val="004405D5"/>
    <w:rsid w:val="00440EB4"/>
    <w:rsid w:val="00441073"/>
    <w:rsid w:val="0044210F"/>
    <w:rsid w:val="00442395"/>
    <w:rsid w:val="00442E3D"/>
    <w:rsid w:val="00442E90"/>
    <w:rsid w:val="004431B1"/>
    <w:rsid w:val="00443D19"/>
    <w:rsid w:val="0044439E"/>
    <w:rsid w:val="004447A3"/>
    <w:rsid w:val="004451AD"/>
    <w:rsid w:val="004459D2"/>
    <w:rsid w:val="00445BB7"/>
    <w:rsid w:val="00445D76"/>
    <w:rsid w:val="00450576"/>
    <w:rsid w:val="00450780"/>
    <w:rsid w:val="0045131B"/>
    <w:rsid w:val="00451585"/>
    <w:rsid w:val="004515F4"/>
    <w:rsid w:val="0045198E"/>
    <w:rsid w:val="004523A4"/>
    <w:rsid w:val="004528C4"/>
    <w:rsid w:val="00453DC0"/>
    <w:rsid w:val="00455428"/>
    <w:rsid w:val="00456553"/>
    <w:rsid w:val="00456C63"/>
    <w:rsid w:val="00456C80"/>
    <w:rsid w:val="00456E0A"/>
    <w:rsid w:val="004572B8"/>
    <w:rsid w:val="00457A53"/>
    <w:rsid w:val="0046026E"/>
    <w:rsid w:val="00460317"/>
    <w:rsid w:val="0046073F"/>
    <w:rsid w:val="00460AB8"/>
    <w:rsid w:val="00461876"/>
    <w:rsid w:val="00461AA6"/>
    <w:rsid w:val="0046245C"/>
    <w:rsid w:val="00463B41"/>
    <w:rsid w:val="00464437"/>
    <w:rsid w:val="00464C69"/>
    <w:rsid w:val="00465116"/>
    <w:rsid w:val="004652AC"/>
    <w:rsid w:val="00470338"/>
    <w:rsid w:val="00470B4F"/>
    <w:rsid w:val="00471555"/>
    <w:rsid w:val="00472887"/>
    <w:rsid w:val="00472A35"/>
    <w:rsid w:val="00473958"/>
    <w:rsid w:val="004742E6"/>
    <w:rsid w:val="004743C8"/>
    <w:rsid w:val="00474D19"/>
    <w:rsid w:val="004751D0"/>
    <w:rsid w:val="00475EEF"/>
    <w:rsid w:val="004775DE"/>
    <w:rsid w:val="004777D6"/>
    <w:rsid w:val="00477926"/>
    <w:rsid w:val="00480049"/>
    <w:rsid w:val="00480804"/>
    <w:rsid w:val="0048163E"/>
    <w:rsid w:val="00481B0D"/>
    <w:rsid w:val="00482DB7"/>
    <w:rsid w:val="00484120"/>
    <w:rsid w:val="00484F85"/>
    <w:rsid w:val="00485B2B"/>
    <w:rsid w:val="00485F15"/>
    <w:rsid w:val="004860EA"/>
    <w:rsid w:val="00487E7D"/>
    <w:rsid w:val="00487EC4"/>
    <w:rsid w:val="00491F05"/>
    <w:rsid w:val="00492DA2"/>
    <w:rsid w:val="00493666"/>
    <w:rsid w:val="00493CB7"/>
    <w:rsid w:val="0049502E"/>
    <w:rsid w:val="0049581B"/>
    <w:rsid w:val="00495F96"/>
    <w:rsid w:val="004967AE"/>
    <w:rsid w:val="00497F47"/>
    <w:rsid w:val="004A0F04"/>
    <w:rsid w:val="004A1806"/>
    <w:rsid w:val="004A3908"/>
    <w:rsid w:val="004A43EE"/>
    <w:rsid w:val="004A4B15"/>
    <w:rsid w:val="004A5421"/>
    <w:rsid w:val="004A568C"/>
    <w:rsid w:val="004A59D4"/>
    <w:rsid w:val="004A5E82"/>
    <w:rsid w:val="004A631E"/>
    <w:rsid w:val="004A6815"/>
    <w:rsid w:val="004A6866"/>
    <w:rsid w:val="004A6F23"/>
    <w:rsid w:val="004A734F"/>
    <w:rsid w:val="004A78D3"/>
    <w:rsid w:val="004A7ED9"/>
    <w:rsid w:val="004B0BBF"/>
    <w:rsid w:val="004B0BE0"/>
    <w:rsid w:val="004B0D71"/>
    <w:rsid w:val="004B17C9"/>
    <w:rsid w:val="004B2320"/>
    <w:rsid w:val="004B2773"/>
    <w:rsid w:val="004B278B"/>
    <w:rsid w:val="004B4EDD"/>
    <w:rsid w:val="004B50FC"/>
    <w:rsid w:val="004B56BE"/>
    <w:rsid w:val="004B5AD1"/>
    <w:rsid w:val="004B6F02"/>
    <w:rsid w:val="004B76B6"/>
    <w:rsid w:val="004B7A5E"/>
    <w:rsid w:val="004B7FCA"/>
    <w:rsid w:val="004C04CB"/>
    <w:rsid w:val="004C09B2"/>
    <w:rsid w:val="004C175A"/>
    <w:rsid w:val="004C2C8C"/>
    <w:rsid w:val="004C4419"/>
    <w:rsid w:val="004C46CA"/>
    <w:rsid w:val="004C49E2"/>
    <w:rsid w:val="004C4CCD"/>
    <w:rsid w:val="004C5A6A"/>
    <w:rsid w:val="004C6001"/>
    <w:rsid w:val="004C644B"/>
    <w:rsid w:val="004C64D7"/>
    <w:rsid w:val="004C7B95"/>
    <w:rsid w:val="004D01B3"/>
    <w:rsid w:val="004D04F4"/>
    <w:rsid w:val="004D13CE"/>
    <w:rsid w:val="004D1D80"/>
    <w:rsid w:val="004D1DF0"/>
    <w:rsid w:val="004D1EC9"/>
    <w:rsid w:val="004D2828"/>
    <w:rsid w:val="004D34AA"/>
    <w:rsid w:val="004D388D"/>
    <w:rsid w:val="004D39C5"/>
    <w:rsid w:val="004D4D1C"/>
    <w:rsid w:val="004D4D32"/>
    <w:rsid w:val="004D4D8A"/>
    <w:rsid w:val="004D50F7"/>
    <w:rsid w:val="004D61B8"/>
    <w:rsid w:val="004D651F"/>
    <w:rsid w:val="004D6CA7"/>
    <w:rsid w:val="004D74D3"/>
    <w:rsid w:val="004E144C"/>
    <w:rsid w:val="004E1851"/>
    <w:rsid w:val="004E19FB"/>
    <w:rsid w:val="004E1F66"/>
    <w:rsid w:val="004E2608"/>
    <w:rsid w:val="004E2FD7"/>
    <w:rsid w:val="004E3292"/>
    <w:rsid w:val="004E376E"/>
    <w:rsid w:val="004E4186"/>
    <w:rsid w:val="004E5143"/>
    <w:rsid w:val="004E54E8"/>
    <w:rsid w:val="004E6A84"/>
    <w:rsid w:val="004E7718"/>
    <w:rsid w:val="004E7773"/>
    <w:rsid w:val="004F0512"/>
    <w:rsid w:val="004F16E4"/>
    <w:rsid w:val="004F20D1"/>
    <w:rsid w:val="004F276A"/>
    <w:rsid w:val="004F2D76"/>
    <w:rsid w:val="004F373A"/>
    <w:rsid w:val="004F4BCB"/>
    <w:rsid w:val="004F4E15"/>
    <w:rsid w:val="004F521B"/>
    <w:rsid w:val="004F53E8"/>
    <w:rsid w:val="004F59B1"/>
    <w:rsid w:val="004F7278"/>
    <w:rsid w:val="004F757D"/>
    <w:rsid w:val="004F7808"/>
    <w:rsid w:val="00500C39"/>
    <w:rsid w:val="00502CB3"/>
    <w:rsid w:val="005039FD"/>
    <w:rsid w:val="00503C00"/>
    <w:rsid w:val="0050401D"/>
    <w:rsid w:val="00505375"/>
    <w:rsid w:val="00507159"/>
    <w:rsid w:val="005078D8"/>
    <w:rsid w:val="00510D4B"/>
    <w:rsid w:val="00511326"/>
    <w:rsid w:val="00511465"/>
    <w:rsid w:val="00511ABD"/>
    <w:rsid w:val="0051223B"/>
    <w:rsid w:val="0051227E"/>
    <w:rsid w:val="00512C16"/>
    <w:rsid w:val="0051315D"/>
    <w:rsid w:val="005139D0"/>
    <w:rsid w:val="00513F2A"/>
    <w:rsid w:val="0051459C"/>
    <w:rsid w:val="00515892"/>
    <w:rsid w:val="00515EE6"/>
    <w:rsid w:val="005172A4"/>
    <w:rsid w:val="005202F8"/>
    <w:rsid w:val="005207E9"/>
    <w:rsid w:val="00520C50"/>
    <w:rsid w:val="00521745"/>
    <w:rsid w:val="0052179C"/>
    <w:rsid w:val="005222BA"/>
    <w:rsid w:val="0052248A"/>
    <w:rsid w:val="00522715"/>
    <w:rsid w:val="00522A8C"/>
    <w:rsid w:val="00523A77"/>
    <w:rsid w:val="005246FA"/>
    <w:rsid w:val="00525344"/>
    <w:rsid w:val="00525EE3"/>
    <w:rsid w:val="0052694B"/>
    <w:rsid w:val="00530517"/>
    <w:rsid w:val="00530701"/>
    <w:rsid w:val="00530892"/>
    <w:rsid w:val="00531161"/>
    <w:rsid w:val="00531AEA"/>
    <w:rsid w:val="0053341D"/>
    <w:rsid w:val="005334A5"/>
    <w:rsid w:val="00533CCD"/>
    <w:rsid w:val="00534BE5"/>
    <w:rsid w:val="0053521E"/>
    <w:rsid w:val="005401FE"/>
    <w:rsid w:val="0054055B"/>
    <w:rsid w:val="00540A91"/>
    <w:rsid w:val="0054119D"/>
    <w:rsid w:val="005415AD"/>
    <w:rsid w:val="00542492"/>
    <w:rsid w:val="005424F9"/>
    <w:rsid w:val="00542539"/>
    <w:rsid w:val="005428CD"/>
    <w:rsid w:val="0054302B"/>
    <w:rsid w:val="0054365C"/>
    <w:rsid w:val="005443AB"/>
    <w:rsid w:val="00544755"/>
    <w:rsid w:val="00544CE4"/>
    <w:rsid w:val="005456B4"/>
    <w:rsid w:val="0054584B"/>
    <w:rsid w:val="00545934"/>
    <w:rsid w:val="00545CB4"/>
    <w:rsid w:val="00546640"/>
    <w:rsid w:val="00546D8F"/>
    <w:rsid w:val="005473BB"/>
    <w:rsid w:val="00547BE5"/>
    <w:rsid w:val="00547D7E"/>
    <w:rsid w:val="0055201B"/>
    <w:rsid w:val="0055240E"/>
    <w:rsid w:val="00552B60"/>
    <w:rsid w:val="00552CE0"/>
    <w:rsid w:val="005537B6"/>
    <w:rsid w:val="00553A6E"/>
    <w:rsid w:val="00554E89"/>
    <w:rsid w:val="00554F8B"/>
    <w:rsid w:val="0055508D"/>
    <w:rsid w:val="00555366"/>
    <w:rsid w:val="00555416"/>
    <w:rsid w:val="005559F4"/>
    <w:rsid w:val="005573C0"/>
    <w:rsid w:val="005575E5"/>
    <w:rsid w:val="005577DD"/>
    <w:rsid w:val="00557D9A"/>
    <w:rsid w:val="0056134B"/>
    <w:rsid w:val="0056144D"/>
    <w:rsid w:val="005623FF"/>
    <w:rsid w:val="0056441F"/>
    <w:rsid w:val="005652C5"/>
    <w:rsid w:val="00565E28"/>
    <w:rsid w:val="00565F24"/>
    <w:rsid w:val="005660AB"/>
    <w:rsid w:val="00566EB6"/>
    <w:rsid w:val="00567464"/>
    <w:rsid w:val="0056774A"/>
    <w:rsid w:val="005703D0"/>
    <w:rsid w:val="00570420"/>
    <w:rsid w:val="00571665"/>
    <w:rsid w:val="00571A94"/>
    <w:rsid w:val="00572716"/>
    <w:rsid w:val="00572ACC"/>
    <w:rsid w:val="00574175"/>
    <w:rsid w:val="0057449A"/>
    <w:rsid w:val="00574AFF"/>
    <w:rsid w:val="00576638"/>
    <w:rsid w:val="005768EE"/>
    <w:rsid w:val="00576D4A"/>
    <w:rsid w:val="005770BC"/>
    <w:rsid w:val="005770BF"/>
    <w:rsid w:val="0057742D"/>
    <w:rsid w:val="0058019C"/>
    <w:rsid w:val="005807F4"/>
    <w:rsid w:val="00581990"/>
    <w:rsid w:val="00581D0F"/>
    <w:rsid w:val="005850C9"/>
    <w:rsid w:val="005855A2"/>
    <w:rsid w:val="00585FC2"/>
    <w:rsid w:val="00587017"/>
    <w:rsid w:val="00587C83"/>
    <w:rsid w:val="00587E39"/>
    <w:rsid w:val="005905A5"/>
    <w:rsid w:val="00590B57"/>
    <w:rsid w:val="00590E13"/>
    <w:rsid w:val="00591AE9"/>
    <w:rsid w:val="00591E05"/>
    <w:rsid w:val="00592999"/>
    <w:rsid w:val="00592F46"/>
    <w:rsid w:val="00593AF7"/>
    <w:rsid w:val="005946B9"/>
    <w:rsid w:val="005948E8"/>
    <w:rsid w:val="00594C44"/>
    <w:rsid w:val="00595605"/>
    <w:rsid w:val="005962C8"/>
    <w:rsid w:val="00596B6C"/>
    <w:rsid w:val="00596B82"/>
    <w:rsid w:val="005A08DC"/>
    <w:rsid w:val="005A23CC"/>
    <w:rsid w:val="005A2642"/>
    <w:rsid w:val="005A2FBF"/>
    <w:rsid w:val="005A38D9"/>
    <w:rsid w:val="005A42DF"/>
    <w:rsid w:val="005A5745"/>
    <w:rsid w:val="005A6638"/>
    <w:rsid w:val="005A6986"/>
    <w:rsid w:val="005A6C83"/>
    <w:rsid w:val="005A7E55"/>
    <w:rsid w:val="005A7EBA"/>
    <w:rsid w:val="005B091B"/>
    <w:rsid w:val="005B0A64"/>
    <w:rsid w:val="005B0E7A"/>
    <w:rsid w:val="005B0F21"/>
    <w:rsid w:val="005B1E66"/>
    <w:rsid w:val="005B2E39"/>
    <w:rsid w:val="005B3210"/>
    <w:rsid w:val="005B3823"/>
    <w:rsid w:val="005B3D95"/>
    <w:rsid w:val="005B4690"/>
    <w:rsid w:val="005B5696"/>
    <w:rsid w:val="005B5D8A"/>
    <w:rsid w:val="005B7289"/>
    <w:rsid w:val="005B7A51"/>
    <w:rsid w:val="005B7B2B"/>
    <w:rsid w:val="005C00C9"/>
    <w:rsid w:val="005C13C8"/>
    <w:rsid w:val="005C14C8"/>
    <w:rsid w:val="005C1BA2"/>
    <w:rsid w:val="005C2879"/>
    <w:rsid w:val="005C2BB1"/>
    <w:rsid w:val="005C3340"/>
    <w:rsid w:val="005C33DB"/>
    <w:rsid w:val="005C44CB"/>
    <w:rsid w:val="005C47BF"/>
    <w:rsid w:val="005C596F"/>
    <w:rsid w:val="005C6417"/>
    <w:rsid w:val="005C6875"/>
    <w:rsid w:val="005C7921"/>
    <w:rsid w:val="005C7E79"/>
    <w:rsid w:val="005D0532"/>
    <w:rsid w:val="005D1782"/>
    <w:rsid w:val="005D2DA2"/>
    <w:rsid w:val="005D3A52"/>
    <w:rsid w:val="005D3FCE"/>
    <w:rsid w:val="005D4CD8"/>
    <w:rsid w:val="005D4FC9"/>
    <w:rsid w:val="005D6658"/>
    <w:rsid w:val="005D6929"/>
    <w:rsid w:val="005E0929"/>
    <w:rsid w:val="005E0C6A"/>
    <w:rsid w:val="005E0D5A"/>
    <w:rsid w:val="005E1CE7"/>
    <w:rsid w:val="005E1D01"/>
    <w:rsid w:val="005E23F6"/>
    <w:rsid w:val="005E2537"/>
    <w:rsid w:val="005E2634"/>
    <w:rsid w:val="005E2F4F"/>
    <w:rsid w:val="005E4A36"/>
    <w:rsid w:val="005E4D15"/>
    <w:rsid w:val="005E510E"/>
    <w:rsid w:val="005E57B7"/>
    <w:rsid w:val="005E651E"/>
    <w:rsid w:val="005E7E56"/>
    <w:rsid w:val="005F03BD"/>
    <w:rsid w:val="005F2533"/>
    <w:rsid w:val="005F2716"/>
    <w:rsid w:val="005F31AB"/>
    <w:rsid w:val="005F4195"/>
    <w:rsid w:val="005F62BA"/>
    <w:rsid w:val="005F661A"/>
    <w:rsid w:val="005F670E"/>
    <w:rsid w:val="005F6CC6"/>
    <w:rsid w:val="005F6F73"/>
    <w:rsid w:val="005F737F"/>
    <w:rsid w:val="005F7AF4"/>
    <w:rsid w:val="005F7DF4"/>
    <w:rsid w:val="005F7DFB"/>
    <w:rsid w:val="0060017E"/>
    <w:rsid w:val="00600725"/>
    <w:rsid w:val="0060129D"/>
    <w:rsid w:val="00601505"/>
    <w:rsid w:val="00602C03"/>
    <w:rsid w:val="00602F9E"/>
    <w:rsid w:val="00603334"/>
    <w:rsid w:val="006037C1"/>
    <w:rsid w:val="00603D14"/>
    <w:rsid w:val="00604167"/>
    <w:rsid w:val="00604233"/>
    <w:rsid w:val="006042CE"/>
    <w:rsid w:val="00604827"/>
    <w:rsid w:val="00604A37"/>
    <w:rsid w:val="006059A8"/>
    <w:rsid w:val="0060609A"/>
    <w:rsid w:val="00606876"/>
    <w:rsid w:val="006104FE"/>
    <w:rsid w:val="0061071C"/>
    <w:rsid w:val="006107F3"/>
    <w:rsid w:val="00610888"/>
    <w:rsid w:val="006108ED"/>
    <w:rsid w:val="006116A6"/>
    <w:rsid w:val="0061179F"/>
    <w:rsid w:val="00612473"/>
    <w:rsid w:val="00612652"/>
    <w:rsid w:val="00615400"/>
    <w:rsid w:val="0061685B"/>
    <w:rsid w:val="00616D29"/>
    <w:rsid w:val="00616D2F"/>
    <w:rsid w:val="0061784D"/>
    <w:rsid w:val="00617850"/>
    <w:rsid w:val="00617920"/>
    <w:rsid w:val="00617F15"/>
    <w:rsid w:val="00620826"/>
    <w:rsid w:val="0062129A"/>
    <w:rsid w:val="006219A4"/>
    <w:rsid w:val="00621CE5"/>
    <w:rsid w:val="006222E3"/>
    <w:rsid w:val="00622BA8"/>
    <w:rsid w:val="00623153"/>
    <w:rsid w:val="0062330D"/>
    <w:rsid w:val="00623F63"/>
    <w:rsid w:val="006244B7"/>
    <w:rsid w:val="0062593C"/>
    <w:rsid w:val="00625C6B"/>
    <w:rsid w:val="00625CB3"/>
    <w:rsid w:val="00626BB2"/>
    <w:rsid w:val="006273FE"/>
    <w:rsid w:val="0062761A"/>
    <w:rsid w:val="00630C46"/>
    <w:rsid w:val="006326D7"/>
    <w:rsid w:val="00632978"/>
    <w:rsid w:val="006331D4"/>
    <w:rsid w:val="006347D0"/>
    <w:rsid w:val="0063541B"/>
    <w:rsid w:val="0063545E"/>
    <w:rsid w:val="00636408"/>
    <w:rsid w:val="00636CB2"/>
    <w:rsid w:val="0063714D"/>
    <w:rsid w:val="00637267"/>
    <w:rsid w:val="006375D5"/>
    <w:rsid w:val="00637A43"/>
    <w:rsid w:val="00640B97"/>
    <w:rsid w:val="0064170A"/>
    <w:rsid w:val="006417CE"/>
    <w:rsid w:val="006422C6"/>
    <w:rsid w:val="00643324"/>
    <w:rsid w:val="006435DE"/>
    <w:rsid w:val="00643D2B"/>
    <w:rsid w:val="0064428D"/>
    <w:rsid w:val="0064568C"/>
    <w:rsid w:val="006456BD"/>
    <w:rsid w:val="0064595F"/>
    <w:rsid w:val="00646028"/>
    <w:rsid w:val="00646957"/>
    <w:rsid w:val="00646EF8"/>
    <w:rsid w:val="006501BE"/>
    <w:rsid w:val="006502E4"/>
    <w:rsid w:val="006505C6"/>
    <w:rsid w:val="006511C4"/>
    <w:rsid w:val="00651F65"/>
    <w:rsid w:val="00652E88"/>
    <w:rsid w:val="00653048"/>
    <w:rsid w:val="0065393B"/>
    <w:rsid w:val="00654451"/>
    <w:rsid w:val="006545DD"/>
    <w:rsid w:val="00654DC5"/>
    <w:rsid w:val="00655941"/>
    <w:rsid w:val="00656165"/>
    <w:rsid w:val="006563AB"/>
    <w:rsid w:val="00656DD3"/>
    <w:rsid w:val="006576B6"/>
    <w:rsid w:val="00657EAA"/>
    <w:rsid w:val="00660321"/>
    <w:rsid w:val="0066075C"/>
    <w:rsid w:val="006608AE"/>
    <w:rsid w:val="00660947"/>
    <w:rsid w:val="00662263"/>
    <w:rsid w:val="006628BD"/>
    <w:rsid w:val="00662D1D"/>
    <w:rsid w:val="006650C0"/>
    <w:rsid w:val="00665366"/>
    <w:rsid w:val="0066651C"/>
    <w:rsid w:val="006665A2"/>
    <w:rsid w:val="00667345"/>
    <w:rsid w:val="0066764F"/>
    <w:rsid w:val="006679FD"/>
    <w:rsid w:val="006702C9"/>
    <w:rsid w:val="00670BB4"/>
    <w:rsid w:val="006714A9"/>
    <w:rsid w:val="00671DFD"/>
    <w:rsid w:val="00672B90"/>
    <w:rsid w:val="006737E1"/>
    <w:rsid w:val="006747FE"/>
    <w:rsid w:val="00675791"/>
    <w:rsid w:val="00675C08"/>
    <w:rsid w:val="006768F1"/>
    <w:rsid w:val="0067704E"/>
    <w:rsid w:val="00681107"/>
    <w:rsid w:val="0068186E"/>
    <w:rsid w:val="00683BFC"/>
    <w:rsid w:val="0068607D"/>
    <w:rsid w:val="006860F1"/>
    <w:rsid w:val="00686215"/>
    <w:rsid w:val="006862A2"/>
    <w:rsid w:val="00686D92"/>
    <w:rsid w:val="006870C3"/>
    <w:rsid w:val="00687975"/>
    <w:rsid w:val="006879F0"/>
    <w:rsid w:val="0069077F"/>
    <w:rsid w:val="00690E68"/>
    <w:rsid w:val="00691616"/>
    <w:rsid w:val="00691D55"/>
    <w:rsid w:val="00691F58"/>
    <w:rsid w:val="00692275"/>
    <w:rsid w:val="0069229B"/>
    <w:rsid w:val="00692833"/>
    <w:rsid w:val="006929DC"/>
    <w:rsid w:val="006937D6"/>
    <w:rsid w:val="00693CC5"/>
    <w:rsid w:val="00694DF4"/>
    <w:rsid w:val="006952C8"/>
    <w:rsid w:val="0069548A"/>
    <w:rsid w:val="006967A6"/>
    <w:rsid w:val="00696D38"/>
    <w:rsid w:val="0069798D"/>
    <w:rsid w:val="00697D5C"/>
    <w:rsid w:val="006A161E"/>
    <w:rsid w:val="006A1876"/>
    <w:rsid w:val="006A1941"/>
    <w:rsid w:val="006A1C10"/>
    <w:rsid w:val="006A1E4D"/>
    <w:rsid w:val="006A2265"/>
    <w:rsid w:val="006A292F"/>
    <w:rsid w:val="006A2E26"/>
    <w:rsid w:val="006A30FD"/>
    <w:rsid w:val="006A3EB5"/>
    <w:rsid w:val="006A3F88"/>
    <w:rsid w:val="006A46CD"/>
    <w:rsid w:val="006A4B35"/>
    <w:rsid w:val="006A4D2B"/>
    <w:rsid w:val="006A5206"/>
    <w:rsid w:val="006A53BC"/>
    <w:rsid w:val="006A55DF"/>
    <w:rsid w:val="006A5C89"/>
    <w:rsid w:val="006A64C5"/>
    <w:rsid w:val="006A7027"/>
    <w:rsid w:val="006B0CF9"/>
    <w:rsid w:val="006B1AE9"/>
    <w:rsid w:val="006B1AEB"/>
    <w:rsid w:val="006B1CBA"/>
    <w:rsid w:val="006B24DF"/>
    <w:rsid w:val="006B29C1"/>
    <w:rsid w:val="006B34A3"/>
    <w:rsid w:val="006B3915"/>
    <w:rsid w:val="006B514F"/>
    <w:rsid w:val="006B567E"/>
    <w:rsid w:val="006B62AC"/>
    <w:rsid w:val="006B6387"/>
    <w:rsid w:val="006B7377"/>
    <w:rsid w:val="006C0196"/>
    <w:rsid w:val="006C055B"/>
    <w:rsid w:val="006C06FF"/>
    <w:rsid w:val="006C0815"/>
    <w:rsid w:val="006C08C2"/>
    <w:rsid w:val="006C0ABD"/>
    <w:rsid w:val="006C2547"/>
    <w:rsid w:val="006C2CDC"/>
    <w:rsid w:val="006C3E4A"/>
    <w:rsid w:val="006C4E95"/>
    <w:rsid w:val="006C5BBE"/>
    <w:rsid w:val="006C5EC9"/>
    <w:rsid w:val="006C74A2"/>
    <w:rsid w:val="006C74DF"/>
    <w:rsid w:val="006D21DC"/>
    <w:rsid w:val="006D22ED"/>
    <w:rsid w:val="006D272A"/>
    <w:rsid w:val="006D3CAE"/>
    <w:rsid w:val="006D4728"/>
    <w:rsid w:val="006D5A2B"/>
    <w:rsid w:val="006D5F32"/>
    <w:rsid w:val="006D6A6A"/>
    <w:rsid w:val="006D6C9C"/>
    <w:rsid w:val="006D6F63"/>
    <w:rsid w:val="006D74AE"/>
    <w:rsid w:val="006D75E8"/>
    <w:rsid w:val="006D7E67"/>
    <w:rsid w:val="006E05FF"/>
    <w:rsid w:val="006E0712"/>
    <w:rsid w:val="006E08E3"/>
    <w:rsid w:val="006E0A3D"/>
    <w:rsid w:val="006E191F"/>
    <w:rsid w:val="006E1A57"/>
    <w:rsid w:val="006E23C6"/>
    <w:rsid w:val="006E2DE3"/>
    <w:rsid w:val="006E34B5"/>
    <w:rsid w:val="006E4123"/>
    <w:rsid w:val="006E4796"/>
    <w:rsid w:val="006E4977"/>
    <w:rsid w:val="006E53FA"/>
    <w:rsid w:val="006E5401"/>
    <w:rsid w:val="006E5C23"/>
    <w:rsid w:val="006E5C2B"/>
    <w:rsid w:val="006E7228"/>
    <w:rsid w:val="006E7D13"/>
    <w:rsid w:val="006F039F"/>
    <w:rsid w:val="006F05A2"/>
    <w:rsid w:val="006F1852"/>
    <w:rsid w:val="006F2221"/>
    <w:rsid w:val="006F26D3"/>
    <w:rsid w:val="006F27D4"/>
    <w:rsid w:val="006F2F1E"/>
    <w:rsid w:val="006F5793"/>
    <w:rsid w:val="006F5CD1"/>
    <w:rsid w:val="006F66D6"/>
    <w:rsid w:val="006F7DD1"/>
    <w:rsid w:val="007014A5"/>
    <w:rsid w:val="00701648"/>
    <w:rsid w:val="00702153"/>
    <w:rsid w:val="0070227B"/>
    <w:rsid w:val="007028B4"/>
    <w:rsid w:val="00702C54"/>
    <w:rsid w:val="007039D9"/>
    <w:rsid w:val="00704288"/>
    <w:rsid w:val="00705139"/>
    <w:rsid w:val="00705243"/>
    <w:rsid w:val="007059DF"/>
    <w:rsid w:val="0070646A"/>
    <w:rsid w:val="007122C9"/>
    <w:rsid w:val="0071236E"/>
    <w:rsid w:val="00714300"/>
    <w:rsid w:val="00714EAA"/>
    <w:rsid w:val="0071501B"/>
    <w:rsid w:val="00715759"/>
    <w:rsid w:val="007159D8"/>
    <w:rsid w:val="00716D09"/>
    <w:rsid w:val="007170D3"/>
    <w:rsid w:val="0071783D"/>
    <w:rsid w:val="00717B54"/>
    <w:rsid w:val="00717E2E"/>
    <w:rsid w:val="00720AE7"/>
    <w:rsid w:val="007210EC"/>
    <w:rsid w:val="0072165E"/>
    <w:rsid w:val="00721791"/>
    <w:rsid w:val="0072184D"/>
    <w:rsid w:val="00722CB5"/>
    <w:rsid w:val="0072510B"/>
    <w:rsid w:val="00727142"/>
    <w:rsid w:val="00727AC1"/>
    <w:rsid w:val="007318C0"/>
    <w:rsid w:val="007323EE"/>
    <w:rsid w:val="00734823"/>
    <w:rsid w:val="00735194"/>
    <w:rsid w:val="00735EB8"/>
    <w:rsid w:val="0073666E"/>
    <w:rsid w:val="00736E49"/>
    <w:rsid w:val="00736FBA"/>
    <w:rsid w:val="00740C71"/>
    <w:rsid w:val="007417D2"/>
    <w:rsid w:val="007419A8"/>
    <w:rsid w:val="00741E8F"/>
    <w:rsid w:val="00742325"/>
    <w:rsid w:val="00742788"/>
    <w:rsid w:val="00743E4F"/>
    <w:rsid w:val="00743EAF"/>
    <w:rsid w:val="0074488D"/>
    <w:rsid w:val="00744DA9"/>
    <w:rsid w:val="0074570E"/>
    <w:rsid w:val="00745D55"/>
    <w:rsid w:val="0074602B"/>
    <w:rsid w:val="00746385"/>
    <w:rsid w:val="0074778F"/>
    <w:rsid w:val="007477A2"/>
    <w:rsid w:val="007479FB"/>
    <w:rsid w:val="00747FE6"/>
    <w:rsid w:val="00751B53"/>
    <w:rsid w:val="007535E0"/>
    <w:rsid w:val="0075361B"/>
    <w:rsid w:val="00753C18"/>
    <w:rsid w:val="00753F12"/>
    <w:rsid w:val="007557BA"/>
    <w:rsid w:val="00755D64"/>
    <w:rsid w:val="0075637B"/>
    <w:rsid w:val="00756D28"/>
    <w:rsid w:val="00756F51"/>
    <w:rsid w:val="007570B3"/>
    <w:rsid w:val="007613E7"/>
    <w:rsid w:val="007618B4"/>
    <w:rsid w:val="007626F4"/>
    <w:rsid w:val="00764AEA"/>
    <w:rsid w:val="0076578C"/>
    <w:rsid w:val="00765CD0"/>
    <w:rsid w:val="00765FDB"/>
    <w:rsid w:val="0076606E"/>
    <w:rsid w:val="0076628A"/>
    <w:rsid w:val="007665E0"/>
    <w:rsid w:val="00767236"/>
    <w:rsid w:val="007672C3"/>
    <w:rsid w:val="0076747F"/>
    <w:rsid w:val="007676E8"/>
    <w:rsid w:val="00767F5D"/>
    <w:rsid w:val="0077148E"/>
    <w:rsid w:val="00771AA7"/>
    <w:rsid w:val="00773DBE"/>
    <w:rsid w:val="00773DEE"/>
    <w:rsid w:val="00774248"/>
    <w:rsid w:val="00774781"/>
    <w:rsid w:val="00774BCF"/>
    <w:rsid w:val="00775659"/>
    <w:rsid w:val="00775B87"/>
    <w:rsid w:val="007766CF"/>
    <w:rsid w:val="00776FB3"/>
    <w:rsid w:val="00777E9A"/>
    <w:rsid w:val="00781CAE"/>
    <w:rsid w:val="00782723"/>
    <w:rsid w:val="0078296B"/>
    <w:rsid w:val="00782CCE"/>
    <w:rsid w:val="0078393C"/>
    <w:rsid w:val="00783BB9"/>
    <w:rsid w:val="00783EB8"/>
    <w:rsid w:val="00784544"/>
    <w:rsid w:val="00784D26"/>
    <w:rsid w:val="00785A4C"/>
    <w:rsid w:val="0078671A"/>
    <w:rsid w:val="00787489"/>
    <w:rsid w:val="007877BC"/>
    <w:rsid w:val="007879CC"/>
    <w:rsid w:val="00790866"/>
    <w:rsid w:val="007908C5"/>
    <w:rsid w:val="007908C9"/>
    <w:rsid w:val="00791747"/>
    <w:rsid w:val="0079196B"/>
    <w:rsid w:val="00792D73"/>
    <w:rsid w:val="00793530"/>
    <w:rsid w:val="00793C30"/>
    <w:rsid w:val="00793ECC"/>
    <w:rsid w:val="007943F9"/>
    <w:rsid w:val="007944BC"/>
    <w:rsid w:val="007965A2"/>
    <w:rsid w:val="007A009C"/>
    <w:rsid w:val="007A061F"/>
    <w:rsid w:val="007A1047"/>
    <w:rsid w:val="007A14F1"/>
    <w:rsid w:val="007A1BEB"/>
    <w:rsid w:val="007A1C9E"/>
    <w:rsid w:val="007A2231"/>
    <w:rsid w:val="007A2591"/>
    <w:rsid w:val="007A32A1"/>
    <w:rsid w:val="007A341F"/>
    <w:rsid w:val="007A4B52"/>
    <w:rsid w:val="007A5927"/>
    <w:rsid w:val="007A5B2F"/>
    <w:rsid w:val="007A5D36"/>
    <w:rsid w:val="007A68A1"/>
    <w:rsid w:val="007A6F7D"/>
    <w:rsid w:val="007A7138"/>
    <w:rsid w:val="007A769C"/>
    <w:rsid w:val="007A77F8"/>
    <w:rsid w:val="007A783B"/>
    <w:rsid w:val="007A7FE3"/>
    <w:rsid w:val="007B114C"/>
    <w:rsid w:val="007B1E9D"/>
    <w:rsid w:val="007B33BA"/>
    <w:rsid w:val="007B3B7B"/>
    <w:rsid w:val="007B3E9F"/>
    <w:rsid w:val="007B538B"/>
    <w:rsid w:val="007B5B0C"/>
    <w:rsid w:val="007B66E2"/>
    <w:rsid w:val="007B7DD3"/>
    <w:rsid w:val="007C0B67"/>
    <w:rsid w:val="007C1AE7"/>
    <w:rsid w:val="007C1BB5"/>
    <w:rsid w:val="007C3E09"/>
    <w:rsid w:val="007C3E4F"/>
    <w:rsid w:val="007C471F"/>
    <w:rsid w:val="007C4901"/>
    <w:rsid w:val="007C4CF6"/>
    <w:rsid w:val="007C6C91"/>
    <w:rsid w:val="007C7B9D"/>
    <w:rsid w:val="007C7E27"/>
    <w:rsid w:val="007D0DA4"/>
    <w:rsid w:val="007D16B8"/>
    <w:rsid w:val="007D2D9D"/>
    <w:rsid w:val="007D3103"/>
    <w:rsid w:val="007D3B7E"/>
    <w:rsid w:val="007D4CC8"/>
    <w:rsid w:val="007D5DEF"/>
    <w:rsid w:val="007D608B"/>
    <w:rsid w:val="007D61A5"/>
    <w:rsid w:val="007D63F6"/>
    <w:rsid w:val="007E0043"/>
    <w:rsid w:val="007E015B"/>
    <w:rsid w:val="007E0E9D"/>
    <w:rsid w:val="007E1925"/>
    <w:rsid w:val="007E212E"/>
    <w:rsid w:val="007E24B6"/>
    <w:rsid w:val="007E34FA"/>
    <w:rsid w:val="007E4A9C"/>
    <w:rsid w:val="007E52CD"/>
    <w:rsid w:val="007E56E3"/>
    <w:rsid w:val="007E63FD"/>
    <w:rsid w:val="007E6BFF"/>
    <w:rsid w:val="007E71C6"/>
    <w:rsid w:val="007F0C44"/>
    <w:rsid w:val="007F22E3"/>
    <w:rsid w:val="007F28AA"/>
    <w:rsid w:val="007F2DE0"/>
    <w:rsid w:val="007F31D2"/>
    <w:rsid w:val="007F3790"/>
    <w:rsid w:val="007F406A"/>
    <w:rsid w:val="007F4E7A"/>
    <w:rsid w:val="007F5302"/>
    <w:rsid w:val="007F5C2A"/>
    <w:rsid w:val="007F701F"/>
    <w:rsid w:val="0080009F"/>
    <w:rsid w:val="00800E4B"/>
    <w:rsid w:val="00801590"/>
    <w:rsid w:val="0080171A"/>
    <w:rsid w:val="00802234"/>
    <w:rsid w:val="00802C93"/>
    <w:rsid w:val="0080352B"/>
    <w:rsid w:val="008052C7"/>
    <w:rsid w:val="008100C7"/>
    <w:rsid w:val="008101F0"/>
    <w:rsid w:val="00810E6A"/>
    <w:rsid w:val="0081102A"/>
    <w:rsid w:val="00811FA9"/>
    <w:rsid w:val="00812754"/>
    <w:rsid w:val="00812C0F"/>
    <w:rsid w:val="00812D89"/>
    <w:rsid w:val="0081374E"/>
    <w:rsid w:val="00813A57"/>
    <w:rsid w:val="00813C15"/>
    <w:rsid w:val="008147B4"/>
    <w:rsid w:val="00814BC9"/>
    <w:rsid w:val="008150CD"/>
    <w:rsid w:val="00815161"/>
    <w:rsid w:val="00815F20"/>
    <w:rsid w:val="0081689B"/>
    <w:rsid w:val="00816DE0"/>
    <w:rsid w:val="00816EF7"/>
    <w:rsid w:val="0081707B"/>
    <w:rsid w:val="00817E2A"/>
    <w:rsid w:val="00820ABA"/>
    <w:rsid w:val="008227D4"/>
    <w:rsid w:val="0082295F"/>
    <w:rsid w:val="008229DC"/>
    <w:rsid w:val="00824D07"/>
    <w:rsid w:val="00824F18"/>
    <w:rsid w:val="00825F62"/>
    <w:rsid w:val="0082602A"/>
    <w:rsid w:val="008264FA"/>
    <w:rsid w:val="00826612"/>
    <w:rsid w:val="0082665E"/>
    <w:rsid w:val="00826E14"/>
    <w:rsid w:val="00827D3D"/>
    <w:rsid w:val="00827EF4"/>
    <w:rsid w:val="008303C1"/>
    <w:rsid w:val="008303F2"/>
    <w:rsid w:val="008304AD"/>
    <w:rsid w:val="008305A4"/>
    <w:rsid w:val="00830DA5"/>
    <w:rsid w:val="00830DF0"/>
    <w:rsid w:val="00830F56"/>
    <w:rsid w:val="00831D32"/>
    <w:rsid w:val="00832250"/>
    <w:rsid w:val="00832E35"/>
    <w:rsid w:val="008339CB"/>
    <w:rsid w:val="00833ECB"/>
    <w:rsid w:val="00834584"/>
    <w:rsid w:val="008346FD"/>
    <w:rsid w:val="00834A8D"/>
    <w:rsid w:val="00834C25"/>
    <w:rsid w:val="00835D8B"/>
    <w:rsid w:val="00836216"/>
    <w:rsid w:val="00836B97"/>
    <w:rsid w:val="008375E6"/>
    <w:rsid w:val="00840080"/>
    <w:rsid w:val="00840BDC"/>
    <w:rsid w:val="008414B7"/>
    <w:rsid w:val="00841993"/>
    <w:rsid w:val="00841C1A"/>
    <w:rsid w:val="00841D2B"/>
    <w:rsid w:val="00842353"/>
    <w:rsid w:val="00843029"/>
    <w:rsid w:val="00843E06"/>
    <w:rsid w:val="0084461E"/>
    <w:rsid w:val="008448A2"/>
    <w:rsid w:val="00844D4A"/>
    <w:rsid w:val="00846F12"/>
    <w:rsid w:val="00847FB6"/>
    <w:rsid w:val="008500B1"/>
    <w:rsid w:val="008503F8"/>
    <w:rsid w:val="00850B09"/>
    <w:rsid w:val="00851529"/>
    <w:rsid w:val="008515B6"/>
    <w:rsid w:val="0085219C"/>
    <w:rsid w:val="008523A3"/>
    <w:rsid w:val="0085320F"/>
    <w:rsid w:val="00853438"/>
    <w:rsid w:val="00853C02"/>
    <w:rsid w:val="00853DCF"/>
    <w:rsid w:val="00854677"/>
    <w:rsid w:val="008547DB"/>
    <w:rsid w:val="00855407"/>
    <w:rsid w:val="00855428"/>
    <w:rsid w:val="00855F03"/>
    <w:rsid w:val="008567E8"/>
    <w:rsid w:val="00856867"/>
    <w:rsid w:val="00856F7D"/>
    <w:rsid w:val="008572B3"/>
    <w:rsid w:val="00857AC1"/>
    <w:rsid w:val="00860934"/>
    <w:rsid w:val="00861724"/>
    <w:rsid w:val="00861923"/>
    <w:rsid w:val="00861A1D"/>
    <w:rsid w:val="0086232B"/>
    <w:rsid w:val="00862505"/>
    <w:rsid w:val="008627D3"/>
    <w:rsid w:val="00862C0A"/>
    <w:rsid w:val="008633A2"/>
    <w:rsid w:val="0086427C"/>
    <w:rsid w:val="0086493C"/>
    <w:rsid w:val="00864CE9"/>
    <w:rsid w:val="00865076"/>
    <w:rsid w:val="00865249"/>
    <w:rsid w:val="0086638F"/>
    <w:rsid w:val="008667DF"/>
    <w:rsid w:val="00867840"/>
    <w:rsid w:val="00867DCC"/>
    <w:rsid w:val="00867F88"/>
    <w:rsid w:val="00870031"/>
    <w:rsid w:val="0087225B"/>
    <w:rsid w:val="00874291"/>
    <w:rsid w:val="0087475E"/>
    <w:rsid w:val="00874C05"/>
    <w:rsid w:val="008754D8"/>
    <w:rsid w:val="00876875"/>
    <w:rsid w:val="00876AD1"/>
    <w:rsid w:val="00877A5C"/>
    <w:rsid w:val="00877AD3"/>
    <w:rsid w:val="00877DE4"/>
    <w:rsid w:val="0088036D"/>
    <w:rsid w:val="008804F2"/>
    <w:rsid w:val="00880915"/>
    <w:rsid w:val="00882024"/>
    <w:rsid w:val="008822D6"/>
    <w:rsid w:val="008823E6"/>
    <w:rsid w:val="00882492"/>
    <w:rsid w:val="00882897"/>
    <w:rsid w:val="00882A26"/>
    <w:rsid w:val="00883444"/>
    <w:rsid w:val="00883949"/>
    <w:rsid w:val="00883A29"/>
    <w:rsid w:val="0088458A"/>
    <w:rsid w:val="00884979"/>
    <w:rsid w:val="00886F38"/>
    <w:rsid w:val="0088720C"/>
    <w:rsid w:val="0089000F"/>
    <w:rsid w:val="00890F30"/>
    <w:rsid w:val="008912FE"/>
    <w:rsid w:val="00891993"/>
    <w:rsid w:val="00891C23"/>
    <w:rsid w:val="00892392"/>
    <w:rsid w:val="00893A07"/>
    <w:rsid w:val="008952EF"/>
    <w:rsid w:val="00895400"/>
    <w:rsid w:val="00895B84"/>
    <w:rsid w:val="00895C1C"/>
    <w:rsid w:val="00897497"/>
    <w:rsid w:val="0089767D"/>
    <w:rsid w:val="0089786F"/>
    <w:rsid w:val="00897BF9"/>
    <w:rsid w:val="008A2443"/>
    <w:rsid w:val="008A32D2"/>
    <w:rsid w:val="008A33CA"/>
    <w:rsid w:val="008A3B4F"/>
    <w:rsid w:val="008A41A2"/>
    <w:rsid w:val="008A4B35"/>
    <w:rsid w:val="008A6086"/>
    <w:rsid w:val="008A7992"/>
    <w:rsid w:val="008A7DB4"/>
    <w:rsid w:val="008B0D8F"/>
    <w:rsid w:val="008B11E4"/>
    <w:rsid w:val="008B18F2"/>
    <w:rsid w:val="008B1B76"/>
    <w:rsid w:val="008B1C8C"/>
    <w:rsid w:val="008B2703"/>
    <w:rsid w:val="008B363A"/>
    <w:rsid w:val="008B4B0B"/>
    <w:rsid w:val="008B4E63"/>
    <w:rsid w:val="008B559D"/>
    <w:rsid w:val="008B6761"/>
    <w:rsid w:val="008B6A77"/>
    <w:rsid w:val="008B7FFA"/>
    <w:rsid w:val="008C0050"/>
    <w:rsid w:val="008C082E"/>
    <w:rsid w:val="008C0CBE"/>
    <w:rsid w:val="008C1583"/>
    <w:rsid w:val="008C283D"/>
    <w:rsid w:val="008C3628"/>
    <w:rsid w:val="008C4129"/>
    <w:rsid w:val="008C519D"/>
    <w:rsid w:val="008C5C79"/>
    <w:rsid w:val="008D1CCE"/>
    <w:rsid w:val="008D2563"/>
    <w:rsid w:val="008D28EA"/>
    <w:rsid w:val="008D3059"/>
    <w:rsid w:val="008D3281"/>
    <w:rsid w:val="008D3323"/>
    <w:rsid w:val="008D392C"/>
    <w:rsid w:val="008D4538"/>
    <w:rsid w:val="008D4F55"/>
    <w:rsid w:val="008D588D"/>
    <w:rsid w:val="008D6210"/>
    <w:rsid w:val="008D640E"/>
    <w:rsid w:val="008D6772"/>
    <w:rsid w:val="008D6BC7"/>
    <w:rsid w:val="008D747A"/>
    <w:rsid w:val="008E0EFF"/>
    <w:rsid w:val="008E1A2B"/>
    <w:rsid w:val="008E1EBD"/>
    <w:rsid w:val="008E3C26"/>
    <w:rsid w:val="008E47AC"/>
    <w:rsid w:val="008E570A"/>
    <w:rsid w:val="008E5731"/>
    <w:rsid w:val="008E6279"/>
    <w:rsid w:val="008E6F26"/>
    <w:rsid w:val="008E7682"/>
    <w:rsid w:val="008E77D0"/>
    <w:rsid w:val="008F05C4"/>
    <w:rsid w:val="008F07D4"/>
    <w:rsid w:val="008F13EC"/>
    <w:rsid w:val="008F28B7"/>
    <w:rsid w:val="008F2F71"/>
    <w:rsid w:val="008F474F"/>
    <w:rsid w:val="008F4C48"/>
    <w:rsid w:val="008F56F4"/>
    <w:rsid w:val="008F5831"/>
    <w:rsid w:val="008F66B4"/>
    <w:rsid w:val="008F7808"/>
    <w:rsid w:val="008F781E"/>
    <w:rsid w:val="008F78DC"/>
    <w:rsid w:val="00900B97"/>
    <w:rsid w:val="009010D2"/>
    <w:rsid w:val="009015D7"/>
    <w:rsid w:val="00902659"/>
    <w:rsid w:val="009028DA"/>
    <w:rsid w:val="00902FBB"/>
    <w:rsid w:val="00905305"/>
    <w:rsid w:val="0090668D"/>
    <w:rsid w:val="00906B11"/>
    <w:rsid w:val="0090788E"/>
    <w:rsid w:val="009107B6"/>
    <w:rsid w:val="00910946"/>
    <w:rsid w:val="0091202B"/>
    <w:rsid w:val="00912373"/>
    <w:rsid w:val="00912CD6"/>
    <w:rsid w:val="00912CFD"/>
    <w:rsid w:val="0091580F"/>
    <w:rsid w:val="00915EA3"/>
    <w:rsid w:val="00916AA4"/>
    <w:rsid w:val="00916BAD"/>
    <w:rsid w:val="00917335"/>
    <w:rsid w:val="00917E3F"/>
    <w:rsid w:val="00917F32"/>
    <w:rsid w:val="00921211"/>
    <w:rsid w:val="009216B3"/>
    <w:rsid w:val="00921AA0"/>
    <w:rsid w:val="00921CCF"/>
    <w:rsid w:val="00922848"/>
    <w:rsid w:val="009235EF"/>
    <w:rsid w:val="00923B64"/>
    <w:rsid w:val="00923CA6"/>
    <w:rsid w:val="00923CC1"/>
    <w:rsid w:val="00924089"/>
    <w:rsid w:val="009249BD"/>
    <w:rsid w:val="00924C5F"/>
    <w:rsid w:val="00925560"/>
    <w:rsid w:val="00925928"/>
    <w:rsid w:val="00926D0A"/>
    <w:rsid w:val="009311E3"/>
    <w:rsid w:val="00931BB5"/>
    <w:rsid w:val="0093282D"/>
    <w:rsid w:val="009334E7"/>
    <w:rsid w:val="0093361E"/>
    <w:rsid w:val="0093372D"/>
    <w:rsid w:val="00934D3C"/>
    <w:rsid w:val="00935252"/>
    <w:rsid w:val="00935A2B"/>
    <w:rsid w:val="00935F34"/>
    <w:rsid w:val="00936E3A"/>
    <w:rsid w:val="00936FC2"/>
    <w:rsid w:val="009370B4"/>
    <w:rsid w:val="00940BA7"/>
    <w:rsid w:val="00940C92"/>
    <w:rsid w:val="00942222"/>
    <w:rsid w:val="00942831"/>
    <w:rsid w:val="00944218"/>
    <w:rsid w:val="009445DF"/>
    <w:rsid w:val="00944A2D"/>
    <w:rsid w:val="009459C1"/>
    <w:rsid w:val="009461CD"/>
    <w:rsid w:val="00946840"/>
    <w:rsid w:val="009479B9"/>
    <w:rsid w:val="00947F30"/>
    <w:rsid w:val="00947FD7"/>
    <w:rsid w:val="00951883"/>
    <w:rsid w:val="009518F7"/>
    <w:rsid w:val="00951DFC"/>
    <w:rsid w:val="00952C24"/>
    <w:rsid w:val="00952FAD"/>
    <w:rsid w:val="0095376B"/>
    <w:rsid w:val="00953837"/>
    <w:rsid w:val="009539A1"/>
    <w:rsid w:val="00953A12"/>
    <w:rsid w:val="00953A98"/>
    <w:rsid w:val="00953E57"/>
    <w:rsid w:val="00955677"/>
    <w:rsid w:val="00955777"/>
    <w:rsid w:val="00956955"/>
    <w:rsid w:val="0095705B"/>
    <w:rsid w:val="00957A90"/>
    <w:rsid w:val="0096083B"/>
    <w:rsid w:val="00960D8F"/>
    <w:rsid w:val="00961888"/>
    <w:rsid w:val="00961D41"/>
    <w:rsid w:val="00962372"/>
    <w:rsid w:val="00962557"/>
    <w:rsid w:val="00962EBD"/>
    <w:rsid w:val="00964685"/>
    <w:rsid w:val="009651E3"/>
    <w:rsid w:val="00965C62"/>
    <w:rsid w:val="00965CB3"/>
    <w:rsid w:val="0096714F"/>
    <w:rsid w:val="00970429"/>
    <w:rsid w:val="0097104F"/>
    <w:rsid w:val="009717F2"/>
    <w:rsid w:val="009747D5"/>
    <w:rsid w:val="009762A1"/>
    <w:rsid w:val="00976CF0"/>
    <w:rsid w:val="009774D0"/>
    <w:rsid w:val="00977753"/>
    <w:rsid w:val="009819B7"/>
    <w:rsid w:val="00981F3D"/>
    <w:rsid w:val="009825FA"/>
    <w:rsid w:val="00982777"/>
    <w:rsid w:val="00983D15"/>
    <w:rsid w:val="0098506E"/>
    <w:rsid w:val="00985CFE"/>
    <w:rsid w:val="00985E29"/>
    <w:rsid w:val="009865D3"/>
    <w:rsid w:val="009871D9"/>
    <w:rsid w:val="00987515"/>
    <w:rsid w:val="00991452"/>
    <w:rsid w:val="00991AEA"/>
    <w:rsid w:val="0099331F"/>
    <w:rsid w:val="009939C8"/>
    <w:rsid w:val="00995B6D"/>
    <w:rsid w:val="00996C5F"/>
    <w:rsid w:val="009973F8"/>
    <w:rsid w:val="00997646"/>
    <w:rsid w:val="009978C1"/>
    <w:rsid w:val="00997D9E"/>
    <w:rsid w:val="009A12D6"/>
    <w:rsid w:val="009A1628"/>
    <w:rsid w:val="009A1F0C"/>
    <w:rsid w:val="009A1F5F"/>
    <w:rsid w:val="009A314F"/>
    <w:rsid w:val="009A320B"/>
    <w:rsid w:val="009A3F1B"/>
    <w:rsid w:val="009A466E"/>
    <w:rsid w:val="009A54BB"/>
    <w:rsid w:val="009A563C"/>
    <w:rsid w:val="009A7205"/>
    <w:rsid w:val="009A7515"/>
    <w:rsid w:val="009A7891"/>
    <w:rsid w:val="009B072B"/>
    <w:rsid w:val="009B0CD4"/>
    <w:rsid w:val="009B1F42"/>
    <w:rsid w:val="009B1FAC"/>
    <w:rsid w:val="009B2458"/>
    <w:rsid w:val="009B2B83"/>
    <w:rsid w:val="009B38FA"/>
    <w:rsid w:val="009B4C59"/>
    <w:rsid w:val="009B4C71"/>
    <w:rsid w:val="009B5375"/>
    <w:rsid w:val="009B55DA"/>
    <w:rsid w:val="009B57A7"/>
    <w:rsid w:val="009B5FF1"/>
    <w:rsid w:val="009B62B2"/>
    <w:rsid w:val="009B6909"/>
    <w:rsid w:val="009C094B"/>
    <w:rsid w:val="009C0BE9"/>
    <w:rsid w:val="009C0C6D"/>
    <w:rsid w:val="009C2368"/>
    <w:rsid w:val="009C34A9"/>
    <w:rsid w:val="009C385D"/>
    <w:rsid w:val="009C3F77"/>
    <w:rsid w:val="009C4424"/>
    <w:rsid w:val="009C4907"/>
    <w:rsid w:val="009C6280"/>
    <w:rsid w:val="009C6CCE"/>
    <w:rsid w:val="009D1A61"/>
    <w:rsid w:val="009D1A82"/>
    <w:rsid w:val="009D1AE9"/>
    <w:rsid w:val="009D3283"/>
    <w:rsid w:val="009D3634"/>
    <w:rsid w:val="009D4BC6"/>
    <w:rsid w:val="009D617B"/>
    <w:rsid w:val="009E0768"/>
    <w:rsid w:val="009E0C21"/>
    <w:rsid w:val="009E19BE"/>
    <w:rsid w:val="009E1F00"/>
    <w:rsid w:val="009E22EE"/>
    <w:rsid w:val="009E2F5F"/>
    <w:rsid w:val="009E3B25"/>
    <w:rsid w:val="009E4A07"/>
    <w:rsid w:val="009E5810"/>
    <w:rsid w:val="009E61E7"/>
    <w:rsid w:val="009E6ECA"/>
    <w:rsid w:val="009E7974"/>
    <w:rsid w:val="009F02B2"/>
    <w:rsid w:val="009F10BB"/>
    <w:rsid w:val="009F111A"/>
    <w:rsid w:val="009F1D9C"/>
    <w:rsid w:val="009F2BAC"/>
    <w:rsid w:val="009F396B"/>
    <w:rsid w:val="009F4086"/>
    <w:rsid w:val="009F4BDF"/>
    <w:rsid w:val="009F4C52"/>
    <w:rsid w:val="009F4DB2"/>
    <w:rsid w:val="009F4F86"/>
    <w:rsid w:val="009F524B"/>
    <w:rsid w:val="009F5E7B"/>
    <w:rsid w:val="009F6AEC"/>
    <w:rsid w:val="009F77A8"/>
    <w:rsid w:val="00A00046"/>
    <w:rsid w:val="00A0060F"/>
    <w:rsid w:val="00A0167C"/>
    <w:rsid w:val="00A01F07"/>
    <w:rsid w:val="00A0364D"/>
    <w:rsid w:val="00A03A72"/>
    <w:rsid w:val="00A03B0E"/>
    <w:rsid w:val="00A04187"/>
    <w:rsid w:val="00A04CDF"/>
    <w:rsid w:val="00A05B17"/>
    <w:rsid w:val="00A0796F"/>
    <w:rsid w:val="00A07C8C"/>
    <w:rsid w:val="00A10851"/>
    <w:rsid w:val="00A10C55"/>
    <w:rsid w:val="00A1126F"/>
    <w:rsid w:val="00A11F1F"/>
    <w:rsid w:val="00A120B6"/>
    <w:rsid w:val="00A123F2"/>
    <w:rsid w:val="00A13212"/>
    <w:rsid w:val="00A1332A"/>
    <w:rsid w:val="00A13814"/>
    <w:rsid w:val="00A13884"/>
    <w:rsid w:val="00A14962"/>
    <w:rsid w:val="00A14A3B"/>
    <w:rsid w:val="00A14D96"/>
    <w:rsid w:val="00A1610C"/>
    <w:rsid w:val="00A16450"/>
    <w:rsid w:val="00A16511"/>
    <w:rsid w:val="00A166FF"/>
    <w:rsid w:val="00A167D7"/>
    <w:rsid w:val="00A2058A"/>
    <w:rsid w:val="00A20859"/>
    <w:rsid w:val="00A2102A"/>
    <w:rsid w:val="00A210B8"/>
    <w:rsid w:val="00A21106"/>
    <w:rsid w:val="00A212D0"/>
    <w:rsid w:val="00A2160E"/>
    <w:rsid w:val="00A22835"/>
    <w:rsid w:val="00A22DBA"/>
    <w:rsid w:val="00A23520"/>
    <w:rsid w:val="00A25492"/>
    <w:rsid w:val="00A268B1"/>
    <w:rsid w:val="00A26962"/>
    <w:rsid w:val="00A26A50"/>
    <w:rsid w:val="00A26B05"/>
    <w:rsid w:val="00A26C92"/>
    <w:rsid w:val="00A278B5"/>
    <w:rsid w:val="00A27AC2"/>
    <w:rsid w:val="00A27FFD"/>
    <w:rsid w:val="00A30BF5"/>
    <w:rsid w:val="00A31C72"/>
    <w:rsid w:val="00A321F0"/>
    <w:rsid w:val="00A323BF"/>
    <w:rsid w:val="00A333AB"/>
    <w:rsid w:val="00A33731"/>
    <w:rsid w:val="00A33D37"/>
    <w:rsid w:val="00A34504"/>
    <w:rsid w:val="00A34DB5"/>
    <w:rsid w:val="00A3589D"/>
    <w:rsid w:val="00A35B8B"/>
    <w:rsid w:val="00A369C3"/>
    <w:rsid w:val="00A36CF4"/>
    <w:rsid w:val="00A376FC"/>
    <w:rsid w:val="00A37769"/>
    <w:rsid w:val="00A401AC"/>
    <w:rsid w:val="00A4056F"/>
    <w:rsid w:val="00A41712"/>
    <w:rsid w:val="00A4179A"/>
    <w:rsid w:val="00A41E2A"/>
    <w:rsid w:val="00A42142"/>
    <w:rsid w:val="00A42F1B"/>
    <w:rsid w:val="00A433BF"/>
    <w:rsid w:val="00A43E3D"/>
    <w:rsid w:val="00A448B7"/>
    <w:rsid w:val="00A45093"/>
    <w:rsid w:val="00A4515C"/>
    <w:rsid w:val="00A452BC"/>
    <w:rsid w:val="00A45FF0"/>
    <w:rsid w:val="00A468F0"/>
    <w:rsid w:val="00A47A6A"/>
    <w:rsid w:val="00A506AA"/>
    <w:rsid w:val="00A50983"/>
    <w:rsid w:val="00A51240"/>
    <w:rsid w:val="00A51661"/>
    <w:rsid w:val="00A5357D"/>
    <w:rsid w:val="00A53835"/>
    <w:rsid w:val="00A5425A"/>
    <w:rsid w:val="00A546DC"/>
    <w:rsid w:val="00A553C2"/>
    <w:rsid w:val="00A55C8B"/>
    <w:rsid w:val="00A564A7"/>
    <w:rsid w:val="00A60F0C"/>
    <w:rsid w:val="00A612E2"/>
    <w:rsid w:val="00A6157C"/>
    <w:rsid w:val="00A61786"/>
    <w:rsid w:val="00A61D2D"/>
    <w:rsid w:val="00A623C8"/>
    <w:rsid w:val="00A62CEC"/>
    <w:rsid w:val="00A62E89"/>
    <w:rsid w:val="00A63027"/>
    <w:rsid w:val="00A64D8D"/>
    <w:rsid w:val="00A64EC2"/>
    <w:rsid w:val="00A663EA"/>
    <w:rsid w:val="00A66889"/>
    <w:rsid w:val="00A70535"/>
    <w:rsid w:val="00A7102A"/>
    <w:rsid w:val="00A73092"/>
    <w:rsid w:val="00A7334C"/>
    <w:rsid w:val="00A73C9E"/>
    <w:rsid w:val="00A7401B"/>
    <w:rsid w:val="00A74167"/>
    <w:rsid w:val="00A753EA"/>
    <w:rsid w:val="00A75493"/>
    <w:rsid w:val="00A761CF"/>
    <w:rsid w:val="00A77C6D"/>
    <w:rsid w:val="00A77DD3"/>
    <w:rsid w:val="00A80605"/>
    <w:rsid w:val="00A8069C"/>
    <w:rsid w:val="00A80803"/>
    <w:rsid w:val="00A8138B"/>
    <w:rsid w:val="00A816AC"/>
    <w:rsid w:val="00A83203"/>
    <w:rsid w:val="00A83589"/>
    <w:rsid w:val="00A83B0B"/>
    <w:rsid w:val="00A84934"/>
    <w:rsid w:val="00A85363"/>
    <w:rsid w:val="00A86065"/>
    <w:rsid w:val="00A8659F"/>
    <w:rsid w:val="00A86AAE"/>
    <w:rsid w:val="00A873B7"/>
    <w:rsid w:val="00A876FA"/>
    <w:rsid w:val="00A87AB9"/>
    <w:rsid w:val="00A87C3D"/>
    <w:rsid w:val="00A903BD"/>
    <w:rsid w:val="00A906EA"/>
    <w:rsid w:val="00A91B2C"/>
    <w:rsid w:val="00A91DFC"/>
    <w:rsid w:val="00A91F46"/>
    <w:rsid w:val="00A92463"/>
    <w:rsid w:val="00A930D3"/>
    <w:rsid w:val="00A9316A"/>
    <w:rsid w:val="00A93E4B"/>
    <w:rsid w:val="00A942F6"/>
    <w:rsid w:val="00A9513B"/>
    <w:rsid w:val="00A95CC8"/>
    <w:rsid w:val="00A95E91"/>
    <w:rsid w:val="00A97440"/>
    <w:rsid w:val="00A977C8"/>
    <w:rsid w:val="00AA05D5"/>
    <w:rsid w:val="00AA13CD"/>
    <w:rsid w:val="00AA1622"/>
    <w:rsid w:val="00AA2618"/>
    <w:rsid w:val="00AA321A"/>
    <w:rsid w:val="00AA32EB"/>
    <w:rsid w:val="00AA3FFA"/>
    <w:rsid w:val="00AA518A"/>
    <w:rsid w:val="00AA7049"/>
    <w:rsid w:val="00AA778F"/>
    <w:rsid w:val="00AA7846"/>
    <w:rsid w:val="00AA7A8D"/>
    <w:rsid w:val="00AB0507"/>
    <w:rsid w:val="00AB21DE"/>
    <w:rsid w:val="00AB2331"/>
    <w:rsid w:val="00AB250B"/>
    <w:rsid w:val="00AB2EB2"/>
    <w:rsid w:val="00AB3116"/>
    <w:rsid w:val="00AB3917"/>
    <w:rsid w:val="00AB3E58"/>
    <w:rsid w:val="00AB4466"/>
    <w:rsid w:val="00AB48A9"/>
    <w:rsid w:val="00AB5602"/>
    <w:rsid w:val="00AC00EE"/>
    <w:rsid w:val="00AC0480"/>
    <w:rsid w:val="00AC1C2D"/>
    <w:rsid w:val="00AC21A3"/>
    <w:rsid w:val="00AC2525"/>
    <w:rsid w:val="00AC305C"/>
    <w:rsid w:val="00AC3D33"/>
    <w:rsid w:val="00AC3FE3"/>
    <w:rsid w:val="00AC4C42"/>
    <w:rsid w:val="00AC51A3"/>
    <w:rsid w:val="00AC581B"/>
    <w:rsid w:val="00AC601E"/>
    <w:rsid w:val="00AC7448"/>
    <w:rsid w:val="00AC7B03"/>
    <w:rsid w:val="00AD062C"/>
    <w:rsid w:val="00AD1349"/>
    <w:rsid w:val="00AD2DC0"/>
    <w:rsid w:val="00AD39C7"/>
    <w:rsid w:val="00AD3C3E"/>
    <w:rsid w:val="00AD3EFC"/>
    <w:rsid w:val="00AD4AC9"/>
    <w:rsid w:val="00AD4DA4"/>
    <w:rsid w:val="00AD5A18"/>
    <w:rsid w:val="00AD5A37"/>
    <w:rsid w:val="00AD7546"/>
    <w:rsid w:val="00AE008F"/>
    <w:rsid w:val="00AE02B9"/>
    <w:rsid w:val="00AE11BD"/>
    <w:rsid w:val="00AE1439"/>
    <w:rsid w:val="00AE1748"/>
    <w:rsid w:val="00AE24A6"/>
    <w:rsid w:val="00AE3A9B"/>
    <w:rsid w:val="00AE466D"/>
    <w:rsid w:val="00AE4F32"/>
    <w:rsid w:val="00AE6859"/>
    <w:rsid w:val="00AE7200"/>
    <w:rsid w:val="00AE75D5"/>
    <w:rsid w:val="00AE76CB"/>
    <w:rsid w:val="00AE7D07"/>
    <w:rsid w:val="00AF24BE"/>
    <w:rsid w:val="00AF2635"/>
    <w:rsid w:val="00AF2E24"/>
    <w:rsid w:val="00AF3E4A"/>
    <w:rsid w:val="00AF49BE"/>
    <w:rsid w:val="00AF53F1"/>
    <w:rsid w:val="00AF595F"/>
    <w:rsid w:val="00AF675C"/>
    <w:rsid w:val="00AF71E7"/>
    <w:rsid w:val="00AF7284"/>
    <w:rsid w:val="00AF73FD"/>
    <w:rsid w:val="00B001E0"/>
    <w:rsid w:val="00B003CF"/>
    <w:rsid w:val="00B00BEC"/>
    <w:rsid w:val="00B01033"/>
    <w:rsid w:val="00B02212"/>
    <w:rsid w:val="00B02750"/>
    <w:rsid w:val="00B03442"/>
    <w:rsid w:val="00B03D32"/>
    <w:rsid w:val="00B042CB"/>
    <w:rsid w:val="00B04D5D"/>
    <w:rsid w:val="00B04EBB"/>
    <w:rsid w:val="00B0586A"/>
    <w:rsid w:val="00B05CAC"/>
    <w:rsid w:val="00B069F6"/>
    <w:rsid w:val="00B0759E"/>
    <w:rsid w:val="00B10F9F"/>
    <w:rsid w:val="00B11940"/>
    <w:rsid w:val="00B1253D"/>
    <w:rsid w:val="00B12D49"/>
    <w:rsid w:val="00B142BB"/>
    <w:rsid w:val="00B15F63"/>
    <w:rsid w:val="00B16AB2"/>
    <w:rsid w:val="00B17A14"/>
    <w:rsid w:val="00B212B9"/>
    <w:rsid w:val="00B2146E"/>
    <w:rsid w:val="00B21E7E"/>
    <w:rsid w:val="00B21FC8"/>
    <w:rsid w:val="00B230C3"/>
    <w:rsid w:val="00B2313C"/>
    <w:rsid w:val="00B24314"/>
    <w:rsid w:val="00B2547C"/>
    <w:rsid w:val="00B270AD"/>
    <w:rsid w:val="00B30542"/>
    <w:rsid w:val="00B3090F"/>
    <w:rsid w:val="00B30C5E"/>
    <w:rsid w:val="00B30CC2"/>
    <w:rsid w:val="00B31537"/>
    <w:rsid w:val="00B31954"/>
    <w:rsid w:val="00B31ABF"/>
    <w:rsid w:val="00B3271C"/>
    <w:rsid w:val="00B32EF2"/>
    <w:rsid w:val="00B33E5F"/>
    <w:rsid w:val="00B34C4F"/>
    <w:rsid w:val="00B35150"/>
    <w:rsid w:val="00B356F6"/>
    <w:rsid w:val="00B35A33"/>
    <w:rsid w:val="00B36E4E"/>
    <w:rsid w:val="00B41922"/>
    <w:rsid w:val="00B419BC"/>
    <w:rsid w:val="00B41CA8"/>
    <w:rsid w:val="00B41E20"/>
    <w:rsid w:val="00B421E6"/>
    <w:rsid w:val="00B424E7"/>
    <w:rsid w:val="00B4329B"/>
    <w:rsid w:val="00B43ADE"/>
    <w:rsid w:val="00B43FE2"/>
    <w:rsid w:val="00B44418"/>
    <w:rsid w:val="00B449E9"/>
    <w:rsid w:val="00B45326"/>
    <w:rsid w:val="00B45491"/>
    <w:rsid w:val="00B45BE3"/>
    <w:rsid w:val="00B45E49"/>
    <w:rsid w:val="00B46311"/>
    <w:rsid w:val="00B46C24"/>
    <w:rsid w:val="00B46C2C"/>
    <w:rsid w:val="00B47054"/>
    <w:rsid w:val="00B47285"/>
    <w:rsid w:val="00B47D72"/>
    <w:rsid w:val="00B503BF"/>
    <w:rsid w:val="00B50E4C"/>
    <w:rsid w:val="00B516F8"/>
    <w:rsid w:val="00B520F1"/>
    <w:rsid w:val="00B5212F"/>
    <w:rsid w:val="00B522FE"/>
    <w:rsid w:val="00B527EA"/>
    <w:rsid w:val="00B5324C"/>
    <w:rsid w:val="00B53715"/>
    <w:rsid w:val="00B538FA"/>
    <w:rsid w:val="00B545AD"/>
    <w:rsid w:val="00B5532F"/>
    <w:rsid w:val="00B56E09"/>
    <w:rsid w:val="00B60E03"/>
    <w:rsid w:val="00B610A5"/>
    <w:rsid w:val="00B633E6"/>
    <w:rsid w:val="00B640FC"/>
    <w:rsid w:val="00B64556"/>
    <w:rsid w:val="00B64A95"/>
    <w:rsid w:val="00B65348"/>
    <w:rsid w:val="00B65ADE"/>
    <w:rsid w:val="00B65EAC"/>
    <w:rsid w:val="00B67B32"/>
    <w:rsid w:val="00B67D80"/>
    <w:rsid w:val="00B70D87"/>
    <w:rsid w:val="00B7128D"/>
    <w:rsid w:val="00B73665"/>
    <w:rsid w:val="00B73793"/>
    <w:rsid w:val="00B73C34"/>
    <w:rsid w:val="00B73EF4"/>
    <w:rsid w:val="00B756A9"/>
    <w:rsid w:val="00B757B6"/>
    <w:rsid w:val="00B75B13"/>
    <w:rsid w:val="00B76659"/>
    <w:rsid w:val="00B773F7"/>
    <w:rsid w:val="00B777AA"/>
    <w:rsid w:val="00B80A35"/>
    <w:rsid w:val="00B80A48"/>
    <w:rsid w:val="00B81090"/>
    <w:rsid w:val="00B81824"/>
    <w:rsid w:val="00B818D4"/>
    <w:rsid w:val="00B82837"/>
    <w:rsid w:val="00B828ED"/>
    <w:rsid w:val="00B829ED"/>
    <w:rsid w:val="00B82C76"/>
    <w:rsid w:val="00B8398F"/>
    <w:rsid w:val="00B83D16"/>
    <w:rsid w:val="00B84A76"/>
    <w:rsid w:val="00B86830"/>
    <w:rsid w:val="00B86C30"/>
    <w:rsid w:val="00B9041F"/>
    <w:rsid w:val="00B9178F"/>
    <w:rsid w:val="00B91EB7"/>
    <w:rsid w:val="00B91FBC"/>
    <w:rsid w:val="00B91FFA"/>
    <w:rsid w:val="00B93148"/>
    <w:rsid w:val="00B933A6"/>
    <w:rsid w:val="00B9341A"/>
    <w:rsid w:val="00B9366D"/>
    <w:rsid w:val="00B9369E"/>
    <w:rsid w:val="00B94221"/>
    <w:rsid w:val="00B97128"/>
    <w:rsid w:val="00B9764E"/>
    <w:rsid w:val="00BA1A99"/>
    <w:rsid w:val="00BA24E8"/>
    <w:rsid w:val="00BA3542"/>
    <w:rsid w:val="00BA35C0"/>
    <w:rsid w:val="00BA4F25"/>
    <w:rsid w:val="00BA52A5"/>
    <w:rsid w:val="00BA52AF"/>
    <w:rsid w:val="00BA6363"/>
    <w:rsid w:val="00BA6CDC"/>
    <w:rsid w:val="00BA7DA2"/>
    <w:rsid w:val="00BB1641"/>
    <w:rsid w:val="00BB1F56"/>
    <w:rsid w:val="00BB29EF"/>
    <w:rsid w:val="00BB2A36"/>
    <w:rsid w:val="00BB2C34"/>
    <w:rsid w:val="00BB3EC8"/>
    <w:rsid w:val="00BB4421"/>
    <w:rsid w:val="00BB44D8"/>
    <w:rsid w:val="00BB50F2"/>
    <w:rsid w:val="00BB5350"/>
    <w:rsid w:val="00BB552E"/>
    <w:rsid w:val="00BB62FE"/>
    <w:rsid w:val="00BB746A"/>
    <w:rsid w:val="00BB7650"/>
    <w:rsid w:val="00BC1E7F"/>
    <w:rsid w:val="00BC253D"/>
    <w:rsid w:val="00BC2C1D"/>
    <w:rsid w:val="00BC2D64"/>
    <w:rsid w:val="00BC3041"/>
    <w:rsid w:val="00BC38F7"/>
    <w:rsid w:val="00BC393E"/>
    <w:rsid w:val="00BC41F4"/>
    <w:rsid w:val="00BC520D"/>
    <w:rsid w:val="00BC5443"/>
    <w:rsid w:val="00BC56FB"/>
    <w:rsid w:val="00BC5BEE"/>
    <w:rsid w:val="00BC5E7A"/>
    <w:rsid w:val="00BC5FB1"/>
    <w:rsid w:val="00BC7A92"/>
    <w:rsid w:val="00BD0082"/>
    <w:rsid w:val="00BD0E0F"/>
    <w:rsid w:val="00BD15C1"/>
    <w:rsid w:val="00BD345F"/>
    <w:rsid w:val="00BD3680"/>
    <w:rsid w:val="00BD3B53"/>
    <w:rsid w:val="00BD42C5"/>
    <w:rsid w:val="00BD4329"/>
    <w:rsid w:val="00BD4698"/>
    <w:rsid w:val="00BD47D5"/>
    <w:rsid w:val="00BD4889"/>
    <w:rsid w:val="00BD4FF9"/>
    <w:rsid w:val="00BD5C58"/>
    <w:rsid w:val="00BD5E7E"/>
    <w:rsid w:val="00BD6678"/>
    <w:rsid w:val="00BD71A1"/>
    <w:rsid w:val="00BD71F6"/>
    <w:rsid w:val="00BD7F7A"/>
    <w:rsid w:val="00BE037F"/>
    <w:rsid w:val="00BE0522"/>
    <w:rsid w:val="00BE0ED3"/>
    <w:rsid w:val="00BE0F60"/>
    <w:rsid w:val="00BE109F"/>
    <w:rsid w:val="00BE1D4A"/>
    <w:rsid w:val="00BE1E1B"/>
    <w:rsid w:val="00BE23E6"/>
    <w:rsid w:val="00BE2D70"/>
    <w:rsid w:val="00BE45B9"/>
    <w:rsid w:val="00BE4682"/>
    <w:rsid w:val="00BE4AA1"/>
    <w:rsid w:val="00BE57BB"/>
    <w:rsid w:val="00BE5C95"/>
    <w:rsid w:val="00BE5EF2"/>
    <w:rsid w:val="00BE615C"/>
    <w:rsid w:val="00BF07F7"/>
    <w:rsid w:val="00BF1DD0"/>
    <w:rsid w:val="00BF21BC"/>
    <w:rsid w:val="00BF39A8"/>
    <w:rsid w:val="00BF4152"/>
    <w:rsid w:val="00BF4CBA"/>
    <w:rsid w:val="00BF5280"/>
    <w:rsid w:val="00BF56F1"/>
    <w:rsid w:val="00BF6213"/>
    <w:rsid w:val="00BF6351"/>
    <w:rsid w:val="00BF6D6F"/>
    <w:rsid w:val="00BF7077"/>
    <w:rsid w:val="00BF70B5"/>
    <w:rsid w:val="00BF79E2"/>
    <w:rsid w:val="00BF7F07"/>
    <w:rsid w:val="00C00CE1"/>
    <w:rsid w:val="00C0336F"/>
    <w:rsid w:val="00C03866"/>
    <w:rsid w:val="00C041A3"/>
    <w:rsid w:val="00C044E5"/>
    <w:rsid w:val="00C05032"/>
    <w:rsid w:val="00C05D9C"/>
    <w:rsid w:val="00C06223"/>
    <w:rsid w:val="00C0660A"/>
    <w:rsid w:val="00C078EA"/>
    <w:rsid w:val="00C07954"/>
    <w:rsid w:val="00C079E1"/>
    <w:rsid w:val="00C07AED"/>
    <w:rsid w:val="00C10481"/>
    <w:rsid w:val="00C10946"/>
    <w:rsid w:val="00C10D2B"/>
    <w:rsid w:val="00C10F2F"/>
    <w:rsid w:val="00C1217A"/>
    <w:rsid w:val="00C12544"/>
    <w:rsid w:val="00C1290E"/>
    <w:rsid w:val="00C14BCD"/>
    <w:rsid w:val="00C14CA4"/>
    <w:rsid w:val="00C14CE3"/>
    <w:rsid w:val="00C14EDF"/>
    <w:rsid w:val="00C155FA"/>
    <w:rsid w:val="00C15600"/>
    <w:rsid w:val="00C1564F"/>
    <w:rsid w:val="00C158DB"/>
    <w:rsid w:val="00C16399"/>
    <w:rsid w:val="00C169E4"/>
    <w:rsid w:val="00C16F2B"/>
    <w:rsid w:val="00C17611"/>
    <w:rsid w:val="00C17638"/>
    <w:rsid w:val="00C1798D"/>
    <w:rsid w:val="00C20267"/>
    <w:rsid w:val="00C20566"/>
    <w:rsid w:val="00C209C0"/>
    <w:rsid w:val="00C20F67"/>
    <w:rsid w:val="00C21477"/>
    <w:rsid w:val="00C216CB"/>
    <w:rsid w:val="00C21B44"/>
    <w:rsid w:val="00C22510"/>
    <w:rsid w:val="00C22682"/>
    <w:rsid w:val="00C22CAE"/>
    <w:rsid w:val="00C23144"/>
    <w:rsid w:val="00C24109"/>
    <w:rsid w:val="00C24A8E"/>
    <w:rsid w:val="00C24AEB"/>
    <w:rsid w:val="00C24BAC"/>
    <w:rsid w:val="00C24D98"/>
    <w:rsid w:val="00C24F4F"/>
    <w:rsid w:val="00C26EDD"/>
    <w:rsid w:val="00C2702B"/>
    <w:rsid w:val="00C27AD3"/>
    <w:rsid w:val="00C30B67"/>
    <w:rsid w:val="00C33115"/>
    <w:rsid w:val="00C33370"/>
    <w:rsid w:val="00C35BCB"/>
    <w:rsid w:val="00C35D2B"/>
    <w:rsid w:val="00C3669F"/>
    <w:rsid w:val="00C41671"/>
    <w:rsid w:val="00C41CCA"/>
    <w:rsid w:val="00C4427A"/>
    <w:rsid w:val="00C448E9"/>
    <w:rsid w:val="00C44B70"/>
    <w:rsid w:val="00C45FA6"/>
    <w:rsid w:val="00C47BB2"/>
    <w:rsid w:val="00C513C2"/>
    <w:rsid w:val="00C51C1A"/>
    <w:rsid w:val="00C51C79"/>
    <w:rsid w:val="00C51D01"/>
    <w:rsid w:val="00C52CDF"/>
    <w:rsid w:val="00C5313A"/>
    <w:rsid w:val="00C5406C"/>
    <w:rsid w:val="00C54340"/>
    <w:rsid w:val="00C55A2A"/>
    <w:rsid w:val="00C56A7C"/>
    <w:rsid w:val="00C5777F"/>
    <w:rsid w:val="00C60080"/>
    <w:rsid w:val="00C609FE"/>
    <w:rsid w:val="00C61D7D"/>
    <w:rsid w:val="00C61DE3"/>
    <w:rsid w:val="00C6236E"/>
    <w:rsid w:val="00C632EA"/>
    <w:rsid w:val="00C647A6"/>
    <w:rsid w:val="00C64AAC"/>
    <w:rsid w:val="00C64C9B"/>
    <w:rsid w:val="00C64E72"/>
    <w:rsid w:val="00C66354"/>
    <w:rsid w:val="00C668A5"/>
    <w:rsid w:val="00C66F3A"/>
    <w:rsid w:val="00C676B2"/>
    <w:rsid w:val="00C6785C"/>
    <w:rsid w:val="00C67D37"/>
    <w:rsid w:val="00C70BD6"/>
    <w:rsid w:val="00C710E7"/>
    <w:rsid w:val="00C71ACB"/>
    <w:rsid w:val="00C727B9"/>
    <w:rsid w:val="00C72A64"/>
    <w:rsid w:val="00C72CF9"/>
    <w:rsid w:val="00C730A5"/>
    <w:rsid w:val="00C73724"/>
    <w:rsid w:val="00C73ADC"/>
    <w:rsid w:val="00C7435F"/>
    <w:rsid w:val="00C74D4D"/>
    <w:rsid w:val="00C75803"/>
    <w:rsid w:val="00C76402"/>
    <w:rsid w:val="00C7654B"/>
    <w:rsid w:val="00C77B54"/>
    <w:rsid w:val="00C81175"/>
    <w:rsid w:val="00C81905"/>
    <w:rsid w:val="00C82472"/>
    <w:rsid w:val="00C825E3"/>
    <w:rsid w:val="00C82D4F"/>
    <w:rsid w:val="00C833E7"/>
    <w:rsid w:val="00C84601"/>
    <w:rsid w:val="00C86183"/>
    <w:rsid w:val="00C86BAF"/>
    <w:rsid w:val="00C879C9"/>
    <w:rsid w:val="00C90987"/>
    <w:rsid w:val="00C91298"/>
    <w:rsid w:val="00C92155"/>
    <w:rsid w:val="00C92313"/>
    <w:rsid w:val="00C923D4"/>
    <w:rsid w:val="00C92608"/>
    <w:rsid w:val="00C929A5"/>
    <w:rsid w:val="00C9358A"/>
    <w:rsid w:val="00C93AEC"/>
    <w:rsid w:val="00C9401A"/>
    <w:rsid w:val="00C94B60"/>
    <w:rsid w:val="00C94D36"/>
    <w:rsid w:val="00C95400"/>
    <w:rsid w:val="00C955D9"/>
    <w:rsid w:val="00C96135"/>
    <w:rsid w:val="00C965A4"/>
    <w:rsid w:val="00C967DE"/>
    <w:rsid w:val="00C96B75"/>
    <w:rsid w:val="00C979C5"/>
    <w:rsid w:val="00CA03B6"/>
    <w:rsid w:val="00CA06E8"/>
    <w:rsid w:val="00CA0A8D"/>
    <w:rsid w:val="00CA0DF1"/>
    <w:rsid w:val="00CA12E1"/>
    <w:rsid w:val="00CA2853"/>
    <w:rsid w:val="00CA2EFD"/>
    <w:rsid w:val="00CA3ED8"/>
    <w:rsid w:val="00CA44AD"/>
    <w:rsid w:val="00CA4583"/>
    <w:rsid w:val="00CA5741"/>
    <w:rsid w:val="00CA5B2A"/>
    <w:rsid w:val="00CA638E"/>
    <w:rsid w:val="00CA65B0"/>
    <w:rsid w:val="00CA6773"/>
    <w:rsid w:val="00CA6A1E"/>
    <w:rsid w:val="00CA768C"/>
    <w:rsid w:val="00CA7797"/>
    <w:rsid w:val="00CA7BE0"/>
    <w:rsid w:val="00CB0117"/>
    <w:rsid w:val="00CB04D9"/>
    <w:rsid w:val="00CB0C3A"/>
    <w:rsid w:val="00CB0C57"/>
    <w:rsid w:val="00CB1342"/>
    <w:rsid w:val="00CB1EDF"/>
    <w:rsid w:val="00CB20E7"/>
    <w:rsid w:val="00CB273A"/>
    <w:rsid w:val="00CB2FCD"/>
    <w:rsid w:val="00CB4457"/>
    <w:rsid w:val="00CB49DA"/>
    <w:rsid w:val="00CB4AEA"/>
    <w:rsid w:val="00CB5116"/>
    <w:rsid w:val="00CB529E"/>
    <w:rsid w:val="00CB554C"/>
    <w:rsid w:val="00CB565F"/>
    <w:rsid w:val="00CB62E2"/>
    <w:rsid w:val="00CB663A"/>
    <w:rsid w:val="00CB6E67"/>
    <w:rsid w:val="00CB6F86"/>
    <w:rsid w:val="00CB7599"/>
    <w:rsid w:val="00CB7C02"/>
    <w:rsid w:val="00CC01BC"/>
    <w:rsid w:val="00CC062D"/>
    <w:rsid w:val="00CC1D1D"/>
    <w:rsid w:val="00CC283B"/>
    <w:rsid w:val="00CC2AC4"/>
    <w:rsid w:val="00CC3862"/>
    <w:rsid w:val="00CC38B3"/>
    <w:rsid w:val="00CC5247"/>
    <w:rsid w:val="00CC5390"/>
    <w:rsid w:val="00CC6002"/>
    <w:rsid w:val="00CC73A0"/>
    <w:rsid w:val="00CC7CBD"/>
    <w:rsid w:val="00CC7F94"/>
    <w:rsid w:val="00CC7FE7"/>
    <w:rsid w:val="00CD034D"/>
    <w:rsid w:val="00CD0664"/>
    <w:rsid w:val="00CD0D19"/>
    <w:rsid w:val="00CD1ACC"/>
    <w:rsid w:val="00CD24A8"/>
    <w:rsid w:val="00CD2D01"/>
    <w:rsid w:val="00CD3337"/>
    <w:rsid w:val="00CD3921"/>
    <w:rsid w:val="00CD56D3"/>
    <w:rsid w:val="00CD5718"/>
    <w:rsid w:val="00CD6CD4"/>
    <w:rsid w:val="00CD6D13"/>
    <w:rsid w:val="00CD7964"/>
    <w:rsid w:val="00CD7DA1"/>
    <w:rsid w:val="00CE0055"/>
    <w:rsid w:val="00CE0303"/>
    <w:rsid w:val="00CE0566"/>
    <w:rsid w:val="00CE1A42"/>
    <w:rsid w:val="00CE1B8D"/>
    <w:rsid w:val="00CE1DCD"/>
    <w:rsid w:val="00CE20A7"/>
    <w:rsid w:val="00CE2376"/>
    <w:rsid w:val="00CE3002"/>
    <w:rsid w:val="00CE43C2"/>
    <w:rsid w:val="00CE4EF2"/>
    <w:rsid w:val="00CE5608"/>
    <w:rsid w:val="00CE644F"/>
    <w:rsid w:val="00CE79B2"/>
    <w:rsid w:val="00CF04CF"/>
    <w:rsid w:val="00CF1822"/>
    <w:rsid w:val="00CF1C1A"/>
    <w:rsid w:val="00CF2A1C"/>
    <w:rsid w:val="00CF2A93"/>
    <w:rsid w:val="00CF3389"/>
    <w:rsid w:val="00CF38C4"/>
    <w:rsid w:val="00CF51BC"/>
    <w:rsid w:val="00CF5BBD"/>
    <w:rsid w:val="00CF6428"/>
    <w:rsid w:val="00CF68F9"/>
    <w:rsid w:val="00CF6E51"/>
    <w:rsid w:val="00CF713F"/>
    <w:rsid w:val="00CF74C8"/>
    <w:rsid w:val="00CF7985"/>
    <w:rsid w:val="00D02EBC"/>
    <w:rsid w:val="00D0323E"/>
    <w:rsid w:val="00D03332"/>
    <w:rsid w:val="00D0391F"/>
    <w:rsid w:val="00D04723"/>
    <w:rsid w:val="00D04978"/>
    <w:rsid w:val="00D0588B"/>
    <w:rsid w:val="00D05ACB"/>
    <w:rsid w:val="00D06041"/>
    <w:rsid w:val="00D06153"/>
    <w:rsid w:val="00D0653F"/>
    <w:rsid w:val="00D06B14"/>
    <w:rsid w:val="00D07AC9"/>
    <w:rsid w:val="00D10D4C"/>
    <w:rsid w:val="00D1125C"/>
    <w:rsid w:val="00D114E2"/>
    <w:rsid w:val="00D11C2A"/>
    <w:rsid w:val="00D124E3"/>
    <w:rsid w:val="00D128D1"/>
    <w:rsid w:val="00D134DE"/>
    <w:rsid w:val="00D13574"/>
    <w:rsid w:val="00D13843"/>
    <w:rsid w:val="00D14595"/>
    <w:rsid w:val="00D1558D"/>
    <w:rsid w:val="00D15B26"/>
    <w:rsid w:val="00D15F20"/>
    <w:rsid w:val="00D16645"/>
    <w:rsid w:val="00D1666A"/>
    <w:rsid w:val="00D170F3"/>
    <w:rsid w:val="00D17E22"/>
    <w:rsid w:val="00D21A80"/>
    <w:rsid w:val="00D2295D"/>
    <w:rsid w:val="00D23195"/>
    <w:rsid w:val="00D302B0"/>
    <w:rsid w:val="00D31906"/>
    <w:rsid w:val="00D328E5"/>
    <w:rsid w:val="00D332AE"/>
    <w:rsid w:val="00D335EB"/>
    <w:rsid w:val="00D33692"/>
    <w:rsid w:val="00D3374C"/>
    <w:rsid w:val="00D34747"/>
    <w:rsid w:val="00D34863"/>
    <w:rsid w:val="00D3581D"/>
    <w:rsid w:val="00D3584B"/>
    <w:rsid w:val="00D3585B"/>
    <w:rsid w:val="00D3660C"/>
    <w:rsid w:val="00D377AC"/>
    <w:rsid w:val="00D3787F"/>
    <w:rsid w:val="00D40603"/>
    <w:rsid w:val="00D4079C"/>
    <w:rsid w:val="00D413DE"/>
    <w:rsid w:val="00D418F0"/>
    <w:rsid w:val="00D41B33"/>
    <w:rsid w:val="00D41EC6"/>
    <w:rsid w:val="00D42193"/>
    <w:rsid w:val="00D42F22"/>
    <w:rsid w:val="00D42F92"/>
    <w:rsid w:val="00D449CF"/>
    <w:rsid w:val="00D45F15"/>
    <w:rsid w:val="00D46488"/>
    <w:rsid w:val="00D466ED"/>
    <w:rsid w:val="00D46D68"/>
    <w:rsid w:val="00D50621"/>
    <w:rsid w:val="00D506E1"/>
    <w:rsid w:val="00D50777"/>
    <w:rsid w:val="00D508CF"/>
    <w:rsid w:val="00D514F7"/>
    <w:rsid w:val="00D518D3"/>
    <w:rsid w:val="00D54190"/>
    <w:rsid w:val="00D5434D"/>
    <w:rsid w:val="00D55291"/>
    <w:rsid w:val="00D5591C"/>
    <w:rsid w:val="00D55CDD"/>
    <w:rsid w:val="00D55E4D"/>
    <w:rsid w:val="00D560F9"/>
    <w:rsid w:val="00D5651E"/>
    <w:rsid w:val="00D56732"/>
    <w:rsid w:val="00D57128"/>
    <w:rsid w:val="00D608B4"/>
    <w:rsid w:val="00D611C0"/>
    <w:rsid w:val="00D613A0"/>
    <w:rsid w:val="00D61427"/>
    <w:rsid w:val="00D61F75"/>
    <w:rsid w:val="00D632FE"/>
    <w:rsid w:val="00D63DC1"/>
    <w:rsid w:val="00D64436"/>
    <w:rsid w:val="00D650E1"/>
    <w:rsid w:val="00D65181"/>
    <w:rsid w:val="00D669A8"/>
    <w:rsid w:val="00D670C5"/>
    <w:rsid w:val="00D671B3"/>
    <w:rsid w:val="00D6727F"/>
    <w:rsid w:val="00D67899"/>
    <w:rsid w:val="00D702C2"/>
    <w:rsid w:val="00D70749"/>
    <w:rsid w:val="00D70AC3"/>
    <w:rsid w:val="00D7242A"/>
    <w:rsid w:val="00D72AD7"/>
    <w:rsid w:val="00D736A8"/>
    <w:rsid w:val="00D737F9"/>
    <w:rsid w:val="00D73CA1"/>
    <w:rsid w:val="00D73F48"/>
    <w:rsid w:val="00D74156"/>
    <w:rsid w:val="00D747CD"/>
    <w:rsid w:val="00D74943"/>
    <w:rsid w:val="00D7570F"/>
    <w:rsid w:val="00D764C0"/>
    <w:rsid w:val="00D76586"/>
    <w:rsid w:val="00D77BCF"/>
    <w:rsid w:val="00D77D0F"/>
    <w:rsid w:val="00D77D26"/>
    <w:rsid w:val="00D80B77"/>
    <w:rsid w:val="00D80E45"/>
    <w:rsid w:val="00D81165"/>
    <w:rsid w:val="00D83B30"/>
    <w:rsid w:val="00D840A1"/>
    <w:rsid w:val="00D8424C"/>
    <w:rsid w:val="00D85024"/>
    <w:rsid w:val="00D85058"/>
    <w:rsid w:val="00D864D5"/>
    <w:rsid w:val="00D870AE"/>
    <w:rsid w:val="00D876D2"/>
    <w:rsid w:val="00D90313"/>
    <w:rsid w:val="00D90774"/>
    <w:rsid w:val="00D908A5"/>
    <w:rsid w:val="00D9136A"/>
    <w:rsid w:val="00D91F2B"/>
    <w:rsid w:val="00D93A19"/>
    <w:rsid w:val="00D951B6"/>
    <w:rsid w:val="00D95B0C"/>
    <w:rsid w:val="00D95B55"/>
    <w:rsid w:val="00D96114"/>
    <w:rsid w:val="00D9617B"/>
    <w:rsid w:val="00D9659C"/>
    <w:rsid w:val="00D96CDC"/>
    <w:rsid w:val="00D97068"/>
    <w:rsid w:val="00D97344"/>
    <w:rsid w:val="00DA0352"/>
    <w:rsid w:val="00DA1129"/>
    <w:rsid w:val="00DA181F"/>
    <w:rsid w:val="00DA2365"/>
    <w:rsid w:val="00DA23F0"/>
    <w:rsid w:val="00DA2614"/>
    <w:rsid w:val="00DA36F0"/>
    <w:rsid w:val="00DA3890"/>
    <w:rsid w:val="00DA3E21"/>
    <w:rsid w:val="00DA4B29"/>
    <w:rsid w:val="00DA50D5"/>
    <w:rsid w:val="00DA61E3"/>
    <w:rsid w:val="00DA7FA9"/>
    <w:rsid w:val="00DB00FE"/>
    <w:rsid w:val="00DB06CD"/>
    <w:rsid w:val="00DB0C31"/>
    <w:rsid w:val="00DB2678"/>
    <w:rsid w:val="00DB30D0"/>
    <w:rsid w:val="00DB3AB1"/>
    <w:rsid w:val="00DB3B39"/>
    <w:rsid w:val="00DB4131"/>
    <w:rsid w:val="00DB4D7C"/>
    <w:rsid w:val="00DB4F7A"/>
    <w:rsid w:val="00DB6010"/>
    <w:rsid w:val="00DB68DC"/>
    <w:rsid w:val="00DB737F"/>
    <w:rsid w:val="00DB7BB2"/>
    <w:rsid w:val="00DB7E65"/>
    <w:rsid w:val="00DC00C7"/>
    <w:rsid w:val="00DC0DC9"/>
    <w:rsid w:val="00DC0E05"/>
    <w:rsid w:val="00DC17F8"/>
    <w:rsid w:val="00DC26EF"/>
    <w:rsid w:val="00DC27A8"/>
    <w:rsid w:val="00DC33DC"/>
    <w:rsid w:val="00DC3741"/>
    <w:rsid w:val="00DC493A"/>
    <w:rsid w:val="00DC52EE"/>
    <w:rsid w:val="00DC5330"/>
    <w:rsid w:val="00DC5533"/>
    <w:rsid w:val="00DC775D"/>
    <w:rsid w:val="00DC7933"/>
    <w:rsid w:val="00DC7A00"/>
    <w:rsid w:val="00DC7FED"/>
    <w:rsid w:val="00DD0E07"/>
    <w:rsid w:val="00DD1BBF"/>
    <w:rsid w:val="00DD1C32"/>
    <w:rsid w:val="00DD316E"/>
    <w:rsid w:val="00DD33C5"/>
    <w:rsid w:val="00DD3656"/>
    <w:rsid w:val="00DD3E93"/>
    <w:rsid w:val="00DD44BC"/>
    <w:rsid w:val="00DD4E1A"/>
    <w:rsid w:val="00DD5568"/>
    <w:rsid w:val="00DD6464"/>
    <w:rsid w:val="00DD6989"/>
    <w:rsid w:val="00DD7074"/>
    <w:rsid w:val="00DE11E8"/>
    <w:rsid w:val="00DE1615"/>
    <w:rsid w:val="00DE26DC"/>
    <w:rsid w:val="00DE28EA"/>
    <w:rsid w:val="00DE2A42"/>
    <w:rsid w:val="00DE3D95"/>
    <w:rsid w:val="00DE4C7C"/>
    <w:rsid w:val="00DE595E"/>
    <w:rsid w:val="00DE62C8"/>
    <w:rsid w:val="00DE649A"/>
    <w:rsid w:val="00DE6BB3"/>
    <w:rsid w:val="00DE748B"/>
    <w:rsid w:val="00DF14D7"/>
    <w:rsid w:val="00DF2903"/>
    <w:rsid w:val="00DF3119"/>
    <w:rsid w:val="00DF392F"/>
    <w:rsid w:val="00DF3A18"/>
    <w:rsid w:val="00DF3F4C"/>
    <w:rsid w:val="00DF3FC7"/>
    <w:rsid w:val="00DF4638"/>
    <w:rsid w:val="00DF553B"/>
    <w:rsid w:val="00DF63CA"/>
    <w:rsid w:val="00DF6664"/>
    <w:rsid w:val="00DF6674"/>
    <w:rsid w:val="00DF6CA7"/>
    <w:rsid w:val="00DF6CDF"/>
    <w:rsid w:val="00DF70EB"/>
    <w:rsid w:val="00DF7833"/>
    <w:rsid w:val="00DF7B5A"/>
    <w:rsid w:val="00E005ED"/>
    <w:rsid w:val="00E01313"/>
    <w:rsid w:val="00E01673"/>
    <w:rsid w:val="00E018EC"/>
    <w:rsid w:val="00E022A6"/>
    <w:rsid w:val="00E02534"/>
    <w:rsid w:val="00E0266D"/>
    <w:rsid w:val="00E02886"/>
    <w:rsid w:val="00E02B15"/>
    <w:rsid w:val="00E03C26"/>
    <w:rsid w:val="00E04529"/>
    <w:rsid w:val="00E0457B"/>
    <w:rsid w:val="00E05439"/>
    <w:rsid w:val="00E05F92"/>
    <w:rsid w:val="00E06D28"/>
    <w:rsid w:val="00E071BC"/>
    <w:rsid w:val="00E071C0"/>
    <w:rsid w:val="00E07411"/>
    <w:rsid w:val="00E07688"/>
    <w:rsid w:val="00E10F5F"/>
    <w:rsid w:val="00E11777"/>
    <w:rsid w:val="00E1199D"/>
    <w:rsid w:val="00E12419"/>
    <w:rsid w:val="00E12E17"/>
    <w:rsid w:val="00E13848"/>
    <w:rsid w:val="00E1469D"/>
    <w:rsid w:val="00E146A8"/>
    <w:rsid w:val="00E146E9"/>
    <w:rsid w:val="00E14C91"/>
    <w:rsid w:val="00E16A6A"/>
    <w:rsid w:val="00E17DAA"/>
    <w:rsid w:val="00E17DB5"/>
    <w:rsid w:val="00E20404"/>
    <w:rsid w:val="00E217A3"/>
    <w:rsid w:val="00E2198A"/>
    <w:rsid w:val="00E21CE0"/>
    <w:rsid w:val="00E22B8C"/>
    <w:rsid w:val="00E24907"/>
    <w:rsid w:val="00E24C2B"/>
    <w:rsid w:val="00E25467"/>
    <w:rsid w:val="00E25A9C"/>
    <w:rsid w:val="00E261B9"/>
    <w:rsid w:val="00E30381"/>
    <w:rsid w:val="00E30613"/>
    <w:rsid w:val="00E312DB"/>
    <w:rsid w:val="00E31D87"/>
    <w:rsid w:val="00E32D59"/>
    <w:rsid w:val="00E34424"/>
    <w:rsid w:val="00E3467A"/>
    <w:rsid w:val="00E35BA2"/>
    <w:rsid w:val="00E361A6"/>
    <w:rsid w:val="00E36340"/>
    <w:rsid w:val="00E36F44"/>
    <w:rsid w:val="00E40C2C"/>
    <w:rsid w:val="00E40C7E"/>
    <w:rsid w:val="00E40CFA"/>
    <w:rsid w:val="00E413C8"/>
    <w:rsid w:val="00E417D1"/>
    <w:rsid w:val="00E41DB2"/>
    <w:rsid w:val="00E42CDF"/>
    <w:rsid w:val="00E45F31"/>
    <w:rsid w:val="00E46C64"/>
    <w:rsid w:val="00E47FC9"/>
    <w:rsid w:val="00E51434"/>
    <w:rsid w:val="00E52B54"/>
    <w:rsid w:val="00E52FC1"/>
    <w:rsid w:val="00E53F99"/>
    <w:rsid w:val="00E546A4"/>
    <w:rsid w:val="00E55AF0"/>
    <w:rsid w:val="00E56259"/>
    <w:rsid w:val="00E56349"/>
    <w:rsid w:val="00E5719C"/>
    <w:rsid w:val="00E60E5B"/>
    <w:rsid w:val="00E62487"/>
    <w:rsid w:val="00E6285D"/>
    <w:rsid w:val="00E62DFF"/>
    <w:rsid w:val="00E63612"/>
    <w:rsid w:val="00E6481D"/>
    <w:rsid w:val="00E64C50"/>
    <w:rsid w:val="00E65CE0"/>
    <w:rsid w:val="00E65DC5"/>
    <w:rsid w:val="00E65F43"/>
    <w:rsid w:val="00E6670D"/>
    <w:rsid w:val="00E66F2B"/>
    <w:rsid w:val="00E67AFA"/>
    <w:rsid w:val="00E709C9"/>
    <w:rsid w:val="00E70AEE"/>
    <w:rsid w:val="00E71183"/>
    <w:rsid w:val="00E71444"/>
    <w:rsid w:val="00E71A51"/>
    <w:rsid w:val="00E7255A"/>
    <w:rsid w:val="00E73B46"/>
    <w:rsid w:val="00E758DE"/>
    <w:rsid w:val="00E762D0"/>
    <w:rsid w:val="00E80061"/>
    <w:rsid w:val="00E81349"/>
    <w:rsid w:val="00E8317B"/>
    <w:rsid w:val="00E834BE"/>
    <w:rsid w:val="00E842FD"/>
    <w:rsid w:val="00E84BEE"/>
    <w:rsid w:val="00E84FF3"/>
    <w:rsid w:val="00E8560C"/>
    <w:rsid w:val="00E863F7"/>
    <w:rsid w:val="00E867A1"/>
    <w:rsid w:val="00E8765E"/>
    <w:rsid w:val="00E9075C"/>
    <w:rsid w:val="00E90ECB"/>
    <w:rsid w:val="00E91CBC"/>
    <w:rsid w:val="00E92252"/>
    <w:rsid w:val="00E93557"/>
    <w:rsid w:val="00E9355C"/>
    <w:rsid w:val="00E93C72"/>
    <w:rsid w:val="00E9401E"/>
    <w:rsid w:val="00E944A1"/>
    <w:rsid w:val="00E948B4"/>
    <w:rsid w:val="00E95260"/>
    <w:rsid w:val="00E95BD5"/>
    <w:rsid w:val="00E95C08"/>
    <w:rsid w:val="00E95EF3"/>
    <w:rsid w:val="00E967D1"/>
    <w:rsid w:val="00E97863"/>
    <w:rsid w:val="00E9787B"/>
    <w:rsid w:val="00E97E6E"/>
    <w:rsid w:val="00EA0946"/>
    <w:rsid w:val="00EA0AB9"/>
    <w:rsid w:val="00EA1F08"/>
    <w:rsid w:val="00EA24E5"/>
    <w:rsid w:val="00EA3214"/>
    <w:rsid w:val="00EA3407"/>
    <w:rsid w:val="00EA3A0D"/>
    <w:rsid w:val="00EA4567"/>
    <w:rsid w:val="00EA691A"/>
    <w:rsid w:val="00EB03DA"/>
    <w:rsid w:val="00EB0736"/>
    <w:rsid w:val="00EB0B3D"/>
    <w:rsid w:val="00EB0FB9"/>
    <w:rsid w:val="00EB1187"/>
    <w:rsid w:val="00EB1C6F"/>
    <w:rsid w:val="00EB32C1"/>
    <w:rsid w:val="00EB344B"/>
    <w:rsid w:val="00EB3A47"/>
    <w:rsid w:val="00EB3B38"/>
    <w:rsid w:val="00EB403F"/>
    <w:rsid w:val="00EB4438"/>
    <w:rsid w:val="00EB44F4"/>
    <w:rsid w:val="00EB5EE1"/>
    <w:rsid w:val="00EB6D04"/>
    <w:rsid w:val="00EB7C7A"/>
    <w:rsid w:val="00EC11E0"/>
    <w:rsid w:val="00EC2944"/>
    <w:rsid w:val="00EC34BC"/>
    <w:rsid w:val="00EC42CA"/>
    <w:rsid w:val="00EC450B"/>
    <w:rsid w:val="00EC47F2"/>
    <w:rsid w:val="00EC4B60"/>
    <w:rsid w:val="00EC4CC7"/>
    <w:rsid w:val="00EC4E14"/>
    <w:rsid w:val="00EC53D2"/>
    <w:rsid w:val="00EC7219"/>
    <w:rsid w:val="00EC73B7"/>
    <w:rsid w:val="00EC7AD7"/>
    <w:rsid w:val="00ED03E7"/>
    <w:rsid w:val="00ED173A"/>
    <w:rsid w:val="00ED2D0B"/>
    <w:rsid w:val="00ED3648"/>
    <w:rsid w:val="00ED3997"/>
    <w:rsid w:val="00ED448F"/>
    <w:rsid w:val="00ED59B9"/>
    <w:rsid w:val="00ED607C"/>
    <w:rsid w:val="00ED6F84"/>
    <w:rsid w:val="00ED7F0F"/>
    <w:rsid w:val="00EE10E6"/>
    <w:rsid w:val="00EE1941"/>
    <w:rsid w:val="00EE233B"/>
    <w:rsid w:val="00EE28B1"/>
    <w:rsid w:val="00EE2AC2"/>
    <w:rsid w:val="00EE3789"/>
    <w:rsid w:val="00EE37D7"/>
    <w:rsid w:val="00EE471B"/>
    <w:rsid w:val="00EE4874"/>
    <w:rsid w:val="00EE4B1C"/>
    <w:rsid w:val="00EE5181"/>
    <w:rsid w:val="00EE526E"/>
    <w:rsid w:val="00EE543C"/>
    <w:rsid w:val="00EE6D6D"/>
    <w:rsid w:val="00EE6E3A"/>
    <w:rsid w:val="00EE709B"/>
    <w:rsid w:val="00EE730D"/>
    <w:rsid w:val="00EF1554"/>
    <w:rsid w:val="00EF1D98"/>
    <w:rsid w:val="00EF1E11"/>
    <w:rsid w:val="00EF255F"/>
    <w:rsid w:val="00EF2B1E"/>
    <w:rsid w:val="00EF31C8"/>
    <w:rsid w:val="00EF3630"/>
    <w:rsid w:val="00EF36B4"/>
    <w:rsid w:val="00EF3A6D"/>
    <w:rsid w:val="00EF3C92"/>
    <w:rsid w:val="00EF454D"/>
    <w:rsid w:val="00EF481D"/>
    <w:rsid w:val="00EF54D8"/>
    <w:rsid w:val="00EF57AC"/>
    <w:rsid w:val="00EF5BCF"/>
    <w:rsid w:val="00EF6CC7"/>
    <w:rsid w:val="00EF7A5E"/>
    <w:rsid w:val="00EF7B2A"/>
    <w:rsid w:val="00F004D1"/>
    <w:rsid w:val="00F00E9A"/>
    <w:rsid w:val="00F00ECB"/>
    <w:rsid w:val="00F03335"/>
    <w:rsid w:val="00F057D5"/>
    <w:rsid w:val="00F05E88"/>
    <w:rsid w:val="00F062A5"/>
    <w:rsid w:val="00F0659B"/>
    <w:rsid w:val="00F0681B"/>
    <w:rsid w:val="00F06869"/>
    <w:rsid w:val="00F06884"/>
    <w:rsid w:val="00F12A06"/>
    <w:rsid w:val="00F12A5B"/>
    <w:rsid w:val="00F12E6D"/>
    <w:rsid w:val="00F12F52"/>
    <w:rsid w:val="00F131BE"/>
    <w:rsid w:val="00F13833"/>
    <w:rsid w:val="00F13CEA"/>
    <w:rsid w:val="00F1412E"/>
    <w:rsid w:val="00F14B68"/>
    <w:rsid w:val="00F14E8F"/>
    <w:rsid w:val="00F155C9"/>
    <w:rsid w:val="00F17485"/>
    <w:rsid w:val="00F175CB"/>
    <w:rsid w:val="00F17A6A"/>
    <w:rsid w:val="00F20AE5"/>
    <w:rsid w:val="00F20D1C"/>
    <w:rsid w:val="00F2110A"/>
    <w:rsid w:val="00F212B2"/>
    <w:rsid w:val="00F21B61"/>
    <w:rsid w:val="00F22048"/>
    <w:rsid w:val="00F22D09"/>
    <w:rsid w:val="00F230DD"/>
    <w:rsid w:val="00F23629"/>
    <w:rsid w:val="00F23CFD"/>
    <w:rsid w:val="00F24635"/>
    <w:rsid w:val="00F24947"/>
    <w:rsid w:val="00F24D7F"/>
    <w:rsid w:val="00F25677"/>
    <w:rsid w:val="00F25AB2"/>
    <w:rsid w:val="00F25B89"/>
    <w:rsid w:val="00F263AA"/>
    <w:rsid w:val="00F2755C"/>
    <w:rsid w:val="00F27564"/>
    <w:rsid w:val="00F2774C"/>
    <w:rsid w:val="00F27A4D"/>
    <w:rsid w:val="00F307E2"/>
    <w:rsid w:val="00F319BF"/>
    <w:rsid w:val="00F322F0"/>
    <w:rsid w:val="00F324B5"/>
    <w:rsid w:val="00F3257F"/>
    <w:rsid w:val="00F3274C"/>
    <w:rsid w:val="00F32E57"/>
    <w:rsid w:val="00F34BAD"/>
    <w:rsid w:val="00F34D93"/>
    <w:rsid w:val="00F3640D"/>
    <w:rsid w:val="00F36BC3"/>
    <w:rsid w:val="00F36ECF"/>
    <w:rsid w:val="00F400D7"/>
    <w:rsid w:val="00F40C9B"/>
    <w:rsid w:val="00F41043"/>
    <w:rsid w:val="00F42AEB"/>
    <w:rsid w:val="00F42FC4"/>
    <w:rsid w:val="00F43260"/>
    <w:rsid w:val="00F43290"/>
    <w:rsid w:val="00F43711"/>
    <w:rsid w:val="00F43991"/>
    <w:rsid w:val="00F441BE"/>
    <w:rsid w:val="00F44219"/>
    <w:rsid w:val="00F454EB"/>
    <w:rsid w:val="00F45BA6"/>
    <w:rsid w:val="00F45BDC"/>
    <w:rsid w:val="00F47414"/>
    <w:rsid w:val="00F47688"/>
    <w:rsid w:val="00F47A31"/>
    <w:rsid w:val="00F52C8B"/>
    <w:rsid w:val="00F52E00"/>
    <w:rsid w:val="00F531EE"/>
    <w:rsid w:val="00F53A49"/>
    <w:rsid w:val="00F540C7"/>
    <w:rsid w:val="00F56917"/>
    <w:rsid w:val="00F570D8"/>
    <w:rsid w:val="00F600BC"/>
    <w:rsid w:val="00F610A7"/>
    <w:rsid w:val="00F614F4"/>
    <w:rsid w:val="00F63872"/>
    <w:rsid w:val="00F64203"/>
    <w:rsid w:val="00F64365"/>
    <w:rsid w:val="00F64C59"/>
    <w:rsid w:val="00F66BC4"/>
    <w:rsid w:val="00F70340"/>
    <w:rsid w:val="00F70DA0"/>
    <w:rsid w:val="00F70E8D"/>
    <w:rsid w:val="00F71047"/>
    <w:rsid w:val="00F7128C"/>
    <w:rsid w:val="00F71C7C"/>
    <w:rsid w:val="00F72C57"/>
    <w:rsid w:val="00F72F58"/>
    <w:rsid w:val="00F73783"/>
    <w:rsid w:val="00F76C5A"/>
    <w:rsid w:val="00F770BE"/>
    <w:rsid w:val="00F77484"/>
    <w:rsid w:val="00F80066"/>
    <w:rsid w:val="00F80474"/>
    <w:rsid w:val="00F81120"/>
    <w:rsid w:val="00F818DF"/>
    <w:rsid w:val="00F82169"/>
    <w:rsid w:val="00F82298"/>
    <w:rsid w:val="00F8307D"/>
    <w:rsid w:val="00F842BA"/>
    <w:rsid w:val="00F84AEB"/>
    <w:rsid w:val="00F84BFF"/>
    <w:rsid w:val="00F84D57"/>
    <w:rsid w:val="00F853C3"/>
    <w:rsid w:val="00F8590D"/>
    <w:rsid w:val="00F86B82"/>
    <w:rsid w:val="00F90985"/>
    <w:rsid w:val="00F91297"/>
    <w:rsid w:val="00F9141F"/>
    <w:rsid w:val="00F9170F"/>
    <w:rsid w:val="00F94652"/>
    <w:rsid w:val="00F9507F"/>
    <w:rsid w:val="00F9664F"/>
    <w:rsid w:val="00F968D8"/>
    <w:rsid w:val="00F96A35"/>
    <w:rsid w:val="00F97724"/>
    <w:rsid w:val="00FA0711"/>
    <w:rsid w:val="00FA17B2"/>
    <w:rsid w:val="00FA1EA5"/>
    <w:rsid w:val="00FA2324"/>
    <w:rsid w:val="00FA2EF8"/>
    <w:rsid w:val="00FA34CC"/>
    <w:rsid w:val="00FA45EF"/>
    <w:rsid w:val="00FA48CC"/>
    <w:rsid w:val="00FA5BEE"/>
    <w:rsid w:val="00FA5CF6"/>
    <w:rsid w:val="00FA62C7"/>
    <w:rsid w:val="00FA686F"/>
    <w:rsid w:val="00FA72AB"/>
    <w:rsid w:val="00FA7DE1"/>
    <w:rsid w:val="00FB2211"/>
    <w:rsid w:val="00FB2D85"/>
    <w:rsid w:val="00FB321C"/>
    <w:rsid w:val="00FB3D31"/>
    <w:rsid w:val="00FB3DB7"/>
    <w:rsid w:val="00FB3FB5"/>
    <w:rsid w:val="00FB54F7"/>
    <w:rsid w:val="00FB5A5C"/>
    <w:rsid w:val="00FB5D71"/>
    <w:rsid w:val="00FB61EF"/>
    <w:rsid w:val="00FB6FA8"/>
    <w:rsid w:val="00FB70AC"/>
    <w:rsid w:val="00FB7FB3"/>
    <w:rsid w:val="00FC04C8"/>
    <w:rsid w:val="00FC0748"/>
    <w:rsid w:val="00FC0FAF"/>
    <w:rsid w:val="00FC1184"/>
    <w:rsid w:val="00FC17C5"/>
    <w:rsid w:val="00FC255F"/>
    <w:rsid w:val="00FC2678"/>
    <w:rsid w:val="00FC2C06"/>
    <w:rsid w:val="00FC370A"/>
    <w:rsid w:val="00FC501F"/>
    <w:rsid w:val="00FC53B1"/>
    <w:rsid w:val="00FC5F8F"/>
    <w:rsid w:val="00FC64D8"/>
    <w:rsid w:val="00FC6EE1"/>
    <w:rsid w:val="00FC7173"/>
    <w:rsid w:val="00FC7B86"/>
    <w:rsid w:val="00FC7CB5"/>
    <w:rsid w:val="00FD18B2"/>
    <w:rsid w:val="00FD18D4"/>
    <w:rsid w:val="00FD1F3A"/>
    <w:rsid w:val="00FD2596"/>
    <w:rsid w:val="00FD37C6"/>
    <w:rsid w:val="00FD3AF2"/>
    <w:rsid w:val="00FD5F86"/>
    <w:rsid w:val="00FD606C"/>
    <w:rsid w:val="00FD6CD1"/>
    <w:rsid w:val="00FD7578"/>
    <w:rsid w:val="00FD7D0C"/>
    <w:rsid w:val="00FD7D9A"/>
    <w:rsid w:val="00FE2A3B"/>
    <w:rsid w:val="00FE2BB4"/>
    <w:rsid w:val="00FE2F7F"/>
    <w:rsid w:val="00FE2FDD"/>
    <w:rsid w:val="00FE3CC6"/>
    <w:rsid w:val="00FE3F4E"/>
    <w:rsid w:val="00FE42A2"/>
    <w:rsid w:val="00FE4E5F"/>
    <w:rsid w:val="00FE50F8"/>
    <w:rsid w:val="00FE5691"/>
    <w:rsid w:val="00FE6A78"/>
    <w:rsid w:val="00FE735E"/>
    <w:rsid w:val="00FE744E"/>
    <w:rsid w:val="00FE7C54"/>
    <w:rsid w:val="00FF0195"/>
    <w:rsid w:val="00FF04DA"/>
    <w:rsid w:val="00FF09CC"/>
    <w:rsid w:val="00FF0EA6"/>
    <w:rsid w:val="00FF1248"/>
    <w:rsid w:val="00FF1912"/>
    <w:rsid w:val="00FF2A83"/>
    <w:rsid w:val="00FF3920"/>
    <w:rsid w:val="00FF399D"/>
    <w:rsid w:val="00FF3DDF"/>
    <w:rsid w:val="00FF424D"/>
    <w:rsid w:val="00FF430D"/>
    <w:rsid w:val="00FF4C54"/>
    <w:rsid w:val="00FF5DD5"/>
    <w:rsid w:val="00FF688C"/>
    <w:rsid w:val="00FF75B4"/>
    <w:rsid w:val="00FF7819"/>
    <w:rsid w:val="00FF7EE4"/>
    <w:rsid w:val="01FDD292"/>
    <w:rsid w:val="03343D49"/>
    <w:rsid w:val="03ABFBC1"/>
    <w:rsid w:val="03FB6761"/>
    <w:rsid w:val="04A842DD"/>
    <w:rsid w:val="07A5CA34"/>
    <w:rsid w:val="0879D5AE"/>
    <w:rsid w:val="08C96EF0"/>
    <w:rsid w:val="0B20F9A4"/>
    <w:rsid w:val="0CD6C8E2"/>
    <w:rsid w:val="0D1B25FC"/>
    <w:rsid w:val="0D458C1C"/>
    <w:rsid w:val="0E0CDA7D"/>
    <w:rsid w:val="0EF774F8"/>
    <w:rsid w:val="10B9CCE1"/>
    <w:rsid w:val="118E25D2"/>
    <w:rsid w:val="14B88DC5"/>
    <w:rsid w:val="153FD142"/>
    <w:rsid w:val="16400262"/>
    <w:rsid w:val="168BB1CA"/>
    <w:rsid w:val="16DD5E9A"/>
    <w:rsid w:val="190D0892"/>
    <w:rsid w:val="1985E77A"/>
    <w:rsid w:val="1A9E3202"/>
    <w:rsid w:val="1D415E47"/>
    <w:rsid w:val="1D9EDDA9"/>
    <w:rsid w:val="1F86CAFA"/>
    <w:rsid w:val="214B9DC9"/>
    <w:rsid w:val="2302CB33"/>
    <w:rsid w:val="240ED094"/>
    <w:rsid w:val="246FF141"/>
    <w:rsid w:val="26A87E29"/>
    <w:rsid w:val="270BE237"/>
    <w:rsid w:val="289D53CC"/>
    <w:rsid w:val="292F0F01"/>
    <w:rsid w:val="299E2144"/>
    <w:rsid w:val="2A81308F"/>
    <w:rsid w:val="2AE38681"/>
    <w:rsid w:val="2B081428"/>
    <w:rsid w:val="2B3B09B8"/>
    <w:rsid w:val="2B9EEE33"/>
    <w:rsid w:val="2BFBABBE"/>
    <w:rsid w:val="2CF1DEE6"/>
    <w:rsid w:val="2CF63441"/>
    <w:rsid w:val="2D960BA9"/>
    <w:rsid w:val="300921B9"/>
    <w:rsid w:val="3014E9D1"/>
    <w:rsid w:val="30DC9912"/>
    <w:rsid w:val="3152AA26"/>
    <w:rsid w:val="31987144"/>
    <w:rsid w:val="320C096E"/>
    <w:rsid w:val="3345A429"/>
    <w:rsid w:val="3365DF7D"/>
    <w:rsid w:val="338AD733"/>
    <w:rsid w:val="348624F1"/>
    <w:rsid w:val="369DDED0"/>
    <w:rsid w:val="371064C4"/>
    <w:rsid w:val="39788F36"/>
    <w:rsid w:val="3B17BCBD"/>
    <w:rsid w:val="3BEFD102"/>
    <w:rsid w:val="3D31C50C"/>
    <w:rsid w:val="40B91A68"/>
    <w:rsid w:val="40FA4FF1"/>
    <w:rsid w:val="42A044BE"/>
    <w:rsid w:val="42E39FD1"/>
    <w:rsid w:val="43FBFF56"/>
    <w:rsid w:val="43FFB094"/>
    <w:rsid w:val="44A4249E"/>
    <w:rsid w:val="45101BF9"/>
    <w:rsid w:val="464B9401"/>
    <w:rsid w:val="4CC560BF"/>
    <w:rsid w:val="4D04151A"/>
    <w:rsid w:val="4D54D746"/>
    <w:rsid w:val="4E0EF0D1"/>
    <w:rsid w:val="4E412C67"/>
    <w:rsid w:val="4F4DC1C5"/>
    <w:rsid w:val="4F5D6062"/>
    <w:rsid w:val="4FF5D099"/>
    <w:rsid w:val="5348577F"/>
    <w:rsid w:val="53F1DDBE"/>
    <w:rsid w:val="5441D815"/>
    <w:rsid w:val="575579AB"/>
    <w:rsid w:val="58679F10"/>
    <w:rsid w:val="59C908CE"/>
    <w:rsid w:val="5B6B783E"/>
    <w:rsid w:val="5BCA9AF6"/>
    <w:rsid w:val="5DDEE69A"/>
    <w:rsid w:val="5EE16208"/>
    <w:rsid w:val="5FB826F7"/>
    <w:rsid w:val="601A1D0B"/>
    <w:rsid w:val="63232560"/>
    <w:rsid w:val="6339AB16"/>
    <w:rsid w:val="63F757F1"/>
    <w:rsid w:val="64551E2C"/>
    <w:rsid w:val="6495636B"/>
    <w:rsid w:val="679146BB"/>
    <w:rsid w:val="686C4CBA"/>
    <w:rsid w:val="6A310B7F"/>
    <w:rsid w:val="6A5C6F67"/>
    <w:rsid w:val="6A61E10E"/>
    <w:rsid w:val="6C9DD8CB"/>
    <w:rsid w:val="6CB88AED"/>
    <w:rsid w:val="6D249D3F"/>
    <w:rsid w:val="6E9F620F"/>
    <w:rsid w:val="6F99D76B"/>
    <w:rsid w:val="703110F8"/>
    <w:rsid w:val="70DB41FD"/>
    <w:rsid w:val="70DE2D26"/>
    <w:rsid w:val="712F303C"/>
    <w:rsid w:val="72B7E760"/>
    <w:rsid w:val="73AD4C73"/>
    <w:rsid w:val="73DAC2B2"/>
    <w:rsid w:val="7601EEAE"/>
    <w:rsid w:val="7633D172"/>
    <w:rsid w:val="775121DD"/>
    <w:rsid w:val="77FD9B55"/>
    <w:rsid w:val="79C8B336"/>
    <w:rsid w:val="79D4427B"/>
    <w:rsid w:val="7BD595DF"/>
    <w:rsid w:val="7D2F853A"/>
    <w:rsid w:val="7E441350"/>
    <w:rsid w:val="7F58C632"/>
    <w:rsid w:val="7FFFD78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5722D1"/>
  <w15:docId w15:val="{0A51DFB6-7718-44DE-A352-820F7B2F1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341A"/>
    <w:rPr>
      <w:rFonts w:eastAsiaTheme="minorEastAsia"/>
      <w:lang w:eastAsia="en-AU"/>
    </w:rPr>
  </w:style>
  <w:style w:type="paragraph" w:styleId="Heading1">
    <w:name w:val="heading 1"/>
    <w:basedOn w:val="Normal"/>
    <w:next w:val="Normal"/>
    <w:link w:val="Heading1Char"/>
    <w:uiPriority w:val="9"/>
    <w:qFormat/>
    <w:rsid w:val="00E6285D"/>
    <w:pPr>
      <w:outlineLvl w:val="0"/>
    </w:pPr>
    <w:rPr>
      <w:rFonts w:cstheme="minorHAnsi"/>
      <w:sz w:val="32"/>
      <w:szCs w:val="32"/>
    </w:rPr>
  </w:style>
  <w:style w:type="paragraph" w:styleId="Heading2">
    <w:name w:val="heading 2"/>
    <w:basedOn w:val="Normal"/>
    <w:next w:val="Normal"/>
    <w:link w:val="Heading2Char"/>
    <w:unhideWhenUsed/>
    <w:qFormat/>
    <w:rsid w:val="004C4CCD"/>
    <w:pPr>
      <w:outlineLvl w:val="1"/>
    </w:pPr>
    <w:rPr>
      <w:rFonts w:cstheme="minorHAnsi"/>
      <w:sz w:val="28"/>
      <w:szCs w:val="28"/>
    </w:rPr>
  </w:style>
  <w:style w:type="paragraph" w:styleId="Heading3">
    <w:name w:val="heading 3"/>
    <w:basedOn w:val="Normal"/>
    <w:next w:val="Normal"/>
    <w:link w:val="Heading3Char"/>
    <w:unhideWhenUsed/>
    <w:qFormat/>
    <w:rsid w:val="004C4CCD"/>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Normal"/>
    <w:next w:val="Normal"/>
    <w:link w:val="Heading4Char"/>
    <w:uiPriority w:val="9"/>
    <w:unhideWhenUsed/>
    <w:qFormat/>
    <w:rsid w:val="006C0815"/>
    <w:pPr>
      <w:keepNext/>
      <w:keepLines/>
      <w:spacing w:before="100" w:beforeAutospacing="1" w:after="240" w:line="240" w:lineRule="auto"/>
      <w:outlineLvl w:val="3"/>
    </w:pPr>
    <w:rPr>
      <w:rFonts w:ascii="Calibri" w:eastAsia="MS Gothic" w:hAnsi="Calibri" w:cs="Times New Roman"/>
      <w:bCs/>
      <w:i/>
      <w:iCs/>
      <w:color w:val="086F93" w:themeColor="accent1" w:themeShade="80"/>
      <w:sz w:val="24"/>
      <w:lang w:val="en-US" w:eastAsia="en-US"/>
    </w:rPr>
  </w:style>
  <w:style w:type="paragraph" w:styleId="Heading5">
    <w:name w:val="heading 5"/>
    <w:basedOn w:val="Normal"/>
    <w:next w:val="Normal"/>
    <w:link w:val="Heading5Char"/>
    <w:uiPriority w:val="9"/>
    <w:unhideWhenUsed/>
    <w:rsid w:val="006C0815"/>
    <w:pPr>
      <w:keepNext/>
      <w:keepLines/>
      <w:spacing w:before="100" w:beforeAutospacing="1" w:after="240" w:line="240" w:lineRule="auto"/>
      <w:outlineLvl w:val="4"/>
    </w:pPr>
    <w:rPr>
      <w:rFonts w:ascii="Calibri" w:eastAsia="MS Gothic" w:hAnsi="Calibri" w:cs="Times New Roman"/>
      <w:bCs/>
      <w:i/>
      <w:iCs/>
      <w:color w:val="086F93" w:themeColor="accent1" w:themeShade="80"/>
      <w:sz w:val="24"/>
      <w:lang w:val="en-US" w:eastAsia="en-US"/>
    </w:rPr>
  </w:style>
  <w:style w:type="paragraph" w:styleId="Heading6">
    <w:name w:val="heading 6"/>
    <w:basedOn w:val="Normal"/>
    <w:next w:val="Normal"/>
    <w:link w:val="Heading6Char"/>
    <w:uiPriority w:val="9"/>
    <w:semiHidden/>
    <w:unhideWhenUsed/>
    <w:qFormat/>
    <w:rsid w:val="00B41CA8"/>
    <w:pPr>
      <w:keepNext/>
      <w:keepLines/>
      <w:spacing w:before="40" w:after="0"/>
      <w:outlineLvl w:val="5"/>
    </w:pPr>
    <w:rPr>
      <w:rFonts w:ascii="Calibri" w:eastAsia="MS Gothic" w:hAnsi="Calibri" w:cs="Times New Roman"/>
      <w:i/>
      <w:iCs/>
      <w:sz w:val="23"/>
      <w:lang w:eastAsia="en-US"/>
    </w:rPr>
  </w:style>
  <w:style w:type="paragraph" w:styleId="Heading7">
    <w:name w:val="heading 7"/>
    <w:basedOn w:val="Normal"/>
    <w:next w:val="Normal"/>
    <w:link w:val="Heading7Char"/>
    <w:uiPriority w:val="9"/>
    <w:semiHidden/>
    <w:unhideWhenUsed/>
    <w:qFormat/>
    <w:rsid w:val="00B41CA8"/>
    <w:pPr>
      <w:keepNext/>
      <w:keepLines/>
      <w:spacing w:before="40" w:after="0"/>
      <w:outlineLvl w:val="6"/>
    </w:pPr>
    <w:rPr>
      <w:rFonts w:ascii="Cambria" w:eastAsia="MS Gothic" w:hAnsi="Cambria" w:cs="Times New Roman"/>
      <w:i/>
      <w:iCs/>
      <w:color w:val="404040"/>
      <w:sz w:val="23"/>
    </w:rPr>
  </w:style>
  <w:style w:type="paragraph" w:styleId="Heading8">
    <w:name w:val="heading 8"/>
    <w:basedOn w:val="Normal"/>
    <w:next w:val="Normal"/>
    <w:link w:val="Heading8Char"/>
    <w:uiPriority w:val="9"/>
    <w:semiHidden/>
    <w:unhideWhenUsed/>
    <w:qFormat/>
    <w:rsid w:val="00B41CA8"/>
    <w:pPr>
      <w:keepNext/>
      <w:keepLines/>
      <w:spacing w:before="40" w:after="0"/>
      <w:outlineLvl w:val="7"/>
    </w:pPr>
    <w:rPr>
      <w:rFonts w:ascii="Cambria" w:eastAsia="MS Gothic" w:hAnsi="Cambria" w:cs="Times New Roman"/>
      <w:color w:val="404040"/>
      <w:sz w:val="20"/>
      <w:szCs w:val="20"/>
    </w:rPr>
  </w:style>
  <w:style w:type="paragraph" w:styleId="Heading9">
    <w:name w:val="heading 9"/>
    <w:basedOn w:val="Normal"/>
    <w:next w:val="Normal"/>
    <w:link w:val="Heading9Char"/>
    <w:uiPriority w:val="9"/>
    <w:semiHidden/>
    <w:unhideWhenUsed/>
    <w:qFormat/>
    <w:rsid w:val="00B41CA8"/>
    <w:pPr>
      <w:keepNext/>
      <w:keepLines/>
      <w:spacing w:before="40" w:after="0"/>
      <w:outlineLvl w:val="8"/>
    </w:pPr>
    <w:rPr>
      <w:rFonts w:ascii="Cambria" w:eastAsia="MS Gothic"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s">
    <w:name w:val="Footnotes"/>
    <w:basedOn w:val="Normal"/>
    <w:link w:val="FootnotesChar"/>
    <w:qFormat/>
    <w:rsid w:val="001F59D4"/>
    <w:rPr>
      <w:sz w:val="20"/>
      <w:szCs w:val="20"/>
    </w:rPr>
  </w:style>
  <w:style w:type="character" w:customStyle="1" w:styleId="FootnotesChar">
    <w:name w:val="Footnotes Char"/>
    <w:basedOn w:val="DefaultParagraphFont"/>
    <w:link w:val="Footnotes"/>
    <w:rsid w:val="001F59D4"/>
    <w:rPr>
      <w:rFonts w:eastAsiaTheme="minorEastAsia"/>
      <w:sz w:val="20"/>
      <w:szCs w:val="20"/>
      <w:lang w:eastAsia="en-AU"/>
    </w:rPr>
  </w:style>
  <w:style w:type="character" w:styleId="Hyperlink">
    <w:name w:val="Hyperlink"/>
    <w:basedOn w:val="DefaultParagraphFont"/>
    <w:uiPriority w:val="99"/>
    <w:unhideWhenUsed/>
    <w:rsid w:val="007A5D36"/>
    <w:rPr>
      <w:color w:val="0000FF" w:themeColor="hyperlink"/>
      <w:u w:val="single"/>
    </w:rPr>
  </w:style>
  <w:style w:type="paragraph" w:styleId="Title">
    <w:name w:val="Title"/>
    <w:basedOn w:val="Normal"/>
    <w:next w:val="Normal"/>
    <w:link w:val="TitleChar"/>
    <w:rsid w:val="00C81175"/>
    <w:pPr>
      <w:outlineLvl w:val="0"/>
    </w:pPr>
    <w:rPr>
      <w:rFonts w:cstheme="minorHAnsi"/>
      <w:sz w:val="48"/>
      <w:szCs w:val="48"/>
      <w:lang w:val="en-US"/>
    </w:rPr>
  </w:style>
  <w:style w:type="paragraph" w:styleId="ListParagraph">
    <w:name w:val="List Paragraph"/>
    <w:basedOn w:val="Normal"/>
    <w:uiPriority w:val="34"/>
    <w:qFormat/>
    <w:rsid w:val="00BD42C5"/>
    <w:pPr>
      <w:ind w:left="720"/>
      <w:contextualSpacing/>
    </w:pPr>
  </w:style>
  <w:style w:type="paragraph" w:styleId="Subtitle">
    <w:name w:val="Subtitle"/>
    <w:basedOn w:val="Normal"/>
    <w:next w:val="Normal"/>
    <w:link w:val="SubtitleChar"/>
    <w:uiPriority w:val="11"/>
    <w:qFormat/>
    <w:rsid w:val="003C3084"/>
    <w:pPr>
      <w:numPr>
        <w:ilvl w:val="1"/>
      </w:numPr>
    </w:pPr>
    <w:rPr>
      <w:rFonts w:asciiTheme="majorHAnsi" w:eastAsiaTheme="majorEastAsia" w:hAnsiTheme="majorHAnsi" w:cstheme="majorBidi"/>
      <w:i/>
      <w:iCs/>
      <w:color w:val="43C7F4" w:themeColor="accent1"/>
      <w:spacing w:val="15"/>
      <w:sz w:val="24"/>
      <w:szCs w:val="24"/>
    </w:rPr>
  </w:style>
  <w:style w:type="character" w:customStyle="1" w:styleId="SubtitleChar">
    <w:name w:val="Subtitle Char"/>
    <w:basedOn w:val="DefaultParagraphFont"/>
    <w:link w:val="Subtitle"/>
    <w:uiPriority w:val="11"/>
    <w:rsid w:val="003C3084"/>
    <w:rPr>
      <w:rFonts w:asciiTheme="majorHAnsi" w:eastAsiaTheme="majorEastAsia" w:hAnsiTheme="majorHAnsi" w:cstheme="majorBidi"/>
      <w:i/>
      <w:iCs/>
      <w:color w:val="43C7F4" w:themeColor="accent1"/>
      <w:spacing w:val="15"/>
      <w:sz w:val="24"/>
      <w:szCs w:val="24"/>
      <w:lang w:eastAsia="en-AU"/>
    </w:rPr>
  </w:style>
  <w:style w:type="character" w:customStyle="1" w:styleId="Heading1Char">
    <w:name w:val="Heading 1 Char"/>
    <w:basedOn w:val="DefaultParagraphFont"/>
    <w:link w:val="Heading1"/>
    <w:uiPriority w:val="9"/>
    <w:rsid w:val="00E6285D"/>
    <w:rPr>
      <w:rFonts w:eastAsiaTheme="minorEastAsia" w:cstheme="minorHAnsi"/>
      <w:sz w:val="32"/>
      <w:szCs w:val="32"/>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7B1E9D"/>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7B1E9D"/>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rsid w:val="004C4CCD"/>
    <w:rPr>
      <w:rFonts w:eastAsiaTheme="minorEastAsia" w:cstheme="minorHAnsi"/>
      <w:sz w:val="28"/>
      <w:szCs w:val="28"/>
      <w:lang w:eastAsia="en-AU"/>
    </w:rPr>
  </w:style>
  <w:style w:type="character" w:customStyle="1" w:styleId="Heading3Char">
    <w:name w:val="Heading 3 Char"/>
    <w:basedOn w:val="DefaultParagraphFont"/>
    <w:link w:val="Heading3"/>
    <w:rsid w:val="004C4CCD"/>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character" w:customStyle="1" w:styleId="TitleChar">
    <w:name w:val="Title Char"/>
    <w:basedOn w:val="DefaultParagraphFont"/>
    <w:link w:val="Title"/>
    <w:rsid w:val="00C81175"/>
    <w:rPr>
      <w:rFonts w:eastAsiaTheme="minorEastAsia" w:cstheme="minorHAnsi"/>
      <w:sz w:val="48"/>
      <w:szCs w:val="48"/>
      <w:lang w:val="en-US" w:eastAsia="en-AU"/>
    </w:r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IntenseQuote"/>
    <w:autoRedefine/>
    <w:qFormat/>
    <w:rsid w:val="00E146E9"/>
    <w:pPr>
      <w:pBdr>
        <w:top w:val="single" w:sz="36" w:space="10" w:color="43C7F4" w:themeColor="accent1"/>
        <w:bottom w:val="single" w:sz="36" w:space="10" w:color="43C7F4" w:themeColor="accent1"/>
      </w:pBdr>
      <w:ind w:left="0" w:right="-46"/>
      <w:jc w:val="left"/>
    </w:pPr>
    <w:rPr>
      <w:rFonts w:ascii="Verdana" w:hAnsi="Verdana"/>
      <w:b/>
      <w:color w:val="auto"/>
      <w:sz w:val="16"/>
      <w:lang w:val="en-US"/>
      <w14:textOutline w14:w="1270" w14:cap="rnd" w14:cmpd="sng" w14:algn="ctr">
        <w14:solidFill>
          <w14:schemeClr w14:val="tx1"/>
        </w14:solidFill>
        <w14:prstDash w14:val="solid"/>
        <w14:bevel/>
      </w14:textOutline>
    </w:rPr>
  </w:style>
  <w:style w:type="paragraph" w:styleId="IntenseQuote">
    <w:name w:val="Intense Quote"/>
    <w:basedOn w:val="Normal"/>
    <w:next w:val="Normal"/>
    <w:link w:val="IntenseQuoteChar"/>
    <w:uiPriority w:val="30"/>
    <w:qFormat/>
    <w:rsid w:val="001531E7"/>
    <w:pPr>
      <w:pBdr>
        <w:top w:val="single" w:sz="4" w:space="10" w:color="43C7F4" w:themeColor="accent1"/>
        <w:bottom w:val="single" w:sz="4" w:space="10" w:color="43C7F4" w:themeColor="accent1"/>
      </w:pBdr>
      <w:spacing w:before="360" w:after="360"/>
      <w:ind w:left="864" w:right="864"/>
      <w:jc w:val="center"/>
    </w:pPr>
    <w:rPr>
      <w:i/>
      <w:iCs/>
      <w:color w:val="43C7F4" w:themeColor="accent1"/>
    </w:rPr>
  </w:style>
  <w:style w:type="character" w:customStyle="1" w:styleId="IntenseQuoteChar">
    <w:name w:val="Intense Quote Char"/>
    <w:basedOn w:val="DefaultParagraphFont"/>
    <w:link w:val="IntenseQuote"/>
    <w:uiPriority w:val="30"/>
    <w:rsid w:val="001531E7"/>
    <w:rPr>
      <w:rFonts w:eastAsiaTheme="minorEastAsia"/>
      <w:i/>
      <w:iCs/>
      <w:color w:val="43C7F4" w:themeColor="accent1"/>
      <w:lang w:eastAsia="en-AU"/>
    </w:rPr>
  </w:style>
  <w:style w:type="character" w:customStyle="1" w:styleId="Heading4Char">
    <w:name w:val="Heading 4 Char"/>
    <w:basedOn w:val="DefaultParagraphFont"/>
    <w:link w:val="Heading4"/>
    <w:uiPriority w:val="9"/>
    <w:rsid w:val="006C0815"/>
    <w:rPr>
      <w:rFonts w:ascii="Calibri" w:eastAsia="MS Gothic" w:hAnsi="Calibri" w:cs="Times New Roman"/>
      <w:bCs/>
      <w:i/>
      <w:iCs/>
      <w:color w:val="086F93" w:themeColor="accent1" w:themeShade="80"/>
      <w:sz w:val="24"/>
      <w:lang w:val="en-US"/>
    </w:rPr>
  </w:style>
  <w:style w:type="paragraph" w:customStyle="1" w:styleId="Heading71">
    <w:name w:val="Heading 71"/>
    <w:next w:val="Normal"/>
    <w:uiPriority w:val="9"/>
    <w:semiHidden/>
    <w:unhideWhenUsed/>
    <w:rsid w:val="00B41CA8"/>
    <w:pPr>
      <w:keepNext/>
      <w:keepLines/>
      <w:spacing w:before="200" w:after="0" w:line="240" w:lineRule="auto"/>
      <w:outlineLvl w:val="6"/>
    </w:pPr>
    <w:rPr>
      <w:rFonts w:ascii="Cambria" w:eastAsia="MS Gothic" w:hAnsi="Cambria" w:cs="Times New Roman"/>
      <w:i/>
      <w:iCs/>
      <w:color w:val="404040"/>
      <w:sz w:val="23"/>
      <w:lang w:eastAsia="en-AU"/>
    </w:rPr>
  </w:style>
  <w:style w:type="paragraph" w:customStyle="1" w:styleId="Heading81">
    <w:name w:val="Heading 81"/>
    <w:basedOn w:val="Normal"/>
    <w:next w:val="Normal"/>
    <w:uiPriority w:val="9"/>
    <w:semiHidden/>
    <w:unhideWhenUsed/>
    <w:qFormat/>
    <w:rsid w:val="00B41CA8"/>
    <w:pPr>
      <w:keepNext/>
      <w:keepLines/>
      <w:spacing w:before="200" w:beforeAutospacing="1" w:after="0" w:afterAutospacing="1" w:line="240" w:lineRule="auto"/>
      <w:outlineLvl w:val="7"/>
    </w:pPr>
    <w:rPr>
      <w:rFonts w:ascii="Cambria" w:eastAsia="MS Gothic" w:hAnsi="Cambria" w:cs="Times New Roman"/>
      <w:color w:val="404040"/>
      <w:sz w:val="20"/>
      <w:szCs w:val="20"/>
    </w:rPr>
  </w:style>
  <w:style w:type="paragraph" w:customStyle="1" w:styleId="Heading91">
    <w:name w:val="Heading 91"/>
    <w:basedOn w:val="Normal"/>
    <w:next w:val="Normal"/>
    <w:uiPriority w:val="9"/>
    <w:semiHidden/>
    <w:unhideWhenUsed/>
    <w:qFormat/>
    <w:rsid w:val="00B41CA8"/>
    <w:pPr>
      <w:keepNext/>
      <w:keepLines/>
      <w:spacing w:before="200" w:beforeAutospacing="1" w:after="0" w:afterAutospacing="1" w:line="240" w:lineRule="auto"/>
      <w:outlineLvl w:val="8"/>
    </w:pPr>
    <w:rPr>
      <w:rFonts w:ascii="Cambria" w:eastAsia="MS Gothic" w:hAnsi="Cambria" w:cs="Times New Roman"/>
      <w:i/>
      <w:iCs/>
      <w:color w:val="404040"/>
      <w:sz w:val="20"/>
      <w:szCs w:val="20"/>
    </w:rPr>
  </w:style>
  <w:style w:type="numbering" w:customStyle="1" w:styleId="NoList1">
    <w:name w:val="No List1"/>
    <w:next w:val="NoList"/>
    <w:uiPriority w:val="99"/>
    <w:semiHidden/>
    <w:unhideWhenUsed/>
    <w:rsid w:val="00B41CA8"/>
  </w:style>
  <w:style w:type="character" w:customStyle="1" w:styleId="Heading5Char">
    <w:name w:val="Heading 5 Char"/>
    <w:basedOn w:val="DefaultParagraphFont"/>
    <w:link w:val="Heading5"/>
    <w:uiPriority w:val="9"/>
    <w:rsid w:val="006C0815"/>
    <w:rPr>
      <w:rFonts w:ascii="Calibri" w:eastAsia="MS Gothic" w:hAnsi="Calibri" w:cs="Times New Roman"/>
      <w:bCs/>
      <w:i/>
      <w:iCs/>
      <w:color w:val="086F93" w:themeColor="accent1" w:themeShade="80"/>
      <w:sz w:val="24"/>
      <w:lang w:val="en-US"/>
    </w:rPr>
  </w:style>
  <w:style w:type="character" w:customStyle="1" w:styleId="Heading6Char">
    <w:name w:val="Heading 6 Char"/>
    <w:basedOn w:val="DefaultParagraphFont"/>
    <w:link w:val="Heading6"/>
    <w:uiPriority w:val="9"/>
    <w:rsid w:val="00B41CA8"/>
    <w:rPr>
      <w:rFonts w:ascii="Calibri" w:eastAsia="MS Gothic" w:hAnsi="Calibri" w:cs="Times New Roman"/>
      <w:i/>
      <w:iCs/>
      <w:sz w:val="23"/>
    </w:rPr>
  </w:style>
  <w:style w:type="numbering" w:customStyle="1" w:styleId="Appendices">
    <w:name w:val="Appendices"/>
    <w:uiPriority w:val="99"/>
    <w:rsid w:val="00B41CA8"/>
    <w:pPr>
      <w:numPr>
        <w:numId w:val="4"/>
      </w:numPr>
    </w:pPr>
  </w:style>
  <w:style w:type="character" w:styleId="EndnoteReference">
    <w:name w:val="endnote reference"/>
    <w:basedOn w:val="DefaultParagraphFont"/>
    <w:uiPriority w:val="99"/>
    <w:semiHidden/>
    <w:unhideWhenUsed/>
    <w:rsid w:val="00B41CA8"/>
    <w:rPr>
      <w:vertAlign w:val="superscript"/>
    </w:rPr>
  </w:style>
  <w:style w:type="paragraph" w:customStyle="1" w:styleId="EndnoteText1">
    <w:name w:val="Endnote Text1"/>
    <w:basedOn w:val="Normal"/>
    <w:next w:val="EndnoteText"/>
    <w:link w:val="EndnoteTextChar"/>
    <w:uiPriority w:val="99"/>
    <w:semiHidden/>
    <w:unhideWhenUsed/>
    <w:rsid w:val="00B41CA8"/>
    <w:pPr>
      <w:spacing w:before="100" w:beforeAutospacing="1" w:after="100" w:afterAutospacing="1" w:line="240" w:lineRule="auto"/>
    </w:pPr>
    <w:rPr>
      <w:rFonts w:eastAsiaTheme="minorHAnsi"/>
      <w:sz w:val="20"/>
      <w:szCs w:val="20"/>
      <w:lang w:val="en-GB" w:eastAsia="en-US"/>
    </w:rPr>
  </w:style>
  <w:style w:type="character" w:customStyle="1" w:styleId="EndnoteTextChar">
    <w:name w:val="Endnote Text Char"/>
    <w:basedOn w:val="DefaultParagraphFont"/>
    <w:link w:val="EndnoteText1"/>
    <w:uiPriority w:val="99"/>
    <w:semiHidden/>
    <w:rsid w:val="00B41CA8"/>
    <w:rPr>
      <w:sz w:val="20"/>
      <w:szCs w:val="20"/>
      <w:lang w:val="en-GB"/>
    </w:rPr>
  </w:style>
  <w:style w:type="character" w:styleId="Strong">
    <w:name w:val="Strong"/>
    <w:basedOn w:val="DefaultParagraphFont"/>
    <w:uiPriority w:val="22"/>
    <w:rsid w:val="00B41CA8"/>
    <w:rPr>
      <w:b/>
      <w:bCs/>
    </w:rPr>
  </w:style>
  <w:style w:type="paragraph" w:styleId="NormalWeb">
    <w:name w:val="Normal (Web)"/>
    <w:basedOn w:val="Normal"/>
    <w:uiPriority w:val="99"/>
    <w:semiHidden/>
    <w:unhideWhenUsed/>
    <w:rsid w:val="00B41CA8"/>
    <w:pPr>
      <w:spacing w:before="140" w:beforeAutospacing="1" w:after="140" w:afterAutospacing="1" w:line="240" w:lineRule="auto"/>
    </w:pPr>
    <w:rPr>
      <w:rFonts w:ascii="Trebuchet MS" w:eastAsia="Times New Roman" w:hAnsi="Trebuchet MS" w:cs="Times New Roman"/>
      <w:sz w:val="24"/>
      <w:szCs w:val="24"/>
    </w:rPr>
  </w:style>
  <w:style w:type="table" w:styleId="TableGrid">
    <w:name w:val="Table Grid"/>
    <w:basedOn w:val="TableNormal"/>
    <w:uiPriority w:val="59"/>
    <w:rsid w:val="00B41C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CCANtable">
    <w:name w:val="ACCAN table"/>
    <w:basedOn w:val="TableNormal"/>
    <w:uiPriority w:val="99"/>
    <w:rsid w:val="00B41CA8"/>
    <w:pPr>
      <w:spacing w:after="0" w:line="240" w:lineRule="auto"/>
    </w:pPr>
    <w:tblPr>
      <w:jc w:val="center"/>
      <w:tblBorders>
        <w:top w:val="single" w:sz="4" w:space="0" w:color="44C8F5"/>
        <w:bottom w:val="single" w:sz="4" w:space="0" w:color="44C8F5"/>
        <w:insideH w:val="single" w:sz="4" w:space="0" w:color="44C8F5"/>
      </w:tblBorders>
      <w:tblCellMar>
        <w:top w:w="108" w:type="dxa"/>
        <w:bottom w:w="108" w:type="dxa"/>
      </w:tblCellMar>
    </w:tblPr>
    <w:trPr>
      <w:jc w:val="center"/>
    </w:trPr>
    <w:tblStylePr w:type="firstRow">
      <w:pPr>
        <w:jc w:val="left"/>
      </w:pPr>
      <w:rPr>
        <w:rFonts w:ascii="Calibri" w:hAnsi="Calibri"/>
        <w:b/>
        <w:color w:val="auto"/>
        <w:sz w:val="22"/>
      </w:rPr>
      <w:tblPr/>
      <w:tcPr>
        <w:shd w:val="clear" w:color="auto" w:fill="44C8F5"/>
      </w:tcPr>
    </w:tblStylePr>
    <w:tblStylePr w:type="lastRow">
      <w:pPr>
        <w:jc w:val="left"/>
      </w:pPr>
    </w:tblStylePr>
  </w:style>
  <w:style w:type="character" w:customStyle="1" w:styleId="Heading7Char">
    <w:name w:val="Heading 7 Char"/>
    <w:basedOn w:val="DefaultParagraphFont"/>
    <w:link w:val="Heading7"/>
    <w:uiPriority w:val="9"/>
    <w:semiHidden/>
    <w:rsid w:val="00B41CA8"/>
    <w:rPr>
      <w:rFonts w:ascii="Cambria" w:eastAsia="MS Gothic" w:hAnsi="Cambria" w:cs="Times New Roman"/>
      <w:i/>
      <w:iCs/>
      <w:color w:val="404040"/>
      <w:sz w:val="23"/>
      <w:lang w:eastAsia="en-AU"/>
    </w:rPr>
  </w:style>
  <w:style w:type="paragraph" w:customStyle="1" w:styleId="Recommendation">
    <w:name w:val="Recommendation"/>
    <w:basedOn w:val="Normal"/>
    <w:link w:val="RecommendationChar"/>
    <w:qFormat/>
    <w:rsid w:val="006A30FD"/>
    <w:pPr>
      <w:numPr>
        <w:numId w:val="7"/>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table" w:customStyle="1" w:styleId="LightShading-Accent11">
    <w:name w:val="Light Shading - Accent 11"/>
    <w:basedOn w:val="TableNormal"/>
    <w:next w:val="LightShading-Accent1"/>
    <w:uiPriority w:val="60"/>
    <w:rsid w:val="00B41CA8"/>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RecommendationChar">
    <w:name w:val="Recommendation Char"/>
    <w:basedOn w:val="DefaultParagraphFont"/>
    <w:link w:val="Recommendation"/>
    <w:rsid w:val="006A30FD"/>
    <w:rPr>
      <w:rFonts w:ascii="Calibri" w:eastAsiaTheme="minorEastAsia" w:hAnsi="Calibri"/>
    </w:rPr>
  </w:style>
  <w:style w:type="numbering" w:customStyle="1" w:styleId="Headings">
    <w:name w:val="Headings"/>
    <w:uiPriority w:val="99"/>
    <w:rsid w:val="00B41CA8"/>
    <w:pPr>
      <w:numPr>
        <w:numId w:val="1"/>
      </w:numPr>
    </w:pPr>
  </w:style>
  <w:style w:type="numbering" w:customStyle="1" w:styleId="Bullets">
    <w:name w:val="Bullets"/>
    <w:uiPriority w:val="99"/>
    <w:rsid w:val="00B41CA8"/>
    <w:pPr>
      <w:numPr>
        <w:numId w:val="2"/>
      </w:numPr>
    </w:pPr>
  </w:style>
  <w:style w:type="character" w:customStyle="1" w:styleId="Heading8Char">
    <w:name w:val="Heading 8 Char"/>
    <w:basedOn w:val="DefaultParagraphFont"/>
    <w:link w:val="Heading8"/>
    <w:uiPriority w:val="9"/>
    <w:semiHidden/>
    <w:rsid w:val="00B41CA8"/>
    <w:rPr>
      <w:rFonts w:ascii="Cambria" w:eastAsia="MS Gothic" w:hAnsi="Cambria" w:cs="Times New Roman"/>
      <w:color w:val="404040"/>
      <w:sz w:val="20"/>
      <w:szCs w:val="20"/>
      <w:lang w:eastAsia="en-AU"/>
    </w:rPr>
  </w:style>
  <w:style w:type="character" w:customStyle="1" w:styleId="Heading9Char">
    <w:name w:val="Heading 9 Char"/>
    <w:basedOn w:val="DefaultParagraphFont"/>
    <w:link w:val="Heading9"/>
    <w:uiPriority w:val="9"/>
    <w:semiHidden/>
    <w:rsid w:val="00B41CA8"/>
    <w:rPr>
      <w:rFonts w:ascii="Cambria" w:eastAsia="MS Gothic" w:hAnsi="Cambria" w:cs="Times New Roman"/>
      <w:i/>
      <w:iCs/>
      <w:color w:val="404040"/>
      <w:sz w:val="20"/>
      <w:szCs w:val="20"/>
      <w:lang w:eastAsia="en-AU"/>
    </w:rPr>
  </w:style>
  <w:style w:type="paragraph" w:customStyle="1" w:styleId="Bulletlist1">
    <w:name w:val="Bullet list 1"/>
    <w:basedOn w:val="Normal"/>
    <w:link w:val="Bulletlist1Char"/>
    <w:qFormat/>
    <w:rsid w:val="00B41CA8"/>
    <w:pPr>
      <w:numPr>
        <w:numId w:val="3"/>
      </w:numPr>
      <w:spacing w:before="100" w:beforeAutospacing="1" w:after="100" w:afterAutospacing="1" w:line="240" w:lineRule="auto"/>
    </w:pPr>
    <w:rPr>
      <w:rFonts w:ascii="Calibri" w:hAnsi="Calibri"/>
    </w:rPr>
  </w:style>
  <w:style w:type="paragraph" w:customStyle="1" w:styleId="Bulletlist2">
    <w:name w:val="Bullet list 2"/>
    <w:basedOn w:val="Bulletlist1"/>
    <w:link w:val="Bulletlist2Char"/>
    <w:qFormat/>
    <w:rsid w:val="00B41CA8"/>
    <w:pPr>
      <w:numPr>
        <w:ilvl w:val="1"/>
      </w:numPr>
    </w:pPr>
  </w:style>
  <w:style w:type="character" w:customStyle="1" w:styleId="Bulletlist1Char">
    <w:name w:val="Bullet list 1 Char"/>
    <w:basedOn w:val="DefaultParagraphFont"/>
    <w:link w:val="Bulletlist1"/>
    <w:rsid w:val="00B41CA8"/>
    <w:rPr>
      <w:rFonts w:ascii="Calibri" w:eastAsiaTheme="minorEastAsia" w:hAnsi="Calibri"/>
      <w:lang w:eastAsia="en-AU"/>
    </w:rPr>
  </w:style>
  <w:style w:type="paragraph" w:customStyle="1" w:styleId="Bulletlist3">
    <w:name w:val="Bullet list 3"/>
    <w:basedOn w:val="Bulletlist2"/>
    <w:link w:val="Bulletlist3Char"/>
    <w:qFormat/>
    <w:rsid w:val="00B41CA8"/>
    <w:pPr>
      <w:numPr>
        <w:ilvl w:val="2"/>
      </w:numPr>
    </w:pPr>
  </w:style>
  <w:style w:type="character" w:customStyle="1" w:styleId="Bulletlist2Char">
    <w:name w:val="Bullet list 2 Char"/>
    <w:basedOn w:val="Bulletlist1Char"/>
    <w:link w:val="Bulletlist2"/>
    <w:rsid w:val="00B41CA8"/>
    <w:rPr>
      <w:rFonts w:ascii="Calibri" w:eastAsiaTheme="minorEastAsia" w:hAnsi="Calibri"/>
      <w:lang w:eastAsia="en-AU"/>
    </w:rPr>
  </w:style>
  <w:style w:type="character" w:customStyle="1" w:styleId="Bulletlist3Char">
    <w:name w:val="Bullet list 3 Char"/>
    <w:basedOn w:val="Bulletlist2Char"/>
    <w:link w:val="Bulletlist3"/>
    <w:rsid w:val="00B41CA8"/>
    <w:rPr>
      <w:rFonts w:ascii="Calibri" w:eastAsiaTheme="minorEastAsia" w:hAnsi="Calibri"/>
      <w:lang w:eastAsia="en-AU"/>
    </w:rPr>
  </w:style>
  <w:style w:type="numbering" w:customStyle="1" w:styleId="Blockquotebullets">
    <w:name w:val="Blockquote bullets"/>
    <w:uiPriority w:val="99"/>
    <w:rsid w:val="00B41CA8"/>
    <w:pPr>
      <w:numPr>
        <w:numId w:val="6"/>
      </w:numPr>
    </w:pPr>
  </w:style>
  <w:style w:type="paragraph" w:customStyle="1" w:styleId="Casestudyheading">
    <w:name w:val="Case study heading"/>
    <w:basedOn w:val="Normal"/>
    <w:next w:val="Normal"/>
    <w:link w:val="CasestudyheadingChar"/>
    <w:rsid w:val="00B41CA8"/>
    <w:pPr>
      <w:keepNext/>
      <w:spacing w:before="100" w:beforeAutospacing="1" w:after="100" w:afterAutospacing="1" w:line="240" w:lineRule="auto"/>
      <w:ind w:left="851" w:right="851"/>
    </w:pPr>
    <w:rPr>
      <w:rFonts w:ascii="Calibri" w:hAnsi="Calibri"/>
      <w:b/>
      <w:lang w:eastAsia="en-US"/>
    </w:rPr>
  </w:style>
  <w:style w:type="character" w:customStyle="1" w:styleId="CasestudyheadingChar">
    <w:name w:val="Case study heading Char"/>
    <w:basedOn w:val="DefaultParagraphFont"/>
    <w:link w:val="Casestudyheading"/>
    <w:rsid w:val="00B41CA8"/>
    <w:rPr>
      <w:rFonts w:ascii="Calibri" w:eastAsiaTheme="minorEastAsia" w:hAnsi="Calibri"/>
      <w:b/>
    </w:rPr>
  </w:style>
  <w:style w:type="paragraph" w:customStyle="1" w:styleId="Casestudy">
    <w:name w:val="Case study"/>
    <w:basedOn w:val="Casestudyheading"/>
    <w:link w:val="CasestudyChar"/>
    <w:rsid w:val="00B41CA8"/>
    <w:pPr>
      <w:keepNext w:val="0"/>
    </w:pPr>
    <w:rPr>
      <w:b w:val="0"/>
    </w:rPr>
  </w:style>
  <w:style w:type="character" w:customStyle="1" w:styleId="CasestudyChar">
    <w:name w:val="Case study Char"/>
    <w:basedOn w:val="CasestudyheadingChar"/>
    <w:link w:val="Casestudy"/>
    <w:rsid w:val="00B41CA8"/>
    <w:rPr>
      <w:rFonts w:ascii="Calibri" w:eastAsiaTheme="minorEastAsia" w:hAnsi="Calibri"/>
      <w:b w:val="0"/>
    </w:rPr>
  </w:style>
  <w:style w:type="paragraph" w:customStyle="1" w:styleId="Casestudyquote">
    <w:name w:val="Case study quote"/>
    <w:basedOn w:val="Casestudy"/>
    <w:link w:val="CasestudyquoteChar"/>
    <w:rsid w:val="00B41CA8"/>
    <w:pPr>
      <w:ind w:left="1418" w:right="1418"/>
    </w:pPr>
  </w:style>
  <w:style w:type="character" w:customStyle="1" w:styleId="CasestudyquoteChar">
    <w:name w:val="Case study quote Char"/>
    <w:basedOn w:val="CasestudyChar"/>
    <w:link w:val="Casestudyquote"/>
    <w:rsid w:val="00B41CA8"/>
    <w:rPr>
      <w:rFonts w:ascii="Calibri" w:eastAsiaTheme="minorEastAsia" w:hAnsi="Calibri"/>
      <w:b w:val="0"/>
    </w:rPr>
  </w:style>
  <w:style w:type="numbering" w:customStyle="1" w:styleId="Recommendations">
    <w:name w:val="Recommendations"/>
    <w:uiPriority w:val="99"/>
    <w:rsid w:val="00B41CA8"/>
    <w:pPr>
      <w:numPr>
        <w:numId w:val="7"/>
      </w:numPr>
    </w:pPr>
  </w:style>
  <w:style w:type="character" w:customStyle="1" w:styleId="Heading5Char1">
    <w:name w:val="Heading 5 Char1"/>
    <w:basedOn w:val="DefaultParagraphFont"/>
    <w:uiPriority w:val="9"/>
    <w:semiHidden/>
    <w:rsid w:val="00B41CA8"/>
    <w:rPr>
      <w:rFonts w:asciiTheme="majorHAnsi" w:eastAsiaTheme="majorEastAsia" w:hAnsiTheme="majorHAnsi" w:cstheme="majorBidi"/>
      <w:color w:val="0DA6DB" w:themeColor="accent1" w:themeShade="BF"/>
      <w:lang w:eastAsia="en-AU"/>
    </w:rPr>
  </w:style>
  <w:style w:type="character" w:customStyle="1" w:styleId="Heading6Char1">
    <w:name w:val="Heading 6 Char1"/>
    <w:basedOn w:val="DefaultParagraphFont"/>
    <w:uiPriority w:val="9"/>
    <w:semiHidden/>
    <w:rsid w:val="00B41CA8"/>
    <w:rPr>
      <w:rFonts w:asciiTheme="majorHAnsi" w:eastAsiaTheme="majorEastAsia" w:hAnsiTheme="majorHAnsi" w:cstheme="majorBidi"/>
      <w:color w:val="086E92" w:themeColor="accent1" w:themeShade="7F"/>
      <w:lang w:eastAsia="en-AU"/>
    </w:rPr>
  </w:style>
  <w:style w:type="paragraph" w:styleId="EndnoteText">
    <w:name w:val="endnote text"/>
    <w:basedOn w:val="Normal"/>
    <w:link w:val="EndnoteTextChar1"/>
    <w:uiPriority w:val="99"/>
    <w:semiHidden/>
    <w:unhideWhenUsed/>
    <w:rsid w:val="00B41CA8"/>
    <w:pPr>
      <w:spacing w:after="0" w:line="240" w:lineRule="auto"/>
    </w:pPr>
    <w:rPr>
      <w:sz w:val="20"/>
      <w:szCs w:val="20"/>
    </w:rPr>
  </w:style>
  <w:style w:type="character" w:customStyle="1" w:styleId="EndnoteTextChar1">
    <w:name w:val="Endnote Text Char1"/>
    <w:basedOn w:val="DefaultParagraphFont"/>
    <w:link w:val="EndnoteText"/>
    <w:uiPriority w:val="99"/>
    <w:semiHidden/>
    <w:rsid w:val="00B41CA8"/>
    <w:rPr>
      <w:rFonts w:eastAsiaTheme="minorEastAsia"/>
      <w:sz w:val="20"/>
      <w:szCs w:val="20"/>
      <w:lang w:eastAsia="en-AU"/>
    </w:rPr>
  </w:style>
  <w:style w:type="paragraph" w:styleId="NoSpacing">
    <w:name w:val="No Spacing"/>
    <w:uiPriority w:val="1"/>
    <w:qFormat/>
    <w:rsid w:val="00B41CA8"/>
    <w:pPr>
      <w:spacing w:after="0" w:line="240" w:lineRule="auto"/>
    </w:pPr>
    <w:rPr>
      <w:rFonts w:eastAsiaTheme="minorEastAsia"/>
      <w:lang w:eastAsia="en-AU"/>
    </w:rPr>
  </w:style>
  <w:style w:type="character" w:customStyle="1" w:styleId="Heading7Char1">
    <w:name w:val="Heading 7 Char1"/>
    <w:basedOn w:val="DefaultParagraphFont"/>
    <w:uiPriority w:val="9"/>
    <w:semiHidden/>
    <w:rsid w:val="00B41CA8"/>
    <w:rPr>
      <w:rFonts w:asciiTheme="majorHAnsi" w:eastAsiaTheme="majorEastAsia" w:hAnsiTheme="majorHAnsi" w:cstheme="majorBidi"/>
      <w:i/>
      <w:iCs/>
      <w:color w:val="086E92" w:themeColor="accent1" w:themeShade="7F"/>
      <w:lang w:eastAsia="en-AU"/>
    </w:rPr>
  </w:style>
  <w:style w:type="table" w:styleId="LightShading-Accent1">
    <w:name w:val="Light Shading Accent 1"/>
    <w:basedOn w:val="TableNormal"/>
    <w:uiPriority w:val="60"/>
    <w:semiHidden/>
    <w:unhideWhenUsed/>
    <w:rsid w:val="00B41CA8"/>
    <w:pPr>
      <w:spacing w:after="0" w:line="240" w:lineRule="auto"/>
    </w:pPr>
    <w:rPr>
      <w:color w:val="0DA6DB" w:themeColor="accent1" w:themeShade="BF"/>
    </w:rPr>
    <w:tblPr>
      <w:tblStyleRowBandSize w:val="1"/>
      <w:tblStyleColBandSize w:val="1"/>
      <w:tblBorders>
        <w:top w:val="single" w:sz="8" w:space="0" w:color="43C7F4" w:themeColor="accent1"/>
        <w:bottom w:val="single" w:sz="8" w:space="0" w:color="43C7F4" w:themeColor="accent1"/>
      </w:tblBorders>
    </w:tblPr>
    <w:tblStylePr w:type="firstRow">
      <w:pPr>
        <w:spacing w:before="0" w:after="0" w:line="240" w:lineRule="auto"/>
      </w:pPr>
      <w:rPr>
        <w:b/>
        <w:bCs/>
      </w:rPr>
      <w:tblPr/>
      <w:tcPr>
        <w:tcBorders>
          <w:top w:val="single" w:sz="8" w:space="0" w:color="43C7F4" w:themeColor="accent1"/>
          <w:left w:val="nil"/>
          <w:bottom w:val="single" w:sz="8" w:space="0" w:color="43C7F4" w:themeColor="accent1"/>
          <w:right w:val="nil"/>
          <w:insideH w:val="nil"/>
          <w:insideV w:val="nil"/>
        </w:tcBorders>
      </w:tcPr>
    </w:tblStylePr>
    <w:tblStylePr w:type="lastRow">
      <w:pPr>
        <w:spacing w:before="0" w:after="0" w:line="240" w:lineRule="auto"/>
      </w:pPr>
      <w:rPr>
        <w:b/>
        <w:bCs/>
      </w:rPr>
      <w:tblPr/>
      <w:tcPr>
        <w:tcBorders>
          <w:top w:val="single" w:sz="8" w:space="0" w:color="43C7F4" w:themeColor="accent1"/>
          <w:left w:val="nil"/>
          <w:bottom w:val="single" w:sz="8" w:space="0" w:color="43C7F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F1FC" w:themeFill="accent1" w:themeFillTint="3F"/>
      </w:tcPr>
    </w:tblStylePr>
    <w:tblStylePr w:type="band1Horz">
      <w:tblPr/>
      <w:tcPr>
        <w:tcBorders>
          <w:left w:val="nil"/>
          <w:right w:val="nil"/>
          <w:insideH w:val="nil"/>
          <w:insideV w:val="nil"/>
        </w:tcBorders>
        <w:shd w:val="clear" w:color="auto" w:fill="D0F1FC" w:themeFill="accent1" w:themeFillTint="3F"/>
      </w:tcPr>
    </w:tblStylePr>
  </w:style>
  <w:style w:type="character" w:customStyle="1" w:styleId="Heading8Char1">
    <w:name w:val="Heading 8 Char1"/>
    <w:basedOn w:val="DefaultParagraphFont"/>
    <w:uiPriority w:val="9"/>
    <w:semiHidden/>
    <w:rsid w:val="00B41CA8"/>
    <w:rPr>
      <w:rFonts w:asciiTheme="majorHAnsi" w:eastAsiaTheme="majorEastAsia" w:hAnsiTheme="majorHAnsi" w:cstheme="majorBidi"/>
      <w:color w:val="272727" w:themeColor="text1" w:themeTint="D8"/>
      <w:sz w:val="21"/>
      <w:szCs w:val="21"/>
      <w:lang w:eastAsia="en-AU"/>
    </w:rPr>
  </w:style>
  <w:style w:type="character" w:customStyle="1" w:styleId="Heading9Char1">
    <w:name w:val="Heading 9 Char1"/>
    <w:basedOn w:val="DefaultParagraphFont"/>
    <w:uiPriority w:val="9"/>
    <w:semiHidden/>
    <w:rsid w:val="00B41CA8"/>
    <w:rPr>
      <w:rFonts w:asciiTheme="majorHAnsi" w:eastAsiaTheme="majorEastAsia" w:hAnsiTheme="majorHAnsi" w:cstheme="majorBidi"/>
      <w:i/>
      <w:iCs/>
      <w:color w:val="272727" w:themeColor="text1" w:themeTint="D8"/>
      <w:sz w:val="21"/>
      <w:szCs w:val="21"/>
      <w:lang w:eastAsia="en-AU"/>
    </w:rPr>
  </w:style>
  <w:style w:type="table" w:styleId="GridTable1Light-Accent1">
    <w:name w:val="Grid Table 1 Light Accent 1"/>
    <w:basedOn w:val="TableNormal"/>
    <w:uiPriority w:val="46"/>
    <w:rsid w:val="00040073"/>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paragraph" w:customStyle="1" w:styleId="DocLabel">
    <w:name w:val="Doc Label"/>
    <w:basedOn w:val="Normal"/>
    <w:link w:val="DocLabelChar"/>
    <w:qFormat/>
    <w:rsid w:val="00F63872"/>
    <w:pPr>
      <w:tabs>
        <w:tab w:val="right" w:pos="9026"/>
      </w:tabs>
    </w:pPr>
    <w:rPr>
      <w:rFonts w:ascii="Verdana" w:hAnsi="Verdana"/>
      <w:b/>
      <w:color w:val="43C7F4" w:themeColor="accent1"/>
      <w:sz w:val="36"/>
      <w:szCs w:val="36"/>
      <w14:textOutline w14:w="3175" w14:cap="rnd" w14:cmpd="sng" w14:algn="ctr">
        <w14:solidFill>
          <w14:schemeClr w14:val="accent1"/>
        </w14:solidFill>
        <w14:prstDash w14:val="solid"/>
        <w14:bevel/>
      </w14:textOutline>
    </w:rPr>
  </w:style>
  <w:style w:type="character" w:customStyle="1" w:styleId="DocLabelChar">
    <w:name w:val="Doc Label Char"/>
    <w:basedOn w:val="DefaultParagraphFont"/>
    <w:link w:val="DocLabel"/>
    <w:rsid w:val="00F63872"/>
    <w:rPr>
      <w:rFonts w:ascii="Verdana" w:eastAsiaTheme="minorEastAsia" w:hAnsi="Verdana"/>
      <w:b/>
      <w:color w:val="43C7F4" w:themeColor="accent1"/>
      <w:sz w:val="36"/>
      <w:szCs w:val="36"/>
      <w:lang w:eastAsia="en-AU"/>
      <w14:textOutline w14:w="3175" w14:cap="rnd" w14:cmpd="sng" w14:algn="ctr">
        <w14:solidFill>
          <w14:schemeClr w14:val="accent1"/>
        </w14:solidFill>
        <w14:prstDash w14:val="solid"/>
        <w14:bevel/>
      </w14:textOutline>
    </w:rPr>
  </w:style>
  <w:style w:type="paragraph" w:customStyle="1" w:styleId="Letterhead1">
    <w:name w:val="Letterhead 1"/>
    <w:basedOn w:val="Normal"/>
    <w:link w:val="Letterhead1Char"/>
    <w:qFormat/>
    <w:rsid w:val="00F63872"/>
    <w:pPr>
      <w:tabs>
        <w:tab w:val="left" w:pos="3855"/>
        <w:tab w:val="center" w:pos="4513"/>
        <w:tab w:val="right" w:pos="9026"/>
      </w:tabs>
      <w:spacing w:after="0"/>
      <w:jc w:val="right"/>
    </w:pPr>
    <w:rPr>
      <w:rFonts w:ascii="Verdana" w:hAnsi="Verdana"/>
      <w:b/>
      <w:bCs/>
      <w:i/>
      <w:spacing w:val="8"/>
      <w:sz w:val="19"/>
      <w:szCs w:val="20"/>
      <w14:textOutline w14:w="1270" w14:cap="rnd" w14:cmpd="sng" w14:algn="ctr">
        <w14:solidFill>
          <w14:schemeClr w14:val="tx1"/>
        </w14:solidFill>
        <w14:prstDash w14:val="solid"/>
        <w14:bevel/>
      </w14:textOutline>
    </w:rPr>
  </w:style>
  <w:style w:type="paragraph" w:customStyle="1" w:styleId="Letterhead2">
    <w:name w:val="Letterhead 2"/>
    <w:basedOn w:val="Normal"/>
    <w:link w:val="Letterhead2Char"/>
    <w:qFormat/>
    <w:rsid w:val="007B1E9D"/>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F63872"/>
    <w:rPr>
      <w:rFonts w:ascii="Verdana" w:eastAsiaTheme="minorEastAsia" w:hAnsi="Verdana"/>
      <w:b/>
      <w:bCs/>
      <w:i/>
      <w:spacing w:val="8"/>
      <w:sz w:val="19"/>
      <w:szCs w:val="20"/>
      <w:lang w:eastAsia="en-AU"/>
      <w14:textOutline w14:w="1270" w14:cap="rnd" w14:cmpd="sng" w14:algn="ctr">
        <w14:solidFill>
          <w14:schemeClr w14:val="tx1"/>
        </w14:solidFill>
        <w14:prstDash w14:val="solid"/>
        <w14:bevel/>
      </w14:textOutline>
    </w:rPr>
  </w:style>
  <w:style w:type="paragraph" w:customStyle="1" w:styleId="DocDate">
    <w:name w:val="Doc Date"/>
    <w:basedOn w:val="Normal"/>
    <w:link w:val="DocDateChar"/>
    <w:qFormat/>
    <w:rsid w:val="00F63872"/>
    <w:pPr>
      <w:tabs>
        <w:tab w:val="right" w:pos="9026"/>
      </w:tabs>
    </w:pPr>
    <w:rPr>
      <w:rFonts w:ascii="Verdana" w:hAnsi="Verdana"/>
      <w:b/>
      <w:bCs/>
      <w:i/>
      <w14:textOutline w14:w="3175" w14:cap="rnd" w14:cmpd="sng" w14:algn="ctr">
        <w14:solidFill>
          <w14:schemeClr w14:val="tx1"/>
        </w14:solidFill>
        <w14:prstDash w14:val="solid"/>
        <w14:bevel/>
      </w14:textOutline>
    </w:rPr>
  </w:style>
  <w:style w:type="character" w:customStyle="1" w:styleId="Letterhead2Char">
    <w:name w:val="Letterhead 2 Char"/>
    <w:basedOn w:val="DefaultParagraphFont"/>
    <w:link w:val="Letterhead2"/>
    <w:rsid w:val="007B1E9D"/>
    <w:rPr>
      <w:rFonts w:ascii="Gotham" w:eastAsiaTheme="minorEastAsia" w:hAnsi="Gotham"/>
      <w:b/>
      <w:bCs/>
      <w:i/>
      <w:iCs/>
      <w:color w:val="43C7F4" w:themeColor="accent1"/>
      <w:lang w:eastAsia="en-AU"/>
    </w:rPr>
  </w:style>
  <w:style w:type="character" w:customStyle="1" w:styleId="DocDateChar">
    <w:name w:val="Doc Date Char"/>
    <w:basedOn w:val="DefaultParagraphFont"/>
    <w:link w:val="DocDate"/>
    <w:rsid w:val="00F63872"/>
    <w:rPr>
      <w:rFonts w:ascii="Verdana" w:eastAsiaTheme="minorEastAsia" w:hAnsi="Verdana"/>
      <w:b/>
      <w:bCs/>
      <w:i/>
      <w:lang w:eastAsia="en-AU"/>
      <w14:textOutline w14:w="3175" w14:cap="rnd" w14:cmpd="sng" w14:algn="ctr">
        <w14:solidFill>
          <w14:schemeClr w14:val="tx1"/>
        </w14:solidFill>
        <w14:prstDash w14:val="solid"/>
        <w14:bevel/>
      </w14:textOutline>
    </w:rPr>
  </w:style>
  <w:style w:type="paragraph" w:styleId="Header">
    <w:name w:val="header"/>
    <w:basedOn w:val="Normal"/>
    <w:link w:val="HeaderChar"/>
    <w:uiPriority w:val="99"/>
    <w:unhideWhenUsed/>
    <w:rsid w:val="009A31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314F"/>
    <w:rPr>
      <w:rFonts w:eastAsiaTheme="minorEastAsia"/>
      <w:lang w:eastAsia="en-AU"/>
    </w:rPr>
  </w:style>
  <w:style w:type="paragraph" w:styleId="Footer">
    <w:name w:val="footer"/>
    <w:basedOn w:val="Normal"/>
    <w:link w:val="FooterChar"/>
    <w:uiPriority w:val="99"/>
    <w:unhideWhenUsed/>
    <w:rsid w:val="009A31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314F"/>
    <w:rPr>
      <w:rFonts w:eastAsiaTheme="minorEastAsia"/>
      <w:lang w:eastAsia="en-AU"/>
    </w:rPr>
  </w:style>
  <w:style w:type="paragraph" w:styleId="CommentText">
    <w:name w:val="annotation text"/>
    <w:basedOn w:val="Normal"/>
    <w:link w:val="CommentTextChar"/>
    <w:uiPriority w:val="99"/>
    <w:unhideWhenUsed/>
    <w:rsid w:val="00987515"/>
    <w:pPr>
      <w:spacing w:after="160" w:line="240" w:lineRule="auto"/>
    </w:pPr>
    <w:rPr>
      <w:rFonts w:eastAsia="Calibri"/>
      <w:kern w:val="2"/>
      <w:sz w:val="20"/>
      <w:szCs w:val="20"/>
      <w:lang w:eastAsia="en-US"/>
      <w14:ligatures w14:val="standardContextual"/>
    </w:rPr>
  </w:style>
  <w:style w:type="character" w:customStyle="1" w:styleId="CommentTextChar">
    <w:name w:val="Comment Text Char"/>
    <w:basedOn w:val="DefaultParagraphFont"/>
    <w:link w:val="CommentText"/>
    <w:uiPriority w:val="99"/>
    <w:rsid w:val="00987515"/>
    <w:rPr>
      <w:rFonts w:eastAsia="Calibri"/>
      <w:kern w:val="2"/>
      <w:sz w:val="20"/>
      <w:szCs w:val="20"/>
      <w14:ligatures w14:val="standardContextual"/>
    </w:rPr>
  </w:style>
  <w:style w:type="paragraph" w:customStyle="1" w:styleId="FootnoteText1">
    <w:name w:val="Footnote Text1"/>
    <w:basedOn w:val="Normal"/>
    <w:next w:val="FootnoteText"/>
    <w:link w:val="FootnoteTextChar"/>
    <w:uiPriority w:val="99"/>
    <w:semiHidden/>
    <w:unhideWhenUsed/>
    <w:rsid w:val="006D22ED"/>
    <w:pPr>
      <w:spacing w:after="0" w:line="240" w:lineRule="auto"/>
    </w:pPr>
    <w:rPr>
      <w:rFonts w:eastAsia="MS Mincho"/>
      <w:kern w:val="2"/>
      <w:sz w:val="20"/>
      <w:szCs w:val="20"/>
      <w:lang w:val="en-US"/>
      <w14:ligatures w14:val="standardContextual"/>
    </w:rPr>
  </w:style>
  <w:style w:type="character" w:customStyle="1" w:styleId="FootnoteTextChar">
    <w:name w:val="Footnote Text Char"/>
    <w:basedOn w:val="DefaultParagraphFont"/>
    <w:link w:val="FootnoteText1"/>
    <w:uiPriority w:val="99"/>
    <w:semiHidden/>
    <w:rsid w:val="006D22ED"/>
    <w:rPr>
      <w:rFonts w:eastAsia="MS Mincho"/>
      <w:kern w:val="2"/>
      <w:sz w:val="20"/>
      <w:szCs w:val="20"/>
      <w:lang w:val="en-US" w:eastAsia="en-AU"/>
      <w14:ligatures w14:val="standardContextual"/>
    </w:rPr>
  </w:style>
  <w:style w:type="paragraph" w:styleId="FootnoteText">
    <w:name w:val="footnote text"/>
    <w:basedOn w:val="Normal"/>
    <w:link w:val="FootnoteTextChar1"/>
    <w:uiPriority w:val="99"/>
    <w:unhideWhenUsed/>
    <w:rsid w:val="006D22ED"/>
    <w:pPr>
      <w:spacing w:after="0" w:line="240" w:lineRule="auto"/>
    </w:pPr>
    <w:rPr>
      <w:sz w:val="20"/>
      <w:szCs w:val="20"/>
    </w:rPr>
  </w:style>
  <w:style w:type="character" w:customStyle="1" w:styleId="FootnoteTextChar1">
    <w:name w:val="Footnote Text Char1"/>
    <w:basedOn w:val="DefaultParagraphFont"/>
    <w:link w:val="FootnoteText"/>
    <w:uiPriority w:val="99"/>
    <w:rsid w:val="006D22ED"/>
    <w:rPr>
      <w:rFonts w:eastAsiaTheme="minorEastAsia"/>
      <w:sz w:val="20"/>
      <w:szCs w:val="20"/>
      <w:lang w:eastAsia="en-AU"/>
    </w:rPr>
  </w:style>
  <w:style w:type="paragraph" w:customStyle="1" w:styleId="Default">
    <w:name w:val="Default"/>
    <w:rsid w:val="00953A12"/>
    <w:pPr>
      <w:autoSpaceDE w:val="0"/>
      <w:autoSpaceDN w:val="0"/>
      <w:adjustRightInd w:val="0"/>
      <w:spacing w:after="0" w:line="240" w:lineRule="auto"/>
    </w:pPr>
    <w:rPr>
      <w:rFonts w:ascii="Calibri" w:hAnsi="Calibri" w:cs="Calibri"/>
      <w:color w:val="000000"/>
      <w:sz w:val="24"/>
      <w:szCs w:val="24"/>
      <w:lang w:val="en-US"/>
    </w:rPr>
  </w:style>
  <w:style w:type="character" w:styleId="Mention">
    <w:name w:val="Mention"/>
    <w:basedOn w:val="DefaultParagraphFont"/>
    <w:uiPriority w:val="99"/>
    <w:unhideWhenUsed/>
    <w:rsid w:val="00251B38"/>
    <w:rPr>
      <w:color w:val="2B579A"/>
      <w:shd w:val="clear" w:color="auto" w:fill="E1DFDD"/>
    </w:rPr>
  </w:style>
  <w:style w:type="paragraph" w:styleId="TOC1">
    <w:name w:val="toc 1"/>
    <w:basedOn w:val="Normal"/>
    <w:next w:val="Normal"/>
    <w:autoRedefine/>
    <w:uiPriority w:val="39"/>
    <w:unhideWhenUsed/>
    <w:rsid w:val="0081374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3497">
      <w:bodyDiv w:val="1"/>
      <w:marLeft w:val="0"/>
      <w:marRight w:val="0"/>
      <w:marTop w:val="0"/>
      <w:marBottom w:val="0"/>
      <w:divBdr>
        <w:top w:val="none" w:sz="0" w:space="0" w:color="auto"/>
        <w:left w:val="none" w:sz="0" w:space="0" w:color="auto"/>
        <w:bottom w:val="none" w:sz="0" w:space="0" w:color="auto"/>
        <w:right w:val="none" w:sz="0" w:space="0" w:color="auto"/>
      </w:divBdr>
    </w:div>
    <w:div w:id="79564180">
      <w:bodyDiv w:val="1"/>
      <w:marLeft w:val="0"/>
      <w:marRight w:val="0"/>
      <w:marTop w:val="0"/>
      <w:marBottom w:val="0"/>
      <w:divBdr>
        <w:top w:val="none" w:sz="0" w:space="0" w:color="auto"/>
        <w:left w:val="none" w:sz="0" w:space="0" w:color="auto"/>
        <w:bottom w:val="none" w:sz="0" w:space="0" w:color="auto"/>
        <w:right w:val="none" w:sz="0" w:space="0" w:color="auto"/>
      </w:divBdr>
    </w:div>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8787233">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29386914">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210725972">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82346599">
      <w:bodyDiv w:val="1"/>
      <w:marLeft w:val="0"/>
      <w:marRight w:val="0"/>
      <w:marTop w:val="0"/>
      <w:marBottom w:val="0"/>
      <w:divBdr>
        <w:top w:val="none" w:sz="0" w:space="0" w:color="auto"/>
        <w:left w:val="none" w:sz="0" w:space="0" w:color="auto"/>
        <w:bottom w:val="none" w:sz="0" w:space="0" w:color="auto"/>
        <w:right w:val="none" w:sz="0" w:space="0" w:color="auto"/>
      </w:divBdr>
    </w:div>
    <w:div w:id="1285768301">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482886492">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606500871">
      <w:bodyDiv w:val="1"/>
      <w:marLeft w:val="0"/>
      <w:marRight w:val="0"/>
      <w:marTop w:val="0"/>
      <w:marBottom w:val="0"/>
      <w:divBdr>
        <w:top w:val="none" w:sz="0" w:space="0" w:color="auto"/>
        <w:left w:val="none" w:sz="0" w:space="0" w:color="auto"/>
        <w:bottom w:val="none" w:sz="0" w:space="0" w:color="auto"/>
        <w:right w:val="none" w:sz="0" w:space="0" w:color="auto"/>
      </w:divBdr>
    </w:div>
    <w:div w:id="1612472273">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accanau" TargetMode="External"/><Relationship Id="rId18" Type="http://schemas.openxmlformats.org/officeDocument/2006/relationships/image" Target="media/image4.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info@accan.org.au"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linkedin.com/company/accanau" TargetMode="External"/><Relationship Id="rId23" Type="http://schemas.openxmlformats.org/officeDocument/2006/relationships/hyperlink" Target="https://accan.org.au/about-us/reporting/reconcilitiation-action-plan"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relayservice.gov.au/"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www.tio.com.au/sites/default/files/2019-05/TIO-Systemic-Insight-Sales-Practices-Driving-Consumer-Debt-f.pdf" TargetMode="External"/><Relationship Id="rId13" Type="http://schemas.openxmlformats.org/officeDocument/2006/relationships/hyperlink" Target="https://www.optus.com.au/for-you/support/answer?id=1466" TargetMode="External"/><Relationship Id="rId18" Type="http://schemas.openxmlformats.org/officeDocument/2006/relationships/hyperlink" Target="https://www.financialcounsellingaustralia.org.au/fca-content/uploads/2021/04/Telcos-and-Financial-Hardship-Feedback-from-the-Frontline-Final.pdf" TargetMode="External"/><Relationship Id="rId3" Type="http://schemas.openxmlformats.org/officeDocument/2006/relationships/hyperlink" Target="https://accan.org.au/our-work/submissions/1804-csr-partc" TargetMode="External"/><Relationship Id="rId21" Type="http://schemas.openxmlformats.org/officeDocument/2006/relationships/hyperlink" Target="https://accan.org.au/our-work/submissions/1804-csr-partc" TargetMode="External"/><Relationship Id="rId7" Type="http://schemas.openxmlformats.org/officeDocument/2006/relationships/hyperlink" Target="https://www.acma.gov.au/publications/2020-06/report/telco-consumer-credit-checks-findings-shadow-shopping-study" TargetMode="External"/><Relationship Id="rId12" Type="http://schemas.openxmlformats.org/officeDocument/2006/relationships/hyperlink" Target="https://www.telstra.com.au/small-business/online-support/accounts-payments/paper-bill-fees" TargetMode="External"/><Relationship Id="rId17" Type="http://schemas.openxmlformats.org/officeDocument/2006/relationships/hyperlink" Target="https://www.financialcounsellingaustralia.org.au/fca-content/uploads/2021/04/Telcos-and-Financial-Hardship-Feedback-from-the-Frontline-Final.pdf" TargetMode="External"/><Relationship Id="rId2" Type="http://schemas.openxmlformats.org/officeDocument/2006/relationships/hyperlink" Target="https://accan.org.au/our-work/submissions/1528-tcp-code?highlight=WyJ0Y3AiXQ==" TargetMode="External"/><Relationship Id="rId16" Type="http://schemas.openxmlformats.org/officeDocument/2006/relationships/hyperlink" Target="https://www.accc.gov.au/media-release/telstra-to-pay-50m-penalty-for-unconscionable-sales-to-indigenous-consumers" TargetMode="External"/><Relationship Id="rId20" Type="http://schemas.openxmlformats.org/officeDocument/2006/relationships/hyperlink" Target="https://roymorgan-cms-dev.s3.ap-southeast-2.amazonaws.com/wp-content/uploads/2023/04/04235718/9193-Risk-Monitor-Telco-most-distrusted-industry-2023-1.pdf" TargetMode="External"/><Relationship Id="rId1" Type="http://schemas.openxmlformats.org/officeDocument/2006/relationships/hyperlink" Target="https://www.acma.gov.au/how-telcos-must-handle-complaints" TargetMode="External"/><Relationship Id="rId6" Type="http://schemas.openxmlformats.org/officeDocument/2006/relationships/hyperlink" Target="https://www.acma.gov.au/sites/default/files/2023-04/Financial%20hardship%20in%20the%20telco%20sector_Keeping%20the%20customer%20connected.pdf" TargetMode="External"/><Relationship Id="rId11" Type="http://schemas.openxmlformats.org/officeDocument/2006/relationships/hyperlink" Target="https://www.financialcounsellingaustralia.org.au/fca-content/uploads/2021/04/Telcos-and-Financial-Hardship-Feedback-from-the-Frontline-Final.pdf" TargetMode="External"/><Relationship Id="rId24" Type="http://schemas.openxmlformats.org/officeDocument/2006/relationships/hyperlink" Target="https://www.tio.com.au/guides/family-violence/phone-or-internet-complaints-impacted-family-violence" TargetMode="External"/><Relationship Id="rId5" Type="http://schemas.openxmlformats.org/officeDocument/2006/relationships/hyperlink" Target="https://www.financialcounsellingaustralia.org.au/fca-content/uploads/2021/04/Telcos-and-Financial-Hardship-Feedback-from-the-Frontline-Final.pdf" TargetMode="External"/><Relationship Id="rId15" Type="http://schemas.openxmlformats.org/officeDocument/2006/relationships/hyperlink" Target="https://www.financialcounsellingaustralia.org.au/fca-content/uploads/2021/04/Telcos-and-Financial-Hardship-Feedback-from-the-Frontline-Final.pdf" TargetMode="External"/><Relationship Id="rId23" Type="http://schemas.openxmlformats.org/officeDocument/2006/relationships/hyperlink" Target="https://www.abs.gov.au/statistics/people/crime-and-justice/personal-safety-australia/latest-release" TargetMode="External"/><Relationship Id="rId10" Type="http://schemas.openxmlformats.org/officeDocument/2006/relationships/hyperlink" Target="https://www.financialcounsellingaustralia.org.au/fca-content/uploads/2021/04/Telcos-and-Financial-Hardship-Feedback-from-the-Frontline-Final.pdf" TargetMode="External"/><Relationship Id="rId19" Type="http://schemas.openxmlformats.org/officeDocument/2006/relationships/hyperlink" Target="https://www.acma.gov.au/publications/2021-02/report/customer-financial-hardship-telco-industry-state-play-report-2019-20" TargetMode="External"/><Relationship Id="rId4" Type="http://schemas.openxmlformats.org/officeDocument/2006/relationships/hyperlink" Target="https://consumeraction.org.au/draft-tcp-code/" TargetMode="External"/><Relationship Id="rId9" Type="http://schemas.openxmlformats.org/officeDocument/2006/relationships/hyperlink" Target="https://www.accc.gov.au/media-release/telstra-to-pay-50m-penalty-for-unconscionable-sales-to-indigenous-consumers" TargetMode="External"/><Relationship Id="rId14" Type="http://schemas.openxmlformats.org/officeDocument/2006/relationships/hyperlink" Target="https://accan.org.au/files/Reports/ACCAN%20Research%20Snapshot%20-%20Direct%20Debit%20in%20Telecommunications.pdf" TargetMode="External"/><Relationship Id="rId22" Type="http://schemas.openxmlformats.org/officeDocument/2006/relationships/hyperlink" Target="https://accan.org.au/files/Submissions/TCP%20Code_ACCAN%20submission%20100818.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nGouskos\ACCAN\ACCAN%20-%20Policy\Communications%20Alliance\TCP%20Code%202023\DocumentTemplate-LongSubmission.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E4A5C17F963D4A81626FBA9D0C3C6E" ma:contentTypeVersion="14" ma:contentTypeDescription="Create a new document." ma:contentTypeScope="" ma:versionID="688d442676ed479a47b166668315870a">
  <xsd:schema xmlns:xsd="http://www.w3.org/2001/XMLSchema" xmlns:xs="http://www.w3.org/2001/XMLSchema" xmlns:p="http://schemas.microsoft.com/office/2006/metadata/properties" xmlns:ns2="25af2f0e-673d-4721-b64c-73e7c4e9e0c5" xmlns:ns3="2afa1a33-c191-48ee-b288-192490d33fec" targetNamespace="http://schemas.microsoft.com/office/2006/metadata/properties" ma:root="true" ma:fieldsID="b91ef8a57aff9f342f2bdb2c1c5c8411" ns2:_="" ns3:_="">
    <xsd:import namespace="25af2f0e-673d-4721-b64c-73e7c4e9e0c5"/>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f2f0e-673d-4721-b64c-73e7c4e9e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SharedWithUsers>
    <TaxCatchAll xmlns="2afa1a33-c191-48ee-b288-192490d33fec" xsi:nil="true"/>
    <lcf76f155ced4ddcb4097134ff3c332f xmlns="25af2f0e-673d-4721-b64c-73e7c4e9e0c5">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9E2034-0BE9-4293-902A-4681FE9A8D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f2f0e-673d-4721-b64c-73e7c4e9e0c5"/>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6B4346-28F1-45AD-BA45-3F63DFCB19F2}">
  <ds:schemaRefs>
    <ds:schemaRef ds:uri="http://schemas.openxmlformats.org/officeDocument/2006/bibliography"/>
  </ds:schemaRefs>
</ds:datastoreItem>
</file>

<file path=customXml/itemProps3.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25af2f0e-673d-4721-b64c-73e7c4e9e0c5"/>
  </ds:schemaRefs>
</ds:datastoreItem>
</file>

<file path=customXml/itemProps4.xml><?xml version="1.0" encoding="utf-8"?>
<ds:datastoreItem xmlns:ds="http://schemas.openxmlformats.org/officeDocument/2006/customXml" ds:itemID="{C6C21FB9-1321-4B4B-A22E-45DA56E9FF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DocumentTemplate-LongSubmission.dotx</Template>
  <TotalTime>4</TotalTime>
  <Pages>1</Pages>
  <Words>4204</Words>
  <Characters>23966</Characters>
  <Application>Microsoft Office Word</Application>
  <DocSecurity>4</DocSecurity>
  <Lines>199</Lines>
  <Paragraphs>56</Paragraphs>
  <ScaleCrop>false</ScaleCrop>
  <Company/>
  <LinksUpToDate>false</LinksUpToDate>
  <CharactersWithSpaces>28114</CharactersWithSpaces>
  <SharedDoc>false</SharedDoc>
  <HLinks>
    <vt:vector size="162" baseType="variant">
      <vt:variant>
        <vt:i4>4784136</vt:i4>
      </vt:variant>
      <vt:variant>
        <vt:i4>6</vt:i4>
      </vt:variant>
      <vt:variant>
        <vt:i4>0</vt:i4>
      </vt:variant>
      <vt:variant>
        <vt:i4>5</vt:i4>
      </vt:variant>
      <vt:variant>
        <vt:lpwstr>https://accan.org.au/about-us/reporting/reconcilitiation-action-plan</vt:lpwstr>
      </vt:variant>
      <vt:variant>
        <vt:lpwstr/>
      </vt:variant>
      <vt:variant>
        <vt:i4>2490480</vt:i4>
      </vt:variant>
      <vt:variant>
        <vt:i4>3</vt:i4>
      </vt:variant>
      <vt:variant>
        <vt:i4>0</vt:i4>
      </vt:variant>
      <vt:variant>
        <vt:i4>5</vt:i4>
      </vt:variant>
      <vt:variant>
        <vt:lpwstr>http://relayservice.gov.au/</vt:lpwstr>
      </vt:variant>
      <vt:variant>
        <vt:lpwstr/>
      </vt:variant>
      <vt:variant>
        <vt:i4>2621518</vt:i4>
      </vt:variant>
      <vt:variant>
        <vt:i4>0</vt:i4>
      </vt:variant>
      <vt:variant>
        <vt:i4>0</vt:i4>
      </vt:variant>
      <vt:variant>
        <vt:i4>5</vt:i4>
      </vt:variant>
      <vt:variant>
        <vt:lpwstr>mailto:info@accan.org.au</vt:lpwstr>
      </vt:variant>
      <vt:variant>
        <vt:lpwstr/>
      </vt:variant>
      <vt:variant>
        <vt:i4>8323195</vt:i4>
      </vt:variant>
      <vt:variant>
        <vt:i4>69</vt:i4>
      </vt:variant>
      <vt:variant>
        <vt:i4>0</vt:i4>
      </vt:variant>
      <vt:variant>
        <vt:i4>5</vt:i4>
      </vt:variant>
      <vt:variant>
        <vt:lpwstr>https://www.tio.com.au/guides/family-violence/phone-or-internet-complaints-impacted-family-violence</vt:lpwstr>
      </vt:variant>
      <vt:variant>
        <vt:lpwstr/>
      </vt:variant>
      <vt:variant>
        <vt:i4>7864437</vt:i4>
      </vt:variant>
      <vt:variant>
        <vt:i4>66</vt:i4>
      </vt:variant>
      <vt:variant>
        <vt:i4>0</vt:i4>
      </vt:variant>
      <vt:variant>
        <vt:i4>5</vt:i4>
      </vt:variant>
      <vt:variant>
        <vt:lpwstr>https://www.abs.gov.au/statistics/people/crime-and-justice/personal-safety-australia/latest-release</vt:lpwstr>
      </vt:variant>
      <vt:variant>
        <vt:lpwstr/>
      </vt:variant>
      <vt:variant>
        <vt:i4>1179691</vt:i4>
      </vt:variant>
      <vt:variant>
        <vt:i4>63</vt:i4>
      </vt:variant>
      <vt:variant>
        <vt:i4>0</vt:i4>
      </vt:variant>
      <vt:variant>
        <vt:i4>5</vt:i4>
      </vt:variant>
      <vt:variant>
        <vt:lpwstr>https://accan.org.au/files/Submissions/TCP Code_ACCAN submission 100818.pdf</vt:lpwstr>
      </vt:variant>
      <vt:variant>
        <vt:lpwstr/>
      </vt:variant>
      <vt:variant>
        <vt:i4>1835078</vt:i4>
      </vt:variant>
      <vt:variant>
        <vt:i4>60</vt:i4>
      </vt:variant>
      <vt:variant>
        <vt:i4>0</vt:i4>
      </vt:variant>
      <vt:variant>
        <vt:i4>5</vt:i4>
      </vt:variant>
      <vt:variant>
        <vt:lpwstr>https://accan.org.au/our-work/submissions/1804-csr-partc</vt:lpwstr>
      </vt:variant>
      <vt:variant>
        <vt:lpwstr/>
      </vt:variant>
      <vt:variant>
        <vt:i4>1507341</vt:i4>
      </vt:variant>
      <vt:variant>
        <vt:i4>57</vt:i4>
      </vt:variant>
      <vt:variant>
        <vt:i4>0</vt:i4>
      </vt:variant>
      <vt:variant>
        <vt:i4>5</vt:i4>
      </vt:variant>
      <vt:variant>
        <vt:lpwstr>https://roymorgan-cms-dev.s3.ap-southeast-2.amazonaws.com/wp-content/uploads/2023/04/04235718/9193-Risk-Monitor-Telco-most-distrusted-industry-2023-1.pdf</vt:lpwstr>
      </vt:variant>
      <vt:variant>
        <vt:lpwstr/>
      </vt:variant>
      <vt:variant>
        <vt:i4>65537</vt:i4>
      </vt:variant>
      <vt:variant>
        <vt:i4>54</vt:i4>
      </vt:variant>
      <vt:variant>
        <vt:i4>0</vt:i4>
      </vt:variant>
      <vt:variant>
        <vt:i4>5</vt:i4>
      </vt:variant>
      <vt:variant>
        <vt:lpwstr>https://www.acma.gov.au/publications/2021-02/report/customer-financial-hardship-telco-industry-state-play-report-2019-20</vt:lpwstr>
      </vt:variant>
      <vt:variant>
        <vt:lpwstr/>
      </vt:variant>
      <vt:variant>
        <vt:i4>4259861</vt:i4>
      </vt:variant>
      <vt:variant>
        <vt:i4>51</vt:i4>
      </vt:variant>
      <vt:variant>
        <vt:i4>0</vt:i4>
      </vt:variant>
      <vt:variant>
        <vt:i4>5</vt:i4>
      </vt:variant>
      <vt:variant>
        <vt:lpwstr>https://www.financialcounsellingaustralia.org.au/fca-content/uploads/2021/04/Telcos-and-Financial-Hardship-Feedback-from-the-Frontline-Final.pdf</vt:lpwstr>
      </vt:variant>
      <vt:variant>
        <vt:lpwstr/>
      </vt:variant>
      <vt:variant>
        <vt:i4>4259861</vt:i4>
      </vt:variant>
      <vt:variant>
        <vt:i4>48</vt:i4>
      </vt:variant>
      <vt:variant>
        <vt:i4>0</vt:i4>
      </vt:variant>
      <vt:variant>
        <vt:i4>5</vt:i4>
      </vt:variant>
      <vt:variant>
        <vt:lpwstr>https://www.financialcounsellingaustralia.org.au/fca-content/uploads/2021/04/Telcos-and-Financial-Hardship-Feedback-from-the-Frontline-Final.pdf</vt:lpwstr>
      </vt:variant>
      <vt:variant>
        <vt:lpwstr/>
      </vt:variant>
      <vt:variant>
        <vt:i4>5177364</vt:i4>
      </vt:variant>
      <vt:variant>
        <vt:i4>45</vt:i4>
      </vt:variant>
      <vt:variant>
        <vt:i4>0</vt:i4>
      </vt:variant>
      <vt:variant>
        <vt:i4>5</vt:i4>
      </vt:variant>
      <vt:variant>
        <vt:lpwstr>https://www.accc.gov.au/media-release/telstra-to-pay-50m-penalty-for-unconscionable-sales-to-indigenous-consumers</vt:lpwstr>
      </vt:variant>
      <vt:variant>
        <vt:lpwstr/>
      </vt:variant>
      <vt:variant>
        <vt:i4>4259861</vt:i4>
      </vt:variant>
      <vt:variant>
        <vt:i4>42</vt:i4>
      </vt:variant>
      <vt:variant>
        <vt:i4>0</vt:i4>
      </vt:variant>
      <vt:variant>
        <vt:i4>5</vt:i4>
      </vt:variant>
      <vt:variant>
        <vt:lpwstr>https://www.financialcounsellingaustralia.org.au/fca-content/uploads/2021/04/Telcos-and-Financial-Hardship-Feedback-from-the-Frontline-Final.pdf</vt:lpwstr>
      </vt:variant>
      <vt:variant>
        <vt:lpwstr/>
      </vt:variant>
      <vt:variant>
        <vt:i4>4128890</vt:i4>
      </vt:variant>
      <vt:variant>
        <vt:i4>39</vt:i4>
      </vt:variant>
      <vt:variant>
        <vt:i4>0</vt:i4>
      </vt:variant>
      <vt:variant>
        <vt:i4>5</vt:i4>
      </vt:variant>
      <vt:variant>
        <vt:lpwstr>https://accan.org.au/files/Reports/ACCAN Research Snapshot - Direct Debit in Telecommunications.pdf</vt:lpwstr>
      </vt:variant>
      <vt:variant>
        <vt:lpwstr/>
      </vt:variant>
      <vt:variant>
        <vt:i4>8126521</vt:i4>
      </vt:variant>
      <vt:variant>
        <vt:i4>36</vt:i4>
      </vt:variant>
      <vt:variant>
        <vt:i4>0</vt:i4>
      </vt:variant>
      <vt:variant>
        <vt:i4>5</vt:i4>
      </vt:variant>
      <vt:variant>
        <vt:lpwstr>https://www.optus.com.au/for-you/support/answer?id=1466</vt:lpwstr>
      </vt:variant>
      <vt:variant>
        <vt:lpwstr/>
      </vt:variant>
      <vt:variant>
        <vt:i4>6881338</vt:i4>
      </vt:variant>
      <vt:variant>
        <vt:i4>33</vt:i4>
      </vt:variant>
      <vt:variant>
        <vt:i4>0</vt:i4>
      </vt:variant>
      <vt:variant>
        <vt:i4>5</vt:i4>
      </vt:variant>
      <vt:variant>
        <vt:lpwstr>https://www.telstra.com.au/small-business/online-support/accounts-payments/paper-bill-fees</vt:lpwstr>
      </vt:variant>
      <vt:variant>
        <vt:lpwstr/>
      </vt:variant>
      <vt:variant>
        <vt:i4>4259861</vt:i4>
      </vt:variant>
      <vt:variant>
        <vt:i4>30</vt:i4>
      </vt:variant>
      <vt:variant>
        <vt:i4>0</vt:i4>
      </vt:variant>
      <vt:variant>
        <vt:i4>5</vt:i4>
      </vt:variant>
      <vt:variant>
        <vt:lpwstr>https://www.financialcounsellingaustralia.org.au/fca-content/uploads/2021/04/Telcos-and-Financial-Hardship-Feedback-from-the-Frontline-Final.pdf</vt:lpwstr>
      </vt:variant>
      <vt:variant>
        <vt:lpwstr/>
      </vt:variant>
      <vt:variant>
        <vt:i4>4259861</vt:i4>
      </vt:variant>
      <vt:variant>
        <vt:i4>27</vt:i4>
      </vt:variant>
      <vt:variant>
        <vt:i4>0</vt:i4>
      </vt:variant>
      <vt:variant>
        <vt:i4>5</vt:i4>
      </vt:variant>
      <vt:variant>
        <vt:lpwstr>https://www.financialcounsellingaustralia.org.au/fca-content/uploads/2021/04/Telcos-and-Financial-Hardship-Feedback-from-the-Frontline-Final.pdf</vt:lpwstr>
      </vt:variant>
      <vt:variant>
        <vt:lpwstr/>
      </vt:variant>
      <vt:variant>
        <vt:i4>5177364</vt:i4>
      </vt:variant>
      <vt:variant>
        <vt:i4>24</vt:i4>
      </vt:variant>
      <vt:variant>
        <vt:i4>0</vt:i4>
      </vt:variant>
      <vt:variant>
        <vt:i4>5</vt:i4>
      </vt:variant>
      <vt:variant>
        <vt:lpwstr>https://www.accc.gov.au/media-release/telstra-to-pay-50m-penalty-for-unconscionable-sales-to-indigenous-consumers</vt:lpwstr>
      </vt:variant>
      <vt:variant>
        <vt:lpwstr/>
      </vt:variant>
      <vt:variant>
        <vt:i4>6946857</vt:i4>
      </vt:variant>
      <vt:variant>
        <vt:i4>21</vt:i4>
      </vt:variant>
      <vt:variant>
        <vt:i4>0</vt:i4>
      </vt:variant>
      <vt:variant>
        <vt:i4>5</vt:i4>
      </vt:variant>
      <vt:variant>
        <vt:lpwstr>https://www.tio.com.au/sites/default/files/2019-05/TIO-Systemic-Insight-Sales-Practices-Driving-Consumer-Debt-f.pdf</vt:lpwstr>
      </vt:variant>
      <vt:variant>
        <vt:lpwstr/>
      </vt:variant>
      <vt:variant>
        <vt:i4>4063280</vt:i4>
      </vt:variant>
      <vt:variant>
        <vt:i4>18</vt:i4>
      </vt:variant>
      <vt:variant>
        <vt:i4>0</vt:i4>
      </vt:variant>
      <vt:variant>
        <vt:i4>5</vt:i4>
      </vt:variant>
      <vt:variant>
        <vt:lpwstr>https://www.acma.gov.au/publications/2020-06/report/telco-consumer-credit-checks-findings-shadow-shopping-study</vt:lpwstr>
      </vt:variant>
      <vt:variant>
        <vt:lpwstr/>
      </vt:variant>
      <vt:variant>
        <vt:i4>5963823</vt:i4>
      </vt:variant>
      <vt:variant>
        <vt:i4>15</vt:i4>
      </vt:variant>
      <vt:variant>
        <vt:i4>0</vt:i4>
      </vt:variant>
      <vt:variant>
        <vt:i4>5</vt:i4>
      </vt:variant>
      <vt:variant>
        <vt:lpwstr>https://www.acma.gov.au/sites/default/files/2023-04/Financial hardship in the telco sector_Keeping the customer connected.pdf</vt:lpwstr>
      </vt:variant>
      <vt:variant>
        <vt:lpwstr/>
      </vt:variant>
      <vt:variant>
        <vt:i4>4259861</vt:i4>
      </vt:variant>
      <vt:variant>
        <vt:i4>12</vt:i4>
      </vt:variant>
      <vt:variant>
        <vt:i4>0</vt:i4>
      </vt:variant>
      <vt:variant>
        <vt:i4>5</vt:i4>
      </vt:variant>
      <vt:variant>
        <vt:lpwstr>https://www.financialcounsellingaustralia.org.au/fca-content/uploads/2021/04/Telcos-and-Financial-Hardship-Feedback-from-the-Frontline-Final.pdf</vt:lpwstr>
      </vt:variant>
      <vt:variant>
        <vt:lpwstr/>
      </vt:variant>
      <vt:variant>
        <vt:i4>5046354</vt:i4>
      </vt:variant>
      <vt:variant>
        <vt:i4>9</vt:i4>
      </vt:variant>
      <vt:variant>
        <vt:i4>0</vt:i4>
      </vt:variant>
      <vt:variant>
        <vt:i4>5</vt:i4>
      </vt:variant>
      <vt:variant>
        <vt:lpwstr>https://consumeraction.org.au/draft-tcp-code/</vt:lpwstr>
      </vt:variant>
      <vt:variant>
        <vt:lpwstr/>
      </vt:variant>
      <vt:variant>
        <vt:i4>1835078</vt:i4>
      </vt:variant>
      <vt:variant>
        <vt:i4>6</vt:i4>
      </vt:variant>
      <vt:variant>
        <vt:i4>0</vt:i4>
      </vt:variant>
      <vt:variant>
        <vt:i4>5</vt:i4>
      </vt:variant>
      <vt:variant>
        <vt:lpwstr>https://accan.org.au/our-work/submissions/1804-csr-partc</vt:lpwstr>
      </vt:variant>
      <vt:variant>
        <vt:lpwstr/>
      </vt:variant>
      <vt:variant>
        <vt:i4>3342459</vt:i4>
      </vt:variant>
      <vt:variant>
        <vt:i4>3</vt:i4>
      </vt:variant>
      <vt:variant>
        <vt:i4>0</vt:i4>
      </vt:variant>
      <vt:variant>
        <vt:i4>5</vt:i4>
      </vt:variant>
      <vt:variant>
        <vt:lpwstr>https://accan.org.au/our-work/submissions/1528-tcp-code?highlight=WyJ0Y3AiXQ==</vt:lpwstr>
      </vt:variant>
      <vt:variant>
        <vt:lpwstr/>
      </vt:variant>
      <vt:variant>
        <vt:i4>917573</vt:i4>
      </vt:variant>
      <vt:variant>
        <vt:i4>0</vt:i4>
      </vt:variant>
      <vt:variant>
        <vt:i4>0</vt:i4>
      </vt:variant>
      <vt:variant>
        <vt:i4>5</vt:i4>
      </vt:variant>
      <vt:variant>
        <vt:lpwstr>https://www.acma.gov.au/how-telcos-must-handle-complaints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 Gouskos</dc:creator>
  <cp:keywords/>
  <cp:lastModifiedBy>Amelia Radke</cp:lastModifiedBy>
  <cp:revision>6</cp:revision>
  <cp:lastPrinted>2022-04-05T11:13:00Z</cp:lastPrinted>
  <dcterms:created xsi:type="dcterms:W3CDTF">2023-06-06T16:03:00Z</dcterms:created>
  <dcterms:modified xsi:type="dcterms:W3CDTF">2023-06-06T16:06:00Z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0x01010098C7816C02080E4AB0A00D1554C8C124</vt:lpwstr>
  </property>
  <property fmtid="{D5CDD505-2E9C-101B-9397-08002B2CF9AE}" pid="3" name="MediaServiceImageTags">
    <vt:lpwstr/>
  </property>
</Properties>
</file>