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83E8" w14:textId="77777777" w:rsidR="006A5898" w:rsidRDefault="00F82623">
      <w:pPr>
        <w:pStyle w:val="Letterhead1"/>
      </w:pPr>
      <w:bookmarkStart w:id="0" w:name="_Hlk95835868"/>
      <w:r>
        <w:rPr>
          <w:noProof/>
        </w:rPr>
        <w:drawing>
          <wp:anchor distT="0" distB="0" distL="114300" distR="114300" simplePos="0" relativeHeight="251658243" behindDoc="0" locked="0" layoutInCell="1" allowOverlap="1" wp14:anchorId="60542785" wp14:editId="123283E9">
            <wp:simplePos x="0" y="0"/>
            <wp:positionH relativeFrom="column">
              <wp:posOffset>4862193</wp:posOffset>
            </wp:positionH>
            <wp:positionV relativeFrom="page">
              <wp:posOffset>563883</wp:posOffset>
            </wp:positionV>
            <wp:extent cx="191767" cy="191767"/>
            <wp:effectExtent l="0" t="0" r="0" b="0"/>
            <wp:wrapSquare wrapText="bothSides"/>
            <wp:docPr id="1429038380" name="Picture 1429038380" descr="Twitter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4" behindDoc="0" locked="0" layoutInCell="1" allowOverlap="1" wp14:anchorId="123283EA" wp14:editId="123283EB">
            <wp:simplePos x="0" y="0"/>
            <wp:positionH relativeFrom="column">
              <wp:posOffset>5092065</wp:posOffset>
            </wp:positionH>
            <wp:positionV relativeFrom="page">
              <wp:posOffset>560070</wp:posOffset>
            </wp:positionV>
            <wp:extent cx="191767" cy="191767"/>
            <wp:effectExtent l="0" t="0" r="0" b="0"/>
            <wp:wrapSquare wrapText="bothSides"/>
            <wp:docPr id="1201373200" name="Picture 1201373200" descr="Facebook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5" behindDoc="0" locked="0" layoutInCell="1" allowOverlap="1" wp14:anchorId="123283EC" wp14:editId="123283ED">
            <wp:simplePos x="0" y="0"/>
            <wp:positionH relativeFrom="column">
              <wp:posOffset>5326379</wp:posOffset>
            </wp:positionH>
            <wp:positionV relativeFrom="page">
              <wp:posOffset>560070</wp:posOffset>
            </wp:positionV>
            <wp:extent cx="191767" cy="191767"/>
            <wp:effectExtent l="0" t="0" r="0" b="0"/>
            <wp:wrapSquare wrapText="bothSides"/>
            <wp:docPr id="1473875732" name="Picture 1473875732" descr="Linked in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123283EE" wp14:editId="123283EF">
            <wp:simplePos x="0" y="0"/>
            <wp:positionH relativeFrom="column">
              <wp:posOffset>5546722</wp:posOffset>
            </wp:positionH>
            <wp:positionV relativeFrom="page">
              <wp:posOffset>560070</wp:posOffset>
            </wp:positionV>
            <wp:extent cx="191767" cy="191767"/>
            <wp:effectExtent l="0" t="0" r="0" b="0"/>
            <wp:wrapSquare wrapText="bothSides"/>
            <wp:docPr id="1570790573" name="Picture 1570790573" descr="Instagram 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1767" cy="191767"/>
                    </a:xfrm>
                    <a:prstGeom prst="rect">
                      <a:avLst/>
                    </a:prstGeom>
                    <a:noFill/>
                    <a:ln>
                      <a:noFill/>
                      <a:prstDash/>
                    </a:ln>
                  </pic:spPr>
                </pic:pic>
              </a:graphicData>
            </a:graphic>
          </wp:anchor>
        </w:drawing>
      </w:r>
      <w:r>
        <w:rPr>
          <w:noProof/>
        </w:rPr>
        <w:drawing>
          <wp:anchor distT="0" distB="0" distL="114300" distR="114300" simplePos="0" relativeHeight="251658241" behindDoc="0" locked="0" layoutInCell="1" allowOverlap="1" wp14:anchorId="123283F0" wp14:editId="123283F1">
            <wp:simplePos x="0" y="0"/>
            <wp:positionH relativeFrom="column">
              <wp:posOffset>4443</wp:posOffset>
            </wp:positionH>
            <wp:positionV relativeFrom="page">
              <wp:posOffset>421008</wp:posOffset>
            </wp:positionV>
            <wp:extent cx="2035811" cy="880110"/>
            <wp:effectExtent l="0" t="0" r="2539" b="0"/>
            <wp:wrapSquare wrapText="bothSides"/>
            <wp:docPr id="970539350" name="Picture 970539350" descr="ACCA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035811" cy="880110"/>
                    </a:xfrm>
                    <a:prstGeom prst="rect">
                      <a:avLst/>
                    </a:prstGeom>
                    <a:noFill/>
                    <a:ln>
                      <a:noFill/>
                      <a:prstDash/>
                    </a:ln>
                  </pic:spPr>
                </pic:pic>
              </a:graphicData>
            </a:graphic>
          </wp:anchor>
        </w:drawing>
      </w:r>
      <w:r>
        <w:t>www.accan.org.au</w:t>
      </w:r>
    </w:p>
    <w:p w14:paraId="123283E9" w14:textId="77777777" w:rsidR="006A5898" w:rsidRDefault="00F82623">
      <w:pPr>
        <w:pStyle w:val="Letterhead1"/>
      </w:pPr>
      <w:r>
        <w:t>info@accan.org.au</w:t>
      </w:r>
    </w:p>
    <w:p w14:paraId="15FAAD64" w14:textId="77777777" w:rsidR="006A5898" w:rsidRDefault="00F82623">
      <w:pPr>
        <w:pStyle w:val="Letterhead1"/>
      </w:pPr>
      <w:r>
        <w:t>02 9288 4000</w:t>
      </w:r>
    </w:p>
    <w:p w14:paraId="123283EB" w14:textId="77777777" w:rsidR="006A5898" w:rsidRDefault="00F82623">
      <w:pPr>
        <w:tabs>
          <w:tab w:val="left" w:pos="3855"/>
        </w:tabs>
      </w:pPr>
      <w:r>
        <w:rPr>
          <w:noProof/>
        </w:rPr>
        <mc:AlternateContent>
          <mc:Choice Requires="wps">
            <w:drawing>
              <wp:anchor distT="0" distB="0" distL="114300" distR="114300" simplePos="0" relativeHeight="251658240" behindDoc="1" locked="0" layoutInCell="1" allowOverlap="1" wp14:anchorId="123283F2" wp14:editId="123283F3">
                <wp:simplePos x="0" y="0"/>
                <wp:positionH relativeFrom="column">
                  <wp:posOffset>-627378</wp:posOffset>
                </wp:positionH>
                <wp:positionV relativeFrom="page">
                  <wp:posOffset>1675573</wp:posOffset>
                </wp:positionV>
                <wp:extent cx="6892290" cy="45089"/>
                <wp:effectExtent l="0" t="0" r="3810" b="0"/>
                <wp:wrapNone/>
                <wp:docPr id="429081118" name="Rectangle 429081118"/>
                <wp:cNvGraphicFramePr/>
                <a:graphic xmlns:a="http://schemas.openxmlformats.org/drawingml/2006/main">
                  <a:graphicData uri="http://schemas.microsoft.com/office/word/2010/wordprocessingShape">
                    <wps:wsp>
                      <wps:cNvSpPr/>
                      <wps:spPr>
                        <a:xfrm>
                          <a:off x="0" y="0"/>
                          <a:ext cx="6892290" cy="45089"/>
                        </a:xfrm>
                        <a:prstGeom prst="rect">
                          <a:avLst/>
                        </a:prstGeom>
                        <a:solidFill>
                          <a:srgbClr val="43C7F4"/>
                        </a:solidFill>
                        <a:ln cap="flat">
                          <a:noFill/>
                          <a:prstDash val="solid"/>
                        </a:ln>
                      </wps:spPr>
                      <wps:bodyPr lIns="0" tIns="0" rIns="0" bIns="0"/>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39CD1947">
              <v:rect id="Rectangle 4379" style="position:absolute;margin-left:-49.4pt;margin-top:131.95pt;width:542.7pt;height:3.55pt;z-index:-251658240;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43c7f4" stroked="f" w14:anchorId="3355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">
                <v:textbox inset="0,0,0,0"/>
                <w10:wrap anchory="page"/>
              </v:rect>
            </w:pict>
          </mc:Fallback>
        </mc:AlternateContent>
      </w:r>
    </w:p>
    <w:p w14:paraId="672A6659" w14:textId="77777777" w:rsidR="006A5898" w:rsidRDefault="006A5898">
      <w:pPr>
        <w:tabs>
          <w:tab w:val="right" w:pos="8931"/>
        </w:tabs>
        <w:rPr>
          <w:rFonts w:ascii="Gotham Black" w:hAnsi="Gotham Black"/>
          <w:color w:val="43C7F4"/>
          <w:sz w:val="36"/>
          <w:szCs w:val="36"/>
        </w:rPr>
      </w:pPr>
    </w:p>
    <w:p w14:paraId="123283ED" w14:textId="052F2D6E" w:rsidR="006A5898" w:rsidRDefault="00F82623">
      <w:pPr>
        <w:tabs>
          <w:tab w:val="right" w:pos="9026"/>
        </w:tabs>
      </w:pPr>
      <w:r>
        <w:rPr>
          <w:rStyle w:val="DocLabelChar"/>
        </w:rPr>
        <w:t>Submission</w:t>
      </w:r>
      <w:r>
        <w:rPr>
          <w:rFonts w:ascii="Gotham Black" w:hAnsi="Gotham Black"/>
          <w:color w:val="44C7F4"/>
          <w:sz w:val="36"/>
          <w:szCs w:val="36"/>
        </w:rPr>
        <w:tab/>
      </w:r>
      <w:bookmarkEnd w:id="0"/>
      <w:r>
        <w:rPr>
          <w:rStyle w:val="DocDateChar"/>
        </w:rPr>
        <w:t>August 7</w:t>
      </w:r>
      <w:proofErr w:type="gramStart"/>
      <w:r>
        <w:rPr>
          <w:rStyle w:val="DocDateChar"/>
        </w:rPr>
        <w:t xml:space="preserve"> 2023</w:t>
      </w:r>
      <w:proofErr w:type="gramEnd"/>
    </w:p>
    <w:p w14:paraId="2BFBC06C" w14:textId="77777777" w:rsidR="006A5898" w:rsidRDefault="00F82623">
      <w:pPr>
        <w:suppressAutoHyphens w:val="0"/>
        <w:spacing w:after="160" w:line="256" w:lineRule="auto"/>
        <w:contextualSpacing/>
        <w:rPr>
          <w:rFonts w:eastAsia="Calibri" w:cs="Times New Roman"/>
          <w:kern w:val="3"/>
          <w:lang w:eastAsia="en-US"/>
        </w:rPr>
      </w:pPr>
      <w:r>
        <w:rPr>
          <w:rFonts w:eastAsia="Calibri" w:cs="Times New Roman"/>
          <w:kern w:val="3"/>
          <w:lang w:eastAsia="en-US"/>
        </w:rPr>
        <w:t>Mark McGregor</w:t>
      </w:r>
    </w:p>
    <w:p w14:paraId="123283EF" w14:textId="77777777" w:rsidR="006A5898" w:rsidRDefault="00F82623">
      <w:pPr>
        <w:suppressAutoHyphens w:val="0"/>
        <w:spacing w:after="160" w:line="256" w:lineRule="auto"/>
        <w:contextualSpacing/>
        <w:rPr>
          <w:rFonts w:eastAsia="Calibri" w:cs="Times New Roman"/>
          <w:kern w:val="3"/>
          <w:lang w:eastAsia="en-US"/>
        </w:rPr>
      </w:pPr>
      <w:r>
        <w:rPr>
          <w:rFonts w:eastAsia="Calibri" w:cs="Times New Roman"/>
          <w:kern w:val="3"/>
          <w:lang w:eastAsia="en-US"/>
        </w:rPr>
        <w:t>Economics Advisory Section</w:t>
      </w:r>
    </w:p>
    <w:p w14:paraId="5329F61E" w14:textId="77777777" w:rsidR="006A5898" w:rsidRDefault="00F82623">
      <w:pPr>
        <w:suppressAutoHyphens w:val="0"/>
        <w:spacing w:after="160" w:line="256" w:lineRule="auto"/>
        <w:contextualSpacing/>
        <w:rPr>
          <w:rFonts w:eastAsia="Calibri" w:cs="Times New Roman"/>
          <w:kern w:val="3"/>
          <w:lang w:eastAsia="en-US"/>
        </w:rPr>
      </w:pPr>
      <w:r>
        <w:rPr>
          <w:rFonts w:eastAsia="Calibri" w:cs="Times New Roman"/>
          <w:kern w:val="3"/>
          <w:lang w:eastAsia="en-US"/>
        </w:rPr>
        <w:t>Australian Communications and Media Authority</w:t>
      </w:r>
    </w:p>
    <w:p w14:paraId="123283F1" w14:textId="77777777" w:rsidR="006A5898" w:rsidRDefault="00F82623">
      <w:pPr>
        <w:suppressAutoHyphens w:val="0"/>
        <w:spacing w:after="160" w:line="256" w:lineRule="auto"/>
        <w:contextualSpacing/>
        <w:rPr>
          <w:rFonts w:eastAsia="Calibri" w:cs="Times New Roman"/>
          <w:kern w:val="3"/>
          <w:lang w:eastAsia="en-US"/>
        </w:rPr>
      </w:pPr>
      <w:r>
        <w:rPr>
          <w:rFonts w:eastAsia="Calibri" w:cs="Times New Roman"/>
          <w:kern w:val="3"/>
          <w:lang w:eastAsia="en-US"/>
        </w:rPr>
        <w:t>PO Box 13112</w:t>
      </w:r>
    </w:p>
    <w:p w14:paraId="20C3AB7C" w14:textId="5BF72314" w:rsidR="006A5898" w:rsidRDefault="00F82623">
      <w:pPr>
        <w:suppressAutoHyphens w:val="0"/>
        <w:spacing w:after="160" w:line="256" w:lineRule="auto"/>
        <w:contextualSpacing/>
        <w:rPr>
          <w:rFonts w:eastAsia="Calibri" w:cs="Times New Roman"/>
          <w:kern w:val="3"/>
          <w:lang w:eastAsia="en-US"/>
        </w:rPr>
      </w:pPr>
      <w:r>
        <w:rPr>
          <w:rFonts w:eastAsia="Calibri" w:cs="Times New Roman"/>
          <w:kern w:val="3"/>
          <w:lang w:eastAsia="en-US"/>
        </w:rPr>
        <w:t>Law Courts</w:t>
      </w:r>
    </w:p>
    <w:p w14:paraId="123283F3" w14:textId="77777777" w:rsidR="006A5898" w:rsidRDefault="00F82623">
      <w:pPr>
        <w:suppressAutoHyphens w:val="0"/>
        <w:spacing w:after="160" w:line="256" w:lineRule="auto"/>
        <w:contextualSpacing/>
        <w:rPr>
          <w:rFonts w:eastAsia="Calibri" w:cs="Times New Roman"/>
          <w:kern w:val="3"/>
          <w:lang w:eastAsia="en-US"/>
        </w:rPr>
      </w:pPr>
      <w:r>
        <w:rPr>
          <w:rFonts w:eastAsia="Calibri" w:cs="Times New Roman"/>
          <w:kern w:val="3"/>
          <w:lang w:eastAsia="en-US"/>
        </w:rPr>
        <w:t>Melbourne VIC 8010</w:t>
      </w:r>
    </w:p>
    <w:p w14:paraId="123283F4" w14:textId="77777777" w:rsidR="006A5898" w:rsidRDefault="006A5898">
      <w:pPr>
        <w:suppressAutoHyphens w:val="0"/>
        <w:spacing w:after="160" w:line="256" w:lineRule="auto"/>
        <w:contextualSpacing/>
        <w:rPr>
          <w:rFonts w:eastAsia="Calibri" w:cs="Times New Roman"/>
          <w:kern w:val="3"/>
          <w:lang w:eastAsia="en-US"/>
        </w:rPr>
      </w:pPr>
    </w:p>
    <w:p w14:paraId="60C99E66" w14:textId="77777777" w:rsidR="004B179E" w:rsidRDefault="00F82623" w:rsidP="004B179E">
      <w:pPr>
        <w:suppressAutoHyphens w:val="0"/>
        <w:spacing w:after="160" w:line="256" w:lineRule="auto"/>
        <w:contextualSpacing/>
        <w:jc w:val="center"/>
        <w:rPr>
          <w:rFonts w:eastAsia="Calibri" w:cs="Times New Roman"/>
          <w:b/>
          <w:bCs/>
          <w:kern w:val="3"/>
          <w:lang w:eastAsia="en-US"/>
        </w:rPr>
      </w:pPr>
      <w:r>
        <w:rPr>
          <w:rFonts w:eastAsia="Calibri" w:cs="Times New Roman"/>
          <w:b/>
          <w:bCs/>
          <w:kern w:val="3"/>
          <w:lang w:eastAsia="en-US"/>
        </w:rPr>
        <w:t xml:space="preserve">Re: </w:t>
      </w:r>
      <w:r w:rsidR="004B179E">
        <w:rPr>
          <w:rFonts w:eastAsia="Calibri" w:cs="Times New Roman"/>
          <w:b/>
          <w:bCs/>
          <w:kern w:val="3"/>
          <w:lang w:eastAsia="en-US"/>
        </w:rPr>
        <w:t>Proposed approach to expiring spectrum licences</w:t>
      </w:r>
    </w:p>
    <w:p w14:paraId="123283F6" w14:textId="31CE8F7D" w:rsidR="006A5898" w:rsidRDefault="006A5898" w:rsidP="004B179E">
      <w:pPr>
        <w:suppressAutoHyphens w:val="0"/>
        <w:spacing w:after="160" w:line="256" w:lineRule="auto"/>
        <w:contextualSpacing/>
        <w:jc w:val="center"/>
        <w:rPr>
          <w:rFonts w:eastAsia="Calibri" w:cs="Times New Roman"/>
          <w:kern w:val="3"/>
          <w:lang w:eastAsia="en-US"/>
        </w:rPr>
      </w:pPr>
    </w:p>
    <w:p w14:paraId="123283F7" w14:textId="041CB91F" w:rsidR="006A5898" w:rsidRDefault="00F82623">
      <w:pPr>
        <w:tabs>
          <w:tab w:val="right" w:pos="9026"/>
        </w:tabs>
      </w:pPr>
      <w:r>
        <w:t>The Australian Communications Consumer Action Network (</w:t>
      </w:r>
      <w:r>
        <w:rPr>
          <w:b/>
          <w:bCs/>
        </w:rPr>
        <w:t>ACCAN)</w:t>
      </w:r>
      <w:r>
        <w:t xml:space="preserve"> thanks the Australian Communications and Media Authority (</w:t>
      </w:r>
      <w:r>
        <w:rPr>
          <w:b/>
          <w:bCs/>
        </w:rPr>
        <w:t>ACMA</w:t>
      </w:r>
      <w:r>
        <w:t>) for the opportunity to comment on the Proposed approach to expiring spectrum licences</w:t>
      </w:r>
      <w:r w:rsidR="00337E71">
        <w:t xml:space="preserve"> consultation paper</w:t>
      </w:r>
      <w:r>
        <w:t xml:space="preserve"> (</w:t>
      </w:r>
      <w:r>
        <w:rPr>
          <w:b/>
          <w:bCs/>
        </w:rPr>
        <w:t xml:space="preserve">the </w:t>
      </w:r>
      <w:r w:rsidR="00836AD3">
        <w:rPr>
          <w:b/>
          <w:bCs/>
        </w:rPr>
        <w:t>P</w:t>
      </w:r>
      <w:r w:rsidR="005B15BB">
        <w:rPr>
          <w:b/>
          <w:bCs/>
        </w:rPr>
        <w:t>aper</w:t>
      </w:r>
      <w:r>
        <w:t xml:space="preserve">). </w:t>
      </w:r>
    </w:p>
    <w:p w14:paraId="3A3181EE" w14:textId="67E5B213" w:rsidR="00AE0DCC" w:rsidRDefault="00F82623">
      <w:pPr>
        <w:tabs>
          <w:tab w:val="right" w:pos="9026"/>
        </w:tabs>
      </w:pPr>
      <w:r>
        <w:t>ACCAN is the peak body that represents consumers on communications issues including telecommunications, broadband, and emerging new services. ACCAN provides a strong unified voice to industry and government as we work towards communications services that are trusted, inclusive and available for all.</w:t>
      </w:r>
    </w:p>
    <w:p w14:paraId="4A1C99E2" w14:textId="660FEE2A" w:rsidR="006A5898" w:rsidRDefault="00F82623" w:rsidP="3D8E58AD">
      <w:pPr>
        <w:tabs>
          <w:tab w:val="right" w:pos="9026"/>
        </w:tabs>
        <w:rPr>
          <w:rStyle w:val="FootnoteReference"/>
        </w:rPr>
      </w:pPr>
      <w:r>
        <w:t xml:space="preserve">ACCAN supports the </w:t>
      </w:r>
      <w:r w:rsidR="418AC5EA">
        <w:t xml:space="preserve">ACMA’s </w:t>
      </w:r>
      <w:r>
        <w:t>proposed</w:t>
      </w:r>
      <w:r w:rsidR="37FD0C01">
        <w:t xml:space="preserve"> 4-stage process for considering renewals of expired spectrum licences (</w:t>
      </w:r>
      <w:r w:rsidR="37FD0C01" w:rsidRPr="3D8E58AD">
        <w:rPr>
          <w:b/>
          <w:bCs/>
        </w:rPr>
        <w:t>ESL</w:t>
      </w:r>
      <w:r w:rsidR="37FD0C01">
        <w:t>).</w:t>
      </w:r>
      <w:r w:rsidRPr="3D8E58AD">
        <w:rPr>
          <w:rStyle w:val="FootnoteReference"/>
        </w:rPr>
        <w:footnoteReference w:id="2"/>
      </w:r>
      <w:r w:rsidR="37FD0C01" w:rsidRPr="3D8E58AD">
        <w:rPr>
          <w:rStyle w:val="FootnoteReference"/>
        </w:rPr>
        <w:t xml:space="preserve"> </w:t>
      </w:r>
      <w:r w:rsidR="00870EB8">
        <w:t>In particular, we support:</w:t>
      </w:r>
    </w:p>
    <w:p w14:paraId="123283FB" w14:textId="60E3A8B5" w:rsidR="006A5898" w:rsidRDefault="00EF4091">
      <w:pPr>
        <w:pStyle w:val="ListParagraph"/>
        <w:numPr>
          <w:ilvl w:val="0"/>
          <w:numId w:val="4"/>
        </w:numPr>
        <w:tabs>
          <w:tab w:val="right" w:pos="9026"/>
        </w:tabs>
      </w:pPr>
      <w:r>
        <w:t>The i</w:t>
      </w:r>
      <w:r w:rsidR="00FD3F40">
        <w:t xml:space="preserve">ntroduction </w:t>
      </w:r>
      <w:r w:rsidR="00DB0499">
        <w:t>of public</w:t>
      </w:r>
      <w:r w:rsidR="00FD3F40">
        <w:t xml:space="preserve"> interest criteria to spectrum licensing considerations.</w:t>
      </w:r>
      <w:r w:rsidR="00F718A5">
        <w:rPr>
          <w:rStyle w:val="FootnoteReference"/>
        </w:rPr>
        <w:footnoteReference w:id="3"/>
      </w:r>
    </w:p>
    <w:p w14:paraId="7377D553" w14:textId="6A0EE038" w:rsidR="00711297" w:rsidRDefault="00A55F36" w:rsidP="00711297">
      <w:pPr>
        <w:pStyle w:val="ListParagraph"/>
        <w:numPr>
          <w:ilvl w:val="0"/>
          <w:numId w:val="4"/>
        </w:numPr>
        <w:tabs>
          <w:tab w:val="right" w:pos="9026"/>
        </w:tabs>
      </w:pPr>
      <w:r>
        <w:t>The ACMA requesting information from spectrum</w:t>
      </w:r>
      <w:r w:rsidR="00711297">
        <w:t xml:space="preserve"> licen</w:t>
      </w:r>
      <w:r w:rsidR="00E81EB3">
        <w:t xml:space="preserve">ce holders </w:t>
      </w:r>
      <w:r>
        <w:t>to improve</w:t>
      </w:r>
      <w:r w:rsidR="00711297">
        <w:t xml:space="preserve"> </w:t>
      </w:r>
      <w:r w:rsidR="00D975D8">
        <w:t>its</w:t>
      </w:r>
      <w:r w:rsidR="004F5415">
        <w:t xml:space="preserve"> </w:t>
      </w:r>
      <w:r w:rsidR="00711297">
        <w:t xml:space="preserve">understanding of </w:t>
      </w:r>
      <w:r w:rsidR="00E81EB3">
        <w:t xml:space="preserve">existing </w:t>
      </w:r>
      <w:r w:rsidR="00711297">
        <w:t>spectrum utilisation.</w:t>
      </w:r>
      <w:r w:rsidR="00F718A5">
        <w:rPr>
          <w:rStyle w:val="FootnoteReference"/>
        </w:rPr>
        <w:footnoteReference w:id="4"/>
      </w:r>
      <w:r>
        <w:t xml:space="preserve"> </w:t>
      </w:r>
    </w:p>
    <w:p w14:paraId="6FB56BE9" w14:textId="0FE92133" w:rsidR="0021135C" w:rsidRDefault="00A55F36">
      <w:pPr>
        <w:pStyle w:val="ListParagraph"/>
        <w:numPr>
          <w:ilvl w:val="0"/>
          <w:numId w:val="4"/>
        </w:numPr>
        <w:tabs>
          <w:tab w:val="right" w:pos="9026"/>
        </w:tabs>
      </w:pPr>
      <w:r>
        <w:t>The ACMA reviewing</w:t>
      </w:r>
      <w:r w:rsidR="00A7084A">
        <w:t xml:space="preserve"> future</w:t>
      </w:r>
      <w:r w:rsidR="00F80CC2">
        <w:t xml:space="preserve"> expired spectrum licenses simultaneously rather than individually to ensure that the ESL process aligns with the public interest.</w:t>
      </w:r>
      <w:r w:rsidR="00F3040D">
        <w:rPr>
          <w:rStyle w:val="FootnoteReference"/>
        </w:rPr>
        <w:footnoteReference w:id="5"/>
      </w:r>
    </w:p>
    <w:p w14:paraId="28F73436" w14:textId="11B44FAA" w:rsidR="00A9106F" w:rsidRDefault="00A9106F" w:rsidP="00A9106F">
      <w:pPr>
        <w:pStyle w:val="ListParagraph"/>
        <w:numPr>
          <w:ilvl w:val="0"/>
          <w:numId w:val="4"/>
        </w:numPr>
        <w:tabs>
          <w:tab w:val="right" w:pos="9026"/>
        </w:tabs>
      </w:pPr>
      <w:r>
        <w:t xml:space="preserve">Measures to improve the ACMA’s </w:t>
      </w:r>
      <w:r w:rsidR="00A55F36">
        <w:t>understanding of</w:t>
      </w:r>
      <w:r>
        <w:t xml:space="preserve"> the end users who rely on spectrum services.</w:t>
      </w:r>
      <w:r w:rsidR="00A702FA">
        <w:rPr>
          <w:rStyle w:val="FootnoteReference"/>
        </w:rPr>
        <w:footnoteReference w:id="6"/>
      </w:r>
      <w:r>
        <w:t xml:space="preserve"> </w:t>
      </w:r>
    </w:p>
    <w:p w14:paraId="3DA165C7" w14:textId="0941251D" w:rsidR="00FF1632" w:rsidRDefault="00C77D38">
      <w:pPr>
        <w:tabs>
          <w:tab w:val="right" w:pos="9026"/>
        </w:tabs>
      </w:pPr>
      <w:r>
        <w:t xml:space="preserve">Please see </w:t>
      </w:r>
      <w:r w:rsidRPr="003D4087">
        <w:rPr>
          <w:b/>
          <w:bCs/>
        </w:rPr>
        <w:t xml:space="preserve">Attachment A </w:t>
      </w:r>
      <w:r>
        <w:t xml:space="preserve">for ACCAN’s </w:t>
      </w:r>
      <w:r w:rsidR="00065A67">
        <w:t>responses</w:t>
      </w:r>
      <w:r>
        <w:t xml:space="preserve"> to the </w:t>
      </w:r>
      <w:r w:rsidR="00775A74">
        <w:t xml:space="preserve">questions set </w:t>
      </w:r>
      <w:r w:rsidR="00836D4A">
        <w:t>in the</w:t>
      </w:r>
      <w:r>
        <w:t xml:space="preserve"> </w:t>
      </w:r>
      <w:r w:rsidR="00836AD3">
        <w:t>Paper</w:t>
      </w:r>
      <w:r w:rsidR="00FF1632">
        <w:t>.</w:t>
      </w:r>
    </w:p>
    <w:p w14:paraId="167B3115" w14:textId="77777777" w:rsidR="00065A67" w:rsidRDefault="00065A67">
      <w:pPr>
        <w:tabs>
          <w:tab w:val="right" w:pos="9026"/>
        </w:tabs>
      </w:pPr>
    </w:p>
    <w:p w14:paraId="4EBF7473" w14:textId="77777777" w:rsidR="00065A67" w:rsidRDefault="00065A67">
      <w:pPr>
        <w:tabs>
          <w:tab w:val="right" w:pos="9026"/>
        </w:tabs>
      </w:pPr>
    </w:p>
    <w:p w14:paraId="4EEF3D05" w14:textId="57227C55" w:rsidR="007E3A8C" w:rsidRDefault="00FF1632">
      <w:pPr>
        <w:tabs>
          <w:tab w:val="right" w:pos="9026"/>
        </w:tabs>
      </w:pPr>
      <w:r w:rsidRPr="003D4087">
        <w:rPr>
          <w:b/>
          <w:bCs/>
          <w:sz w:val="28"/>
          <w:szCs w:val="28"/>
        </w:rPr>
        <w:lastRenderedPageBreak/>
        <w:t>Attachment A</w:t>
      </w:r>
    </w:p>
    <w:p w14:paraId="099A650E" w14:textId="2FB7E7C0" w:rsidR="00D1529D" w:rsidRPr="000625BD" w:rsidRDefault="00D1529D" w:rsidP="000625BD">
      <w:pPr>
        <w:pStyle w:val="ListParagraph"/>
        <w:numPr>
          <w:ilvl w:val="0"/>
          <w:numId w:val="5"/>
        </w:numPr>
        <w:suppressAutoHyphens w:val="0"/>
        <w:autoSpaceDN/>
        <w:spacing w:after="160" w:line="259" w:lineRule="auto"/>
        <w:rPr>
          <w:rFonts w:asciiTheme="minorHAnsi" w:eastAsiaTheme="minorHAnsi" w:hAnsiTheme="minorHAnsi" w:cstheme="minorBidi"/>
          <w:b/>
          <w:bCs/>
          <w:kern w:val="2"/>
          <w:lang w:eastAsia="en-US"/>
          <w14:ligatures w14:val="standardContextual"/>
        </w:rPr>
      </w:pPr>
      <w:r w:rsidRPr="000625BD">
        <w:rPr>
          <w:rFonts w:asciiTheme="minorHAnsi" w:eastAsiaTheme="minorHAnsi" w:hAnsiTheme="minorHAnsi" w:cstheme="minorBidi"/>
          <w:b/>
          <w:bCs/>
          <w:kern w:val="2"/>
          <w:lang w:eastAsia="en-US"/>
          <w14:ligatures w14:val="standardContextual"/>
        </w:rPr>
        <w:t>What are your views on the proposed public interest criteria? Are there other criteria we should consider?</w:t>
      </w:r>
    </w:p>
    <w:p w14:paraId="77F38F95" w14:textId="7662DB46" w:rsidR="00122FE7" w:rsidRDefault="000625BD" w:rsidP="3D8E58AD">
      <w:pPr>
        <w:rPr>
          <w:lang w:val="en-US" w:eastAsia="en-US"/>
        </w:rPr>
      </w:pPr>
      <w:r w:rsidRPr="3D8E58AD">
        <w:rPr>
          <w:lang w:eastAsia="en-US"/>
        </w:rPr>
        <w:t>ACCAN is sat</w:t>
      </w:r>
      <w:r w:rsidR="00BD0402" w:rsidRPr="3D8E58AD">
        <w:rPr>
          <w:lang w:eastAsia="en-US"/>
        </w:rPr>
        <w:t xml:space="preserve">isfied with the proposed </w:t>
      </w:r>
      <w:r w:rsidR="000D2E9F" w:rsidRPr="3D8E58AD">
        <w:rPr>
          <w:lang w:eastAsia="en-US"/>
        </w:rPr>
        <w:t xml:space="preserve">introduction of public interest criteria. </w:t>
      </w:r>
      <w:r w:rsidR="0073374C">
        <w:rPr>
          <w:lang w:eastAsia="en-US"/>
        </w:rPr>
        <w:t>Given</w:t>
      </w:r>
      <w:r w:rsidR="06D3E8FB" w:rsidRPr="3D8E58AD">
        <w:rPr>
          <w:lang w:eastAsia="en-US"/>
        </w:rPr>
        <w:t xml:space="preserve"> the rapid rate of innovation and technological development, the ACMA should </w:t>
      </w:r>
      <w:proofErr w:type="gramStart"/>
      <w:r w:rsidR="06D3E8FB" w:rsidRPr="3D8E58AD">
        <w:rPr>
          <w:lang w:eastAsia="en-US"/>
        </w:rPr>
        <w:t>give appropriate consideration to</w:t>
      </w:r>
      <w:proofErr w:type="gramEnd"/>
      <w:r w:rsidR="06D3E8FB" w:rsidRPr="3D8E58AD">
        <w:rPr>
          <w:lang w:eastAsia="en-US"/>
        </w:rPr>
        <w:t xml:space="preserve"> </w:t>
      </w:r>
      <w:r w:rsidR="00D13EF7">
        <w:rPr>
          <w:lang w:eastAsia="en-US"/>
        </w:rPr>
        <w:t xml:space="preserve">the issuing of shorter licensing periods </w:t>
      </w:r>
      <w:r w:rsidR="00BD5224">
        <w:rPr>
          <w:lang w:eastAsia="en-US"/>
        </w:rPr>
        <w:t>for spectrum licences</w:t>
      </w:r>
      <w:r w:rsidR="00107F48">
        <w:t xml:space="preserve">. Additionally, the ACMA may consider </w:t>
      </w:r>
      <w:r w:rsidR="00191632">
        <w:rPr>
          <w:lang w:eastAsia="en-US"/>
        </w:rPr>
        <w:t>limiting the use</w:t>
      </w:r>
      <w:r w:rsidR="00BD5224" w:rsidRPr="00BD5224">
        <w:rPr>
          <w:lang w:eastAsia="en-US"/>
        </w:rPr>
        <w:t xml:space="preserve"> of licensing terms in excess of 10 years.</w:t>
      </w:r>
      <w:r w:rsidR="00BD5224" w:rsidRPr="3D8E58AD" w:rsidDel="00BD5224">
        <w:rPr>
          <w:lang w:eastAsia="en-US"/>
        </w:rPr>
        <w:t xml:space="preserve"> </w:t>
      </w:r>
    </w:p>
    <w:p w14:paraId="49519557" w14:textId="09E6BE3A" w:rsidR="00EE6543" w:rsidRPr="003D4087" w:rsidRDefault="00122FE7" w:rsidP="3D8E58AD">
      <w:pPr>
        <w:rPr>
          <w:lang w:val="en-US" w:eastAsia="en-US"/>
        </w:rPr>
      </w:pPr>
      <w:r>
        <w:rPr>
          <w:lang w:val="en-US" w:eastAsia="en-US"/>
        </w:rPr>
        <w:t>S</w:t>
      </w:r>
      <w:r w:rsidR="00EE6543" w:rsidRPr="00EE6543">
        <w:rPr>
          <w:lang w:val="en-US" w:eastAsia="en-US"/>
        </w:rPr>
        <w:t xml:space="preserve">horter licensing </w:t>
      </w:r>
      <w:r w:rsidR="00870EB8" w:rsidRPr="00EE6543">
        <w:rPr>
          <w:lang w:val="en-US" w:eastAsia="en-US"/>
        </w:rPr>
        <w:t>terms,</w:t>
      </w:r>
      <w:r w:rsidR="00EE6543" w:rsidRPr="00EE6543">
        <w:rPr>
          <w:lang w:val="en-US" w:eastAsia="en-US"/>
        </w:rPr>
        <w:t xml:space="preserve"> </w:t>
      </w:r>
      <w:r w:rsidR="001D1091" w:rsidRPr="00EE6543">
        <w:rPr>
          <w:lang w:val="en-US" w:eastAsia="en-US"/>
        </w:rPr>
        <w:t>e.g.,</w:t>
      </w:r>
      <w:r w:rsidR="00EE6543" w:rsidRPr="00EE6543">
        <w:rPr>
          <w:lang w:val="en-US" w:eastAsia="en-US"/>
        </w:rPr>
        <w:t xml:space="preserve"> 10 years, may allow for efficient reallocation as new technologies emerge. In contrast</w:t>
      </w:r>
      <w:r w:rsidR="00D10A9F">
        <w:rPr>
          <w:lang w:val="en-US" w:eastAsia="en-US"/>
        </w:rPr>
        <w:t>,</w:t>
      </w:r>
      <w:r w:rsidR="00EE6543" w:rsidRPr="00EE6543">
        <w:rPr>
          <w:lang w:val="en-US" w:eastAsia="en-US"/>
        </w:rPr>
        <w:t xml:space="preserve"> licensing terms of 20 years may lock-in inefficient uses of spectrum. </w:t>
      </w:r>
    </w:p>
    <w:p w14:paraId="2D38275E" w14:textId="616A56EB" w:rsidR="007277AC" w:rsidRPr="00F82623" w:rsidRDefault="00D1529D" w:rsidP="007277AC">
      <w:pPr>
        <w:pStyle w:val="ListParagraph"/>
        <w:numPr>
          <w:ilvl w:val="0"/>
          <w:numId w:val="5"/>
        </w:numPr>
        <w:suppressAutoHyphens w:val="0"/>
        <w:autoSpaceDN/>
        <w:spacing w:after="160" w:line="259" w:lineRule="auto"/>
        <w:rPr>
          <w:rFonts w:asciiTheme="minorHAnsi" w:eastAsiaTheme="minorHAnsi" w:hAnsiTheme="minorHAnsi" w:cstheme="minorBidi"/>
          <w:b/>
          <w:bCs/>
          <w:kern w:val="2"/>
          <w:lang w:eastAsia="en-US"/>
          <w14:ligatures w14:val="standardContextual"/>
        </w:rPr>
      </w:pPr>
      <w:r w:rsidRPr="000D2E9F">
        <w:rPr>
          <w:rFonts w:asciiTheme="minorHAnsi" w:eastAsiaTheme="minorHAnsi" w:hAnsiTheme="minorHAnsi" w:cstheme="minorBidi"/>
          <w:b/>
          <w:bCs/>
          <w:kern w:val="2"/>
          <w:lang w:eastAsia="en-US"/>
          <w14:ligatures w14:val="standardContextual"/>
        </w:rPr>
        <w:t>What are your views on the proposed 4-stage approach to undertaking the ESL process?</w:t>
      </w:r>
    </w:p>
    <w:p w14:paraId="6DAC7649" w14:textId="4FC54E28" w:rsidR="003C58C1" w:rsidRDefault="000D2E9F" w:rsidP="000D2E9F">
      <w:pPr>
        <w:tabs>
          <w:tab w:val="right" w:pos="9026"/>
        </w:tabs>
      </w:pPr>
      <w:r w:rsidRPr="3D8E58AD">
        <w:rPr>
          <w:rFonts w:asciiTheme="minorHAnsi" w:eastAsiaTheme="minorEastAsia" w:hAnsiTheme="minorHAnsi" w:cstheme="minorBidi"/>
          <w:kern w:val="2"/>
          <w:lang w:eastAsia="en-US"/>
          <w14:ligatures w14:val="standardContextual"/>
        </w:rPr>
        <w:t>ACCAN supports the</w:t>
      </w:r>
      <w:r w:rsidRPr="3D8E58AD">
        <w:rPr>
          <w:rFonts w:asciiTheme="minorHAnsi" w:eastAsiaTheme="minorEastAsia" w:hAnsiTheme="minorHAnsi" w:cstheme="minorBidi"/>
          <w:b/>
          <w:bCs/>
          <w:kern w:val="2"/>
          <w:lang w:eastAsia="en-US"/>
          <w14:ligatures w14:val="standardContextual"/>
        </w:rPr>
        <w:t xml:space="preserve"> </w:t>
      </w:r>
      <w:r>
        <w:t xml:space="preserve">4-stage </w:t>
      </w:r>
      <w:r w:rsidR="001D615B">
        <w:t xml:space="preserve">approach to undertaking the ESL process. </w:t>
      </w:r>
      <w:r w:rsidR="00B37D83">
        <w:t xml:space="preserve">In particular, we support: </w:t>
      </w:r>
    </w:p>
    <w:p w14:paraId="17B36856" w14:textId="4E4AAB2E" w:rsidR="00F53BDA" w:rsidRDefault="00B37D83" w:rsidP="00051A8C">
      <w:pPr>
        <w:pStyle w:val="ListParagraph"/>
        <w:numPr>
          <w:ilvl w:val="0"/>
          <w:numId w:val="6"/>
        </w:numPr>
        <w:tabs>
          <w:tab w:val="right" w:pos="9026"/>
        </w:tabs>
      </w:pPr>
      <w:r>
        <w:t>The</w:t>
      </w:r>
      <w:r w:rsidR="007C5CBB">
        <w:t xml:space="preserve"> ACMA’s plans to request spectrum use </w:t>
      </w:r>
      <w:r w:rsidR="00815B83">
        <w:t xml:space="preserve">information </w:t>
      </w:r>
      <w:r w:rsidR="00051A8C">
        <w:t xml:space="preserve">from spectrum licensees. </w:t>
      </w:r>
      <w:r w:rsidR="00051A8C" w:rsidRPr="00051A8C">
        <w:t>This will improve the ACMA’s understanding of spectrum utilisation</w:t>
      </w:r>
      <w:r w:rsidR="0004009E">
        <w:t>.</w:t>
      </w:r>
      <w:r w:rsidR="00F655F2">
        <w:rPr>
          <w:rStyle w:val="FootnoteReference"/>
        </w:rPr>
        <w:footnoteReference w:id="7"/>
      </w:r>
    </w:p>
    <w:p w14:paraId="47F43039" w14:textId="47BC0747" w:rsidR="007277AC" w:rsidRPr="00F53BDA" w:rsidRDefault="00051A8C" w:rsidP="00F53BDA">
      <w:pPr>
        <w:pStyle w:val="ListParagraph"/>
        <w:numPr>
          <w:ilvl w:val="0"/>
          <w:numId w:val="6"/>
        </w:numPr>
        <w:tabs>
          <w:tab w:val="right" w:pos="9026"/>
        </w:tabs>
      </w:pPr>
      <w:r>
        <w:rPr>
          <w:rFonts w:asciiTheme="minorHAnsi" w:eastAsiaTheme="minorHAnsi" w:hAnsiTheme="minorHAnsi" w:cstheme="minorBidi"/>
          <w:kern w:val="2"/>
          <w:lang w:eastAsia="en-US"/>
          <w14:ligatures w14:val="standardContextual"/>
        </w:rPr>
        <w:t xml:space="preserve">The </w:t>
      </w:r>
      <w:r w:rsidR="004E48CB">
        <w:rPr>
          <w:rFonts w:asciiTheme="minorHAnsi" w:eastAsiaTheme="minorHAnsi" w:hAnsiTheme="minorHAnsi" w:cstheme="minorBidi"/>
          <w:kern w:val="2"/>
          <w:lang w:eastAsia="en-US"/>
          <w14:ligatures w14:val="standardContextual"/>
        </w:rPr>
        <w:t>ACMA</w:t>
      </w:r>
      <w:r>
        <w:rPr>
          <w:rFonts w:asciiTheme="minorHAnsi" w:eastAsiaTheme="minorHAnsi" w:hAnsiTheme="minorHAnsi" w:cstheme="minorBidi"/>
          <w:kern w:val="2"/>
          <w:lang w:eastAsia="en-US"/>
          <w14:ligatures w14:val="standardContextual"/>
        </w:rPr>
        <w:t xml:space="preserve">s </w:t>
      </w:r>
      <w:r w:rsidR="00840B3A">
        <w:rPr>
          <w:rFonts w:asciiTheme="minorHAnsi" w:eastAsiaTheme="minorHAnsi" w:hAnsiTheme="minorHAnsi" w:cstheme="minorBidi"/>
          <w:kern w:val="2"/>
          <w:lang w:eastAsia="en-US"/>
          <w14:ligatures w14:val="standardContextual"/>
        </w:rPr>
        <w:t xml:space="preserve">aim to </w:t>
      </w:r>
      <w:r w:rsidR="00840B3A">
        <w:t>review all expired spectrum licenses simultaneously rather than individually</w:t>
      </w:r>
      <w:r w:rsidR="00145571" w:rsidRPr="00F53BDA">
        <w:rPr>
          <w:rFonts w:asciiTheme="minorHAnsi" w:eastAsiaTheme="minorHAnsi" w:hAnsiTheme="minorHAnsi" w:cstheme="minorBidi"/>
          <w:kern w:val="2"/>
          <w:lang w:eastAsia="en-US"/>
          <w14:ligatures w14:val="standardContextual"/>
        </w:rPr>
        <w:t>.</w:t>
      </w:r>
      <w:r w:rsidR="00AD27AC">
        <w:rPr>
          <w:rStyle w:val="FootnoteReference"/>
          <w:rFonts w:asciiTheme="minorHAnsi" w:eastAsiaTheme="minorHAnsi" w:hAnsiTheme="minorHAnsi" w:cstheme="minorBidi"/>
          <w:kern w:val="2"/>
          <w:lang w:eastAsia="en-US"/>
          <w14:ligatures w14:val="standardContextual"/>
        </w:rPr>
        <w:footnoteReference w:id="8"/>
      </w:r>
      <w:r w:rsidR="00C27825" w:rsidRPr="00F53BDA">
        <w:rPr>
          <w:rFonts w:asciiTheme="minorHAnsi" w:eastAsiaTheme="minorHAnsi" w:hAnsiTheme="minorHAnsi" w:cstheme="minorBidi"/>
          <w:kern w:val="2"/>
          <w:lang w:eastAsia="en-US"/>
          <w14:ligatures w14:val="standardContextual"/>
        </w:rPr>
        <w:t xml:space="preserve"> </w:t>
      </w:r>
      <w:r w:rsidR="007277AC" w:rsidRPr="00F53BDA">
        <w:rPr>
          <w:rFonts w:asciiTheme="minorHAnsi" w:eastAsiaTheme="minorHAnsi" w:hAnsiTheme="minorHAnsi" w:cstheme="minorBidi"/>
          <w:kern w:val="2"/>
          <w:lang w:eastAsia="en-US"/>
          <w14:ligatures w14:val="standardContextual"/>
        </w:rPr>
        <w:t xml:space="preserve">This approach would allow the ESL </w:t>
      </w:r>
      <w:r w:rsidR="00ED10A5">
        <w:rPr>
          <w:rFonts w:asciiTheme="minorHAnsi" w:eastAsiaTheme="minorHAnsi" w:hAnsiTheme="minorHAnsi" w:cstheme="minorBidi"/>
          <w:kern w:val="2"/>
          <w:lang w:eastAsia="en-US"/>
          <w14:ligatures w14:val="standardContextual"/>
        </w:rPr>
        <w:t xml:space="preserve">renewal </w:t>
      </w:r>
      <w:r w:rsidR="007277AC" w:rsidRPr="00F53BDA">
        <w:rPr>
          <w:rFonts w:asciiTheme="minorHAnsi" w:eastAsiaTheme="minorHAnsi" w:hAnsiTheme="minorHAnsi" w:cstheme="minorBidi"/>
          <w:kern w:val="2"/>
          <w:lang w:eastAsia="en-US"/>
          <w14:ligatures w14:val="standardContextual"/>
        </w:rPr>
        <w:t>process to be contextualised within the wider framework of spectrum licenses</w:t>
      </w:r>
      <w:r w:rsidR="00F577BE">
        <w:rPr>
          <w:rFonts w:asciiTheme="minorHAnsi" w:eastAsiaTheme="minorHAnsi" w:hAnsiTheme="minorHAnsi" w:cstheme="minorBidi"/>
          <w:kern w:val="2"/>
          <w:lang w:eastAsia="en-US"/>
          <w14:ligatures w14:val="standardContextual"/>
        </w:rPr>
        <w:t xml:space="preserve">. </w:t>
      </w:r>
    </w:p>
    <w:p w14:paraId="5174413E" w14:textId="0456B96E" w:rsidR="00F53BDA" w:rsidRPr="00F53BDA" w:rsidRDefault="00F53BDA" w:rsidP="00F53BDA">
      <w:pPr>
        <w:pStyle w:val="ListParagraph"/>
        <w:numPr>
          <w:ilvl w:val="0"/>
          <w:numId w:val="6"/>
        </w:numPr>
        <w:tabs>
          <w:tab w:val="right" w:pos="9026"/>
        </w:tabs>
      </w:pPr>
      <w:r w:rsidRPr="00F53BDA">
        <w:t xml:space="preserve">Measures to improve the ACMA’s information gathering </w:t>
      </w:r>
      <w:r w:rsidR="002370BB">
        <w:t>capabilities</w:t>
      </w:r>
      <w:r w:rsidRPr="00F53BDA">
        <w:t xml:space="preserve"> to understand the types of end users who rely on spectrum services.</w:t>
      </w:r>
      <w:r w:rsidR="003238F5">
        <w:rPr>
          <w:rStyle w:val="FootnoteReference"/>
        </w:rPr>
        <w:footnoteReference w:id="9"/>
      </w:r>
    </w:p>
    <w:p w14:paraId="7FB61064" w14:textId="08809414" w:rsidR="00AD068D" w:rsidRDefault="00C27825" w:rsidP="00AD068D">
      <w:pPr>
        <w:rPr>
          <w:lang w:eastAsia="en-US"/>
        </w:rPr>
      </w:pPr>
      <w:r w:rsidRPr="00F63A6F">
        <w:rPr>
          <w:lang w:eastAsia="en-US"/>
        </w:rPr>
        <w:t xml:space="preserve">Additionally, ACCAN </w:t>
      </w:r>
      <w:r w:rsidRPr="3D8E58AD">
        <w:rPr>
          <w:lang w:eastAsia="en-US"/>
        </w:rPr>
        <w:t xml:space="preserve">supports the ACMA exploring </w:t>
      </w:r>
      <w:r w:rsidR="006155D3">
        <w:rPr>
          <w:lang w:eastAsia="en-US"/>
        </w:rPr>
        <w:t>pathways</w:t>
      </w:r>
      <w:r w:rsidRPr="3D8E58AD">
        <w:rPr>
          <w:lang w:eastAsia="en-US"/>
        </w:rPr>
        <w:t xml:space="preserve"> under the </w:t>
      </w:r>
      <w:r w:rsidRPr="003D4087">
        <w:rPr>
          <w:i/>
          <w:iCs/>
          <w:lang w:eastAsia="en-US"/>
        </w:rPr>
        <w:t>Telecommunications Act 1997</w:t>
      </w:r>
      <w:r w:rsidRPr="3D8E58AD">
        <w:rPr>
          <w:lang w:eastAsia="en-US"/>
        </w:rPr>
        <w:t xml:space="preserve"> (Cth)</w:t>
      </w:r>
      <w:r w:rsidR="00B24C5E" w:rsidRPr="3D8E58AD">
        <w:rPr>
          <w:lang w:eastAsia="en-US"/>
        </w:rPr>
        <w:t xml:space="preserve"> to </w:t>
      </w:r>
      <w:r w:rsidR="00A879F6" w:rsidRPr="3D8E58AD">
        <w:rPr>
          <w:lang w:eastAsia="en-US"/>
        </w:rPr>
        <w:t>improve its</w:t>
      </w:r>
      <w:r w:rsidR="00B24C5E" w:rsidRPr="3D8E58AD">
        <w:rPr>
          <w:lang w:eastAsia="en-US"/>
        </w:rPr>
        <w:t xml:space="preserve"> information gathering powers</w:t>
      </w:r>
      <w:r w:rsidR="00AD068D" w:rsidRPr="3D8E58AD">
        <w:rPr>
          <w:lang w:eastAsia="en-US"/>
        </w:rPr>
        <w:t>.</w:t>
      </w:r>
      <w:r w:rsidR="00117E3C">
        <w:rPr>
          <w:rStyle w:val="FootnoteReference"/>
          <w:lang w:eastAsia="en-US"/>
        </w:rPr>
        <w:footnoteReference w:id="10"/>
      </w:r>
      <w:r w:rsidR="00AD068D" w:rsidRPr="3D8E58AD">
        <w:rPr>
          <w:lang w:eastAsia="en-US"/>
        </w:rPr>
        <w:t xml:space="preserve"> </w:t>
      </w:r>
    </w:p>
    <w:p w14:paraId="0838236A" w14:textId="27FD5165" w:rsidR="00C720EC" w:rsidRDefault="00B238FD" w:rsidP="003C2FBF">
      <w:pPr>
        <w:rPr>
          <w:lang w:eastAsia="en-US"/>
        </w:rPr>
      </w:pPr>
      <w:r>
        <w:rPr>
          <w:lang w:eastAsia="en-US"/>
        </w:rPr>
        <w:t>ACCAN considers that due to the rapid rate of innovation and technological development, priority consideration should be given to spectrum licensing o</w:t>
      </w:r>
      <w:r w:rsidRPr="00AB27CC">
        <w:rPr>
          <w:lang w:eastAsia="en-US"/>
        </w:rPr>
        <w:t xml:space="preserve">ptions </w:t>
      </w:r>
      <w:r>
        <w:rPr>
          <w:lang w:eastAsia="en-US"/>
        </w:rPr>
        <w:t>which provide the ACMA the</w:t>
      </w:r>
      <w:r w:rsidR="00D75F7C">
        <w:rPr>
          <w:lang w:eastAsia="en-US"/>
        </w:rPr>
        <w:t xml:space="preserve"> most </w:t>
      </w:r>
      <w:r w:rsidR="00DE4378">
        <w:rPr>
          <w:lang w:eastAsia="en-US"/>
        </w:rPr>
        <w:t>flexibility. Additionally</w:t>
      </w:r>
      <w:r w:rsidR="00A701DF">
        <w:rPr>
          <w:lang w:eastAsia="en-US"/>
        </w:rPr>
        <w:t>, ACCAN supports the</w:t>
      </w:r>
      <w:r w:rsidR="00580161">
        <w:rPr>
          <w:lang w:eastAsia="en-US"/>
        </w:rPr>
        <w:t xml:space="preserve"> </w:t>
      </w:r>
      <w:r w:rsidR="00FE0DB2">
        <w:rPr>
          <w:lang w:eastAsia="en-US"/>
        </w:rPr>
        <w:t>Paper</w:t>
      </w:r>
      <w:r w:rsidR="00FC784C">
        <w:rPr>
          <w:lang w:eastAsia="en-US"/>
        </w:rPr>
        <w:t>’</w:t>
      </w:r>
      <w:r w:rsidR="00FE0DB2">
        <w:rPr>
          <w:lang w:eastAsia="en-US"/>
        </w:rPr>
        <w:t>s</w:t>
      </w:r>
      <w:r w:rsidR="00580161">
        <w:rPr>
          <w:lang w:eastAsia="en-US"/>
        </w:rPr>
        <w:t xml:space="preserve"> assertion that </w:t>
      </w:r>
      <w:r w:rsidR="00763F75">
        <w:rPr>
          <w:lang w:eastAsia="en-US"/>
        </w:rPr>
        <w:t xml:space="preserve">the </w:t>
      </w:r>
      <w:r w:rsidR="00C70FAB">
        <w:rPr>
          <w:lang w:eastAsia="en-US"/>
        </w:rPr>
        <w:t>ESL renewal process</w:t>
      </w:r>
      <w:r w:rsidR="00763F75">
        <w:rPr>
          <w:lang w:eastAsia="en-US"/>
        </w:rPr>
        <w:t xml:space="preserve"> carry no </w:t>
      </w:r>
      <w:r w:rsidR="00C70FAB">
        <w:rPr>
          <w:lang w:eastAsia="en-US"/>
        </w:rPr>
        <w:t xml:space="preserve">presumptions </w:t>
      </w:r>
      <w:r w:rsidR="00763F75">
        <w:rPr>
          <w:lang w:eastAsia="en-US"/>
        </w:rPr>
        <w:t>of licence renewal for current spectrum licence holders.</w:t>
      </w:r>
      <w:r w:rsidR="00943DE6">
        <w:rPr>
          <w:rStyle w:val="FootnoteReference"/>
          <w:lang w:eastAsia="en-US"/>
        </w:rPr>
        <w:footnoteReference w:id="11"/>
      </w:r>
    </w:p>
    <w:p w14:paraId="7AFA93A1" w14:textId="3C4A3062" w:rsidR="00D1529D" w:rsidRPr="003D0B6B" w:rsidRDefault="00D1529D" w:rsidP="003D0B6B">
      <w:pPr>
        <w:pStyle w:val="ListParagraph"/>
        <w:numPr>
          <w:ilvl w:val="0"/>
          <w:numId w:val="5"/>
        </w:numPr>
        <w:suppressAutoHyphens w:val="0"/>
        <w:autoSpaceDN/>
        <w:spacing w:after="160" w:line="259" w:lineRule="auto"/>
        <w:rPr>
          <w:rFonts w:asciiTheme="minorHAnsi" w:eastAsiaTheme="minorHAnsi" w:hAnsiTheme="minorHAnsi" w:cstheme="minorBidi"/>
          <w:b/>
          <w:bCs/>
          <w:kern w:val="2"/>
          <w:lang w:eastAsia="en-US"/>
          <w14:ligatures w14:val="standardContextual"/>
        </w:rPr>
      </w:pPr>
      <w:r w:rsidRPr="003D0B6B">
        <w:rPr>
          <w:rFonts w:asciiTheme="minorHAnsi" w:eastAsiaTheme="minorHAnsi" w:hAnsiTheme="minorHAnsi" w:cstheme="minorBidi"/>
          <w:b/>
          <w:bCs/>
          <w:kern w:val="2"/>
          <w:lang w:eastAsia="en-US"/>
          <w14:ligatures w14:val="standardContextual"/>
        </w:rPr>
        <w:t>Are there any band-specific issues that we should consider as part of this ESL process?</w:t>
      </w:r>
    </w:p>
    <w:p w14:paraId="54D18A62" w14:textId="064620C0" w:rsidR="00765B71" w:rsidRPr="003D0B6B" w:rsidRDefault="00966B8F" w:rsidP="003D0B6B">
      <w:pPr>
        <w:suppressAutoHyphens w:val="0"/>
        <w:autoSpaceDN/>
        <w:spacing w:after="160" w:line="259" w:lineRule="auto"/>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ACCAN is </w:t>
      </w:r>
      <w:r w:rsidR="007C2A7F">
        <w:rPr>
          <w:rFonts w:asciiTheme="minorHAnsi" w:eastAsiaTheme="minorHAnsi" w:hAnsiTheme="minorHAnsi" w:cstheme="minorBidi"/>
          <w:kern w:val="2"/>
          <w:lang w:eastAsia="en-US"/>
          <w14:ligatures w14:val="standardContextual"/>
        </w:rPr>
        <w:t xml:space="preserve">currently </w:t>
      </w:r>
      <w:r>
        <w:rPr>
          <w:rFonts w:asciiTheme="minorHAnsi" w:eastAsiaTheme="minorHAnsi" w:hAnsiTheme="minorHAnsi" w:cstheme="minorBidi"/>
          <w:kern w:val="2"/>
          <w:lang w:eastAsia="en-US"/>
          <w14:ligatures w14:val="standardContextual"/>
        </w:rPr>
        <w:t>unaware of any band</w:t>
      </w:r>
      <w:r w:rsidR="00333842">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specific issues that the ACMA should consider as part of </w:t>
      </w:r>
      <w:r w:rsidR="00C04C74">
        <w:rPr>
          <w:rFonts w:asciiTheme="minorHAnsi" w:eastAsiaTheme="minorHAnsi" w:hAnsiTheme="minorHAnsi" w:cstheme="minorBidi"/>
          <w:kern w:val="2"/>
          <w:lang w:eastAsia="en-US"/>
          <w14:ligatures w14:val="standardContextual"/>
        </w:rPr>
        <w:t xml:space="preserve">the </w:t>
      </w:r>
      <w:r>
        <w:rPr>
          <w:rFonts w:asciiTheme="minorHAnsi" w:eastAsiaTheme="minorHAnsi" w:hAnsiTheme="minorHAnsi" w:cstheme="minorBidi"/>
          <w:kern w:val="2"/>
          <w:lang w:eastAsia="en-US"/>
          <w14:ligatures w14:val="standardContextual"/>
        </w:rPr>
        <w:t xml:space="preserve">ESL process. </w:t>
      </w:r>
    </w:p>
    <w:p w14:paraId="32B1599B" w14:textId="4D614DDC" w:rsidR="00D1529D" w:rsidRPr="003D0B6B" w:rsidRDefault="00D1529D" w:rsidP="003D0B6B">
      <w:pPr>
        <w:pStyle w:val="ListParagraph"/>
        <w:numPr>
          <w:ilvl w:val="0"/>
          <w:numId w:val="5"/>
        </w:numPr>
        <w:suppressAutoHyphens w:val="0"/>
        <w:autoSpaceDN/>
        <w:spacing w:after="160" w:line="259" w:lineRule="auto"/>
        <w:rPr>
          <w:rFonts w:asciiTheme="minorHAnsi" w:eastAsiaTheme="minorHAnsi" w:hAnsiTheme="minorHAnsi" w:cstheme="minorBidi"/>
          <w:b/>
          <w:bCs/>
          <w:kern w:val="2"/>
          <w:lang w:eastAsia="en-US"/>
          <w14:ligatures w14:val="standardContextual"/>
        </w:rPr>
      </w:pPr>
      <w:r w:rsidRPr="003D0B6B">
        <w:rPr>
          <w:rFonts w:asciiTheme="minorHAnsi" w:eastAsiaTheme="minorHAnsi" w:hAnsiTheme="minorHAnsi" w:cstheme="minorBidi"/>
          <w:b/>
          <w:bCs/>
          <w:kern w:val="2"/>
          <w:lang w:eastAsia="en-US"/>
          <w14:ligatures w14:val="standardContextual"/>
        </w:rPr>
        <w:t>Are there any other matters that we should consider in connection with the ESL process?</w:t>
      </w:r>
    </w:p>
    <w:p w14:paraId="1AA3DAC9" w14:textId="5CD6BE00" w:rsidR="00921D3C" w:rsidRDefault="00B76F9B" w:rsidP="003C2FBF">
      <w:pPr>
        <w:rPr>
          <w:lang w:eastAsia="en-US"/>
        </w:rPr>
      </w:pPr>
      <w:r w:rsidRPr="00B76F9B">
        <w:rPr>
          <w:lang w:eastAsia="en-US"/>
        </w:rPr>
        <w:t xml:space="preserve">ACCAN agrees with the </w:t>
      </w:r>
      <w:r w:rsidR="00A56925">
        <w:rPr>
          <w:lang w:eastAsia="en-US"/>
        </w:rPr>
        <w:t>ACMA’s</w:t>
      </w:r>
      <w:r w:rsidRPr="00B76F9B">
        <w:rPr>
          <w:lang w:eastAsia="en-US"/>
        </w:rPr>
        <w:t xml:space="preserve"> estimation that the number of device registrations linked to spectrum use may not be a reliable indicator of actual levels of utilisation.</w:t>
      </w:r>
      <w:r w:rsidR="00AA0F65">
        <w:rPr>
          <w:rStyle w:val="FootnoteReference"/>
          <w:rFonts w:asciiTheme="minorHAnsi" w:eastAsiaTheme="minorHAnsi" w:hAnsiTheme="minorHAnsi" w:cstheme="minorBidi"/>
          <w:kern w:val="2"/>
          <w:lang w:eastAsia="en-US"/>
          <w14:ligatures w14:val="standardContextual"/>
        </w:rPr>
        <w:footnoteReference w:id="12"/>
      </w:r>
      <w:r w:rsidR="00BF37B8">
        <w:rPr>
          <w:lang w:eastAsia="en-US"/>
        </w:rPr>
        <w:t xml:space="preserve"> </w:t>
      </w:r>
      <w:r w:rsidR="00A34D2E">
        <w:rPr>
          <w:lang w:eastAsia="en-US"/>
        </w:rPr>
        <w:t>ACCAN would support the ACMA</w:t>
      </w:r>
      <w:r w:rsidR="00DD004F">
        <w:rPr>
          <w:lang w:eastAsia="en-US"/>
        </w:rPr>
        <w:t xml:space="preserve"> request</w:t>
      </w:r>
      <w:r w:rsidR="00595A7F">
        <w:rPr>
          <w:lang w:eastAsia="en-US"/>
        </w:rPr>
        <w:t>ing</w:t>
      </w:r>
      <w:r w:rsidR="00DD004F">
        <w:rPr>
          <w:lang w:eastAsia="en-US"/>
        </w:rPr>
        <w:t xml:space="preserve"> general information about </w:t>
      </w:r>
      <w:r w:rsidR="007D0CFD">
        <w:rPr>
          <w:lang w:eastAsia="en-US"/>
        </w:rPr>
        <w:t xml:space="preserve">the </w:t>
      </w:r>
      <w:r w:rsidR="00DD004F">
        <w:rPr>
          <w:lang w:eastAsia="en-US"/>
        </w:rPr>
        <w:t>number of spectrum end users and the types of services that are being provided to them</w:t>
      </w:r>
      <w:r w:rsidR="00E70585">
        <w:rPr>
          <w:lang w:eastAsia="en-US"/>
        </w:rPr>
        <w:t xml:space="preserve"> from </w:t>
      </w:r>
      <w:r w:rsidR="00DB35AF">
        <w:rPr>
          <w:lang w:eastAsia="en-US"/>
        </w:rPr>
        <w:t>licensees</w:t>
      </w:r>
      <w:r w:rsidR="00DD004F">
        <w:rPr>
          <w:lang w:eastAsia="en-US"/>
        </w:rPr>
        <w:t>, where appropriate.</w:t>
      </w:r>
      <w:r w:rsidR="008C0A48">
        <w:rPr>
          <w:rStyle w:val="FootnoteReference"/>
          <w:rFonts w:asciiTheme="minorHAnsi" w:eastAsiaTheme="minorHAnsi" w:hAnsiTheme="minorHAnsi" w:cstheme="minorBidi"/>
          <w:kern w:val="2"/>
          <w:lang w:eastAsia="en-US"/>
          <w14:ligatures w14:val="standardContextual"/>
        </w:rPr>
        <w:footnoteReference w:id="13"/>
      </w:r>
      <w:r w:rsidR="00DD004F">
        <w:rPr>
          <w:lang w:eastAsia="en-US"/>
        </w:rPr>
        <w:t xml:space="preserve"> </w:t>
      </w:r>
    </w:p>
    <w:p w14:paraId="4C28AA31" w14:textId="149003DD" w:rsidR="00EC50EA" w:rsidRPr="002C4ABB" w:rsidRDefault="0050310E" w:rsidP="002C4ABB">
      <w:pPr>
        <w:rPr>
          <w:lang w:eastAsia="en-US"/>
        </w:rPr>
      </w:pPr>
      <w:r w:rsidRPr="3D8E58AD">
        <w:rPr>
          <w:lang w:eastAsia="en-US"/>
        </w:rPr>
        <w:lastRenderedPageBreak/>
        <w:t xml:space="preserve">The ACMA should </w:t>
      </w:r>
      <w:r w:rsidR="00D11631">
        <w:rPr>
          <w:lang w:eastAsia="en-US"/>
        </w:rPr>
        <w:t>consider</w:t>
      </w:r>
      <w:r w:rsidR="00921D3C" w:rsidRPr="3D8E58AD">
        <w:rPr>
          <w:lang w:eastAsia="en-US"/>
        </w:rPr>
        <w:t xml:space="preserve"> </w:t>
      </w:r>
      <w:r w:rsidRPr="3D8E58AD">
        <w:rPr>
          <w:lang w:eastAsia="en-US"/>
        </w:rPr>
        <w:t>request</w:t>
      </w:r>
      <w:r w:rsidR="00921D3C" w:rsidRPr="3D8E58AD">
        <w:rPr>
          <w:lang w:eastAsia="en-US"/>
        </w:rPr>
        <w:t>ing</w:t>
      </w:r>
      <w:r w:rsidRPr="3D8E58AD">
        <w:rPr>
          <w:lang w:eastAsia="en-US"/>
        </w:rPr>
        <w:t xml:space="preserve"> spectrum license utilisation and trading data</w:t>
      </w:r>
      <w:r w:rsidR="00B2440A">
        <w:rPr>
          <w:lang w:eastAsia="en-US"/>
        </w:rPr>
        <w:t xml:space="preserve"> from </w:t>
      </w:r>
      <w:r w:rsidR="00606261">
        <w:rPr>
          <w:lang w:eastAsia="en-US"/>
        </w:rPr>
        <w:t>licensees</w:t>
      </w:r>
      <w:r w:rsidR="00921D3C" w:rsidRPr="3D8E58AD">
        <w:rPr>
          <w:lang w:eastAsia="en-US"/>
        </w:rPr>
        <w:t xml:space="preserve"> </w:t>
      </w:r>
      <w:r w:rsidRPr="3D8E58AD">
        <w:rPr>
          <w:lang w:eastAsia="en-US"/>
        </w:rPr>
        <w:t>to examine the take up of spectrum license</w:t>
      </w:r>
      <w:r w:rsidR="00921D3C" w:rsidRPr="3D8E58AD">
        <w:rPr>
          <w:lang w:eastAsia="en-US"/>
        </w:rPr>
        <w:t xml:space="preserve"> trading</w:t>
      </w:r>
      <w:r w:rsidRPr="3D8E58AD">
        <w:rPr>
          <w:lang w:eastAsia="en-US"/>
        </w:rPr>
        <w:t xml:space="preserve">. </w:t>
      </w:r>
    </w:p>
    <w:p w14:paraId="73E33671" w14:textId="2C2090DB" w:rsidR="00D1529D" w:rsidRPr="003D0B6B" w:rsidRDefault="00D1529D" w:rsidP="003D0B6B">
      <w:pPr>
        <w:pStyle w:val="ListParagraph"/>
        <w:numPr>
          <w:ilvl w:val="0"/>
          <w:numId w:val="5"/>
        </w:numPr>
        <w:suppressAutoHyphens w:val="0"/>
        <w:autoSpaceDN/>
        <w:spacing w:after="160" w:line="259" w:lineRule="auto"/>
        <w:rPr>
          <w:rFonts w:asciiTheme="minorHAnsi" w:eastAsiaTheme="minorHAnsi" w:hAnsiTheme="minorHAnsi" w:cstheme="minorBidi"/>
          <w:b/>
          <w:bCs/>
          <w:kern w:val="2"/>
          <w:lang w:eastAsia="en-US"/>
          <w14:ligatures w14:val="standardContextual"/>
        </w:rPr>
      </w:pPr>
      <w:r w:rsidRPr="003D0B6B">
        <w:rPr>
          <w:rFonts w:asciiTheme="minorHAnsi" w:eastAsiaTheme="minorHAnsi" w:hAnsiTheme="minorHAnsi" w:cstheme="minorBidi"/>
          <w:b/>
          <w:bCs/>
          <w:kern w:val="2"/>
          <w:lang w:eastAsia="en-US"/>
          <w14:ligatures w14:val="standardContextual"/>
        </w:rPr>
        <w:t>What are your views on the proposed approaches to valuing the spectrum and payment arrangements?</w:t>
      </w:r>
    </w:p>
    <w:p w14:paraId="414F3A20" w14:textId="3C798DDA" w:rsidR="002C4ABB" w:rsidRDefault="002C4ABB" w:rsidP="3D8E58AD">
      <w:pPr>
        <w:rPr>
          <w:lang w:eastAsia="en-US"/>
        </w:rPr>
      </w:pPr>
      <w:r w:rsidRPr="3D8E58AD">
        <w:rPr>
          <w:lang w:eastAsia="en-US"/>
        </w:rPr>
        <w:t xml:space="preserve">ACCAN considers that the </w:t>
      </w:r>
      <w:r w:rsidR="00DC7F56" w:rsidRPr="3D8E58AD">
        <w:rPr>
          <w:lang w:eastAsia="en-US"/>
        </w:rPr>
        <w:t xml:space="preserve">sophistication and complexity of pricing approaches </w:t>
      </w:r>
      <w:r w:rsidR="7D19E287" w:rsidRPr="3D8E58AD">
        <w:rPr>
          <w:lang w:eastAsia="en-US"/>
        </w:rPr>
        <w:t xml:space="preserve">should </w:t>
      </w:r>
      <w:r w:rsidR="00DC7F56" w:rsidRPr="3D8E58AD">
        <w:rPr>
          <w:lang w:eastAsia="en-US"/>
        </w:rPr>
        <w:t xml:space="preserve">be proportionate to the potential value or costs associated with inaccurate spectrum pricing. </w:t>
      </w:r>
      <w:r w:rsidR="1CC63C09" w:rsidRPr="3D8E58AD">
        <w:rPr>
          <w:lang w:eastAsia="en-US"/>
        </w:rPr>
        <w:t xml:space="preserve"> Accordingly, pricing methods should be proportionately sophisticated to the risks associated with pricing errors.</w:t>
      </w:r>
      <w:r w:rsidR="5CDE4800" w:rsidRPr="3D8E58AD">
        <w:rPr>
          <w:lang w:eastAsia="en-US"/>
        </w:rPr>
        <w:t xml:space="preserve"> </w:t>
      </w:r>
      <w:r w:rsidR="435CDC46" w:rsidRPr="3D8E58AD">
        <w:rPr>
          <w:lang w:eastAsia="en-US"/>
        </w:rPr>
        <w:t>In practice this framework would align with the ACMA’s existing approach, with auct</w:t>
      </w:r>
      <w:r w:rsidR="375EED3E" w:rsidRPr="3D8E58AD">
        <w:rPr>
          <w:lang w:eastAsia="en-US"/>
        </w:rPr>
        <w:t xml:space="preserve">ions used for high-value spectrum (as established from historic pricing), and administrative methods </w:t>
      </w:r>
      <w:r w:rsidR="088CF89E" w:rsidRPr="3D8E58AD">
        <w:rPr>
          <w:lang w:eastAsia="en-US"/>
        </w:rPr>
        <w:t>being applied for localised, use specific apparatus licenses.</w:t>
      </w:r>
    </w:p>
    <w:p w14:paraId="05437A27" w14:textId="48DB30AD" w:rsidR="002C4ABB" w:rsidRDefault="00DC7F56" w:rsidP="003C2FBF">
      <w:pPr>
        <w:rPr>
          <w:lang w:eastAsia="en-US"/>
        </w:rPr>
      </w:pPr>
      <w:r w:rsidRPr="3D8E58AD">
        <w:rPr>
          <w:lang w:eastAsia="en-US"/>
        </w:rPr>
        <w:t xml:space="preserve">Noting </w:t>
      </w:r>
      <w:r w:rsidR="002B5B33" w:rsidRPr="3D8E58AD">
        <w:rPr>
          <w:lang w:eastAsia="en-US"/>
        </w:rPr>
        <w:t>the pace</w:t>
      </w:r>
      <w:r w:rsidRPr="3D8E58AD">
        <w:rPr>
          <w:lang w:eastAsia="en-US"/>
        </w:rPr>
        <w:t xml:space="preserve"> of innovation in spectrum and connectivity delivery</w:t>
      </w:r>
      <w:r w:rsidR="009C6720" w:rsidRPr="3D8E58AD">
        <w:rPr>
          <w:lang w:eastAsia="en-US"/>
        </w:rPr>
        <w:t>, misallocations in spectrum licenses could lead to market inefficiencies which</w:t>
      </w:r>
      <w:r w:rsidR="007C1605" w:rsidRPr="3D8E58AD">
        <w:rPr>
          <w:lang w:eastAsia="en-US"/>
        </w:rPr>
        <w:t xml:space="preserve"> may persist</w:t>
      </w:r>
      <w:r w:rsidR="009C6720" w:rsidRPr="3D8E58AD">
        <w:rPr>
          <w:lang w:eastAsia="en-US"/>
        </w:rPr>
        <w:t xml:space="preserve"> for decades</w:t>
      </w:r>
      <w:r w:rsidR="00580161" w:rsidRPr="3D8E58AD">
        <w:rPr>
          <w:lang w:eastAsia="en-US"/>
        </w:rPr>
        <w:t xml:space="preserve">. </w:t>
      </w:r>
    </w:p>
    <w:p w14:paraId="6A582384" w14:textId="446E5081" w:rsidR="00D1529D" w:rsidRDefault="00D1529D" w:rsidP="003D0B6B">
      <w:pPr>
        <w:pStyle w:val="ListParagraph"/>
        <w:numPr>
          <w:ilvl w:val="0"/>
          <w:numId w:val="5"/>
        </w:numPr>
        <w:suppressAutoHyphens w:val="0"/>
        <w:autoSpaceDN/>
        <w:spacing w:after="160" w:line="259" w:lineRule="auto"/>
        <w:rPr>
          <w:rFonts w:asciiTheme="minorHAnsi" w:eastAsiaTheme="minorHAnsi" w:hAnsiTheme="minorHAnsi" w:cstheme="minorBidi"/>
          <w:b/>
          <w:bCs/>
          <w:kern w:val="2"/>
          <w:lang w:eastAsia="en-US"/>
          <w14:ligatures w14:val="standardContextual"/>
        </w:rPr>
      </w:pPr>
      <w:r w:rsidRPr="003D0B6B">
        <w:rPr>
          <w:rFonts w:asciiTheme="minorHAnsi" w:eastAsiaTheme="minorHAnsi" w:hAnsiTheme="minorHAnsi" w:cstheme="minorBidi"/>
          <w:b/>
          <w:bCs/>
          <w:kern w:val="2"/>
          <w:lang w:eastAsia="en-US"/>
          <w14:ligatures w14:val="standardContextual"/>
        </w:rPr>
        <w:t>What are your views on the proposed approach to examining use under existing spectrum licences?</w:t>
      </w:r>
    </w:p>
    <w:p w14:paraId="1D11F68E" w14:textId="456B7A2A" w:rsidR="009D60DE" w:rsidRDefault="009A005F" w:rsidP="003C2FBF">
      <w:pPr>
        <w:rPr>
          <w:lang w:eastAsia="en-US"/>
        </w:rPr>
      </w:pPr>
      <w:r w:rsidRPr="003B2351">
        <w:rPr>
          <w:lang w:eastAsia="en-US"/>
        </w:rPr>
        <w:t xml:space="preserve">ACCAN supports the ACMA’s approach to examining use under existing spectrum licences. </w:t>
      </w:r>
      <w:r w:rsidR="00A17767">
        <w:rPr>
          <w:lang w:eastAsia="en-US"/>
        </w:rPr>
        <w:t>Examining</w:t>
      </w:r>
      <w:r w:rsidR="001057A8">
        <w:rPr>
          <w:lang w:eastAsia="en-US"/>
        </w:rPr>
        <w:t xml:space="preserve"> the use of spectrum </w:t>
      </w:r>
      <w:r w:rsidR="009D60DE">
        <w:rPr>
          <w:lang w:eastAsia="en-US"/>
        </w:rPr>
        <w:t xml:space="preserve">as part of existing and future </w:t>
      </w:r>
      <w:r w:rsidR="00A17767">
        <w:rPr>
          <w:lang w:eastAsia="en-US"/>
        </w:rPr>
        <w:t xml:space="preserve">spectrum licences </w:t>
      </w:r>
      <w:r w:rsidR="001057A8">
        <w:rPr>
          <w:lang w:eastAsia="en-US"/>
        </w:rPr>
        <w:t>will provide the ACMA with</w:t>
      </w:r>
      <w:r w:rsidR="00A17767">
        <w:rPr>
          <w:lang w:eastAsia="en-US"/>
        </w:rPr>
        <w:t xml:space="preserve"> considerable </w:t>
      </w:r>
      <w:r w:rsidR="001057A8">
        <w:rPr>
          <w:lang w:eastAsia="en-US"/>
        </w:rPr>
        <w:t>utility</w:t>
      </w:r>
      <w:r w:rsidR="00CF26C2">
        <w:rPr>
          <w:lang w:eastAsia="en-US"/>
        </w:rPr>
        <w:t>.</w:t>
      </w:r>
      <w:r w:rsidR="00183D5B">
        <w:rPr>
          <w:lang w:eastAsia="en-US"/>
        </w:rPr>
        <w:t xml:space="preserve"> </w:t>
      </w:r>
      <w:r w:rsidR="009D60DE" w:rsidRPr="00213EAE">
        <w:rPr>
          <w:lang w:eastAsia="en-US"/>
        </w:rPr>
        <w:t>ACCAN supports measures which ensure that existing spectrum license holders provide</w:t>
      </w:r>
      <w:r w:rsidR="00B330A6">
        <w:rPr>
          <w:lang w:eastAsia="en-US"/>
        </w:rPr>
        <w:t xml:space="preserve"> extensive</w:t>
      </w:r>
      <w:r w:rsidR="009D60DE" w:rsidRPr="00213EAE">
        <w:rPr>
          <w:lang w:eastAsia="en-US"/>
        </w:rPr>
        <w:t xml:space="preserve"> information </w:t>
      </w:r>
      <w:r w:rsidR="00B63FB6">
        <w:rPr>
          <w:lang w:eastAsia="en-US"/>
        </w:rPr>
        <w:t>regarding</w:t>
      </w:r>
      <w:r w:rsidR="009D60DE" w:rsidRPr="00213EAE">
        <w:rPr>
          <w:lang w:eastAsia="en-US"/>
        </w:rPr>
        <w:t xml:space="preserve"> the use of their allocated spectrum. </w:t>
      </w:r>
    </w:p>
    <w:p w14:paraId="2820D9CF" w14:textId="56C4FEA5" w:rsidR="00C94695" w:rsidRDefault="00C94695" w:rsidP="00C94695">
      <w:pPr>
        <w:rPr>
          <w:lang w:eastAsia="en-US"/>
        </w:rPr>
      </w:pPr>
      <w:r>
        <w:rPr>
          <w:lang w:eastAsia="en-US"/>
        </w:rPr>
        <w:t xml:space="preserve">ACCAN considers that the ACMA gathering detailed information on spectrum use is critical to informing its understanding of the constraints of the existing spectrum network. Additionally, the ACMA should: </w:t>
      </w:r>
    </w:p>
    <w:p w14:paraId="0F509D30" w14:textId="473A7599" w:rsidR="00C94695" w:rsidRDefault="000A1A23" w:rsidP="00C94695">
      <w:pPr>
        <w:pStyle w:val="ListParagraph"/>
        <w:numPr>
          <w:ilvl w:val="0"/>
          <w:numId w:val="10"/>
        </w:numPr>
        <w:rPr>
          <w:lang w:eastAsia="en-US"/>
        </w:rPr>
      </w:pPr>
      <w:r>
        <w:rPr>
          <w:lang w:eastAsia="en-US"/>
        </w:rPr>
        <w:t>Consider</w:t>
      </w:r>
      <w:r w:rsidR="00C94695">
        <w:rPr>
          <w:lang w:eastAsia="en-US"/>
        </w:rPr>
        <w:t xml:space="preserve"> gathering a record of historical and future spectrum investment by existing and future spectrum license holders. </w:t>
      </w:r>
    </w:p>
    <w:p w14:paraId="22AAFCC0" w14:textId="4E154769" w:rsidR="00C94695" w:rsidRDefault="00C94695" w:rsidP="00C94695">
      <w:pPr>
        <w:pStyle w:val="ListParagraph"/>
        <w:numPr>
          <w:ilvl w:val="0"/>
          <w:numId w:val="10"/>
        </w:numPr>
        <w:rPr>
          <w:lang w:eastAsia="en-US"/>
        </w:rPr>
      </w:pPr>
      <w:r>
        <w:rPr>
          <w:lang w:eastAsia="en-US"/>
        </w:rPr>
        <w:t>R</w:t>
      </w:r>
      <w:r w:rsidRPr="00C94695">
        <w:rPr>
          <w:lang w:eastAsia="en-US"/>
        </w:rPr>
        <w:t>equest additional service coverage information from spectrum licensees</w:t>
      </w:r>
      <w:r w:rsidR="00407774">
        <w:rPr>
          <w:lang w:eastAsia="en-US"/>
        </w:rPr>
        <w:t xml:space="preserve">. </w:t>
      </w:r>
    </w:p>
    <w:p w14:paraId="77A0EFAD" w14:textId="762EADC9" w:rsidR="00C94695" w:rsidRPr="003B2351" w:rsidRDefault="00B63FB6" w:rsidP="003C2FBF">
      <w:pPr>
        <w:pStyle w:val="ListParagraph"/>
        <w:numPr>
          <w:ilvl w:val="0"/>
          <w:numId w:val="10"/>
        </w:numPr>
        <w:rPr>
          <w:lang w:eastAsia="en-US"/>
        </w:rPr>
      </w:pPr>
      <w:r>
        <w:rPr>
          <w:lang w:eastAsia="en-US"/>
        </w:rPr>
        <w:t xml:space="preserve">Request </w:t>
      </w:r>
      <w:r w:rsidR="00C94695" w:rsidRPr="00C94695">
        <w:rPr>
          <w:lang w:eastAsia="en-US"/>
        </w:rPr>
        <w:t>comprehensive information on the licensees’</w:t>
      </w:r>
      <w:r w:rsidR="00BC708F">
        <w:rPr>
          <w:lang w:eastAsia="en-US"/>
        </w:rPr>
        <w:t xml:space="preserve"> future spectrum use. </w:t>
      </w:r>
      <w:r w:rsidR="00C94695" w:rsidRPr="00C94695">
        <w:rPr>
          <w:lang w:eastAsia="en-US"/>
        </w:rPr>
        <w:t xml:space="preserve"> </w:t>
      </w:r>
    </w:p>
    <w:p w14:paraId="6D02B873" w14:textId="1009C5BB" w:rsidR="008B0495" w:rsidRDefault="00453F28" w:rsidP="3D8E58AD">
      <w:pPr>
        <w:rPr>
          <w:lang w:eastAsia="en-US"/>
        </w:rPr>
      </w:pPr>
      <w:r w:rsidRPr="3D8E58AD">
        <w:rPr>
          <w:lang w:eastAsia="en-US"/>
        </w:rPr>
        <w:t xml:space="preserve">These improvements </w:t>
      </w:r>
      <w:r w:rsidR="00C102D5">
        <w:rPr>
          <w:lang w:eastAsia="en-US"/>
        </w:rPr>
        <w:t>will bolster</w:t>
      </w:r>
      <w:r w:rsidRPr="3D8E58AD">
        <w:rPr>
          <w:lang w:eastAsia="en-US"/>
        </w:rPr>
        <w:t xml:space="preserve"> the ACMA’s knowledge o</w:t>
      </w:r>
      <w:r w:rsidR="00D46AF5">
        <w:rPr>
          <w:lang w:eastAsia="en-US"/>
        </w:rPr>
        <w:t xml:space="preserve">f </w:t>
      </w:r>
      <w:r w:rsidRPr="3D8E58AD">
        <w:rPr>
          <w:lang w:eastAsia="en-US"/>
        </w:rPr>
        <w:t xml:space="preserve">the spectrum trading market. </w:t>
      </w:r>
      <w:r w:rsidR="00C102D5">
        <w:rPr>
          <w:lang w:eastAsia="en-US"/>
        </w:rPr>
        <w:t>T</w:t>
      </w:r>
      <w:r w:rsidRPr="3D8E58AD">
        <w:rPr>
          <w:lang w:eastAsia="en-US"/>
        </w:rPr>
        <w:t xml:space="preserve">he ACMA should </w:t>
      </w:r>
      <w:r w:rsidR="00C102D5">
        <w:rPr>
          <w:lang w:eastAsia="en-US"/>
        </w:rPr>
        <w:t>consider</w:t>
      </w:r>
      <w:r w:rsidRPr="3D8E58AD">
        <w:rPr>
          <w:lang w:eastAsia="en-US"/>
        </w:rPr>
        <w:t xml:space="preserve"> the role of Low Earth Orbit Satellites (</w:t>
      </w:r>
      <w:r w:rsidRPr="3D8E58AD">
        <w:rPr>
          <w:b/>
          <w:bCs/>
          <w:lang w:eastAsia="en-US"/>
        </w:rPr>
        <w:t>LEOSat</w:t>
      </w:r>
      <w:r w:rsidRPr="3D8E58AD">
        <w:rPr>
          <w:lang w:eastAsia="en-US"/>
        </w:rPr>
        <w:t xml:space="preserve">) </w:t>
      </w:r>
      <w:r w:rsidR="19BE2DAF" w:rsidRPr="3D8E58AD">
        <w:rPr>
          <w:lang w:eastAsia="en-US"/>
        </w:rPr>
        <w:t xml:space="preserve">and the potential for emerging technologies to provide for the delivery of communications services. </w:t>
      </w:r>
    </w:p>
    <w:p w14:paraId="69578E3F" w14:textId="39F72CB4" w:rsidR="00533EDC" w:rsidRDefault="19BE2DAF" w:rsidP="003C2FBF">
      <w:pPr>
        <w:rPr>
          <w:lang w:eastAsia="en-US"/>
        </w:rPr>
      </w:pPr>
      <w:r w:rsidRPr="3D8E58AD">
        <w:rPr>
          <w:lang w:eastAsia="en-US"/>
        </w:rPr>
        <w:t xml:space="preserve">While ACCAN </w:t>
      </w:r>
      <w:r w:rsidR="009F5D7B">
        <w:rPr>
          <w:lang w:eastAsia="en-US"/>
        </w:rPr>
        <w:t>understands</w:t>
      </w:r>
      <w:r w:rsidRPr="3D8E58AD">
        <w:rPr>
          <w:lang w:eastAsia="en-US"/>
        </w:rPr>
        <w:t xml:space="preserve"> that a technology neutral approach to spectrum allocation is consistent with best practice, </w:t>
      </w:r>
      <w:r w:rsidR="0201C178" w:rsidRPr="3D8E58AD">
        <w:rPr>
          <w:lang w:eastAsia="en-US"/>
        </w:rPr>
        <w:t xml:space="preserve">the ACMA should </w:t>
      </w:r>
      <w:r w:rsidR="00C102D5">
        <w:rPr>
          <w:lang w:eastAsia="en-US"/>
        </w:rPr>
        <w:t>consider</w:t>
      </w:r>
      <w:r w:rsidR="0201C178" w:rsidRPr="3D8E58AD">
        <w:rPr>
          <w:lang w:eastAsia="en-US"/>
        </w:rPr>
        <w:t xml:space="preserve"> how the licensing framework can contribute to dynamic efficiency. </w:t>
      </w:r>
    </w:p>
    <w:p w14:paraId="421B486C" w14:textId="0DB98DC5" w:rsidR="00453F28" w:rsidRDefault="00DB1BF9" w:rsidP="003C2FBF">
      <w:pPr>
        <w:rPr>
          <w:lang w:eastAsia="en-US"/>
        </w:rPr>
      </w:pPr>
      <w:r w:rsidRPr="3D8E58AD">
        <w:rPr>
          <w:lang w:eastAsia="en-US"/>
        </w:rPr>
        <w:t xml:space="preserve">Future uptake of LEOSat technology may heavily disrupt </w:t>
      </w:r>
      <w:r w:rsidR="2F6951D8" w:rsidRPr="3D8E58AD">
        <w:rPr>
          <w:lang w:eastAsia="en-US"/>
        </w:rPr>
        <w:t xml:space="preserve">investment in terrestrial </w:t>
      </w:r>
      <w:r w:rsidR="00765B71" w:rsidRPr="3D8E58AD">
        <w:rPr>
          <w:lang w:eastAsia="en-US"/>
        </w:rPr>
        <w:t>infrastructure and</w:t>
      </w:r>
      <w:r w:rsidRPr="3D8E58AD">
        <w:rPr>
          <w:lang w:eastAsia="en-US"/>
        </w:rPr>
        <w:t xml:space="preserve"> ensuring that future spectrum allocations take this into account is </w:t>
      </w:r>
      <w:r w:rsidR="2178B134" w:rsidRPr="3D8E58AD">
        <w:rPr>
          <w:lang w:eastAsia="en-US"/>
        </w:rPr>
        <w:t>consistent with best practice</w:t>
      </w:r>
      <w:r w:rsidRPr="3D8E58AD">
        <w:rPr>
          <w:lang w:eastAsia="en-US"/>
        </w:rPr>
        <w:t>.</w:t>
      </w:r>
    </w:p>
    <w:p w14:paraId="123283FF" w14:textId="5A7ACCE8" w:rsidR="006A5898" w:rsidRDefault="00F82623" w:rsidP="003C2FBF">
      <w:r>
        <w:t xml:space="preserve">We thank the ACMA for the opportunity to comment on the </w:t>
      </w:r>
      <w:r w:rsidR="00E850D2">
        <w:t>Paper</w:t>
      </w:r>
      <w:r>
        <w:t>. Should you wish to discuss any of the issues raised in this submission further, please do not hesitate to contact me at:</w:t>
      </w:r>
      <w:r w:rsidR="00A7029C">
        <w:t xml:space="preserve"> </w:t>
      </w:r>
      <w:hyperlink r:id="rId16" w:history="1">
        <w:r w:rsidR="00A7029C" w:rsidRPr="00AB66B9">
          <w:rPr>
            <w:rStyle w:val="Hyperlink"/>
          </w:rPr>
          <w:t>con.gouskos@accan.org.au</w:t>
        </w:r>
      </w:hyperlink>
      <w:r w:rsidR="00A7029C">
        <w:t xml:space="preserve">. </w:t>
      </w:r>
    </w:p>
    <w:p w14:paraId="1232840B" w14:textId="55A18327" w:rsidR="006A5898" w:rsidRDefault="00F82623">
      <w:r>
        <w:t xml:space="preserve">Yours sincerely, </w:t>
      </w:r>
    </w:p>
    <w:p w14:paraId="33FEDF61" w14:textId="54000BED" w:rsidR="00765B71" w:rsidRDefault="00765B71">
      <w:r>
        <w:t>Con Gouskos</w:t>
      </w:r>
    </w:p>
    <w:p w14:paraId="6FC0670E" w14:textId="37EBECFC" w:rsidR="00765B71" w:rsidRDefault="00765B71">
      <w:r>
        <w:t>Policy Officer</w:t>
      </w:r>
    </w:p>
    <w:p w14:paraId="1232840C" w14:textId="77777777" w:rsidR="006A5898" w:rsidRDefault="00F82623">
      <w:pPr>
        <w:pStyle w:val="FundingAcknowledgement"/>
      </w:pPr>
      <w:r>
        <w:lastRenderedPageBreak/>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r>
        <w:br/>
      </w:r>
      <w:r>
        <w:br/>
        <w:t xml:space="preserve">ACCAN is committed to reconciliation that acknowledges Australia’s past and values the unique culture and heritage of Aboriginal and Torres Strait Islander peoples.  </w:t>
      </w:r>
      <w:hyperlink r:id="rId17" w:history="1">
        <w:r>
          <w:rPr>
            <w:rStyle w:val="Hyperlink"/>
          </w:rPr>
          <w:t>Read our RAP</w:t>
        </w:r>
      </w:hyperlink>
    </w:p>
    <w:sectPr w:rsidR="006A5898">
      <w:headerReference w:type="default" r:id="rId18"/>
      <w:footerReference w:type="default" r:id="rId19"/>
      <w:footerReference w:type="first" r:id="rId20"/>
      <w:pgSz w:w="11906" w:h="16838"/>
      <w:pgMar w:top="1418" w:right="1440" w:bottom="709" w:left="1440" w:header="45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96C5" w14:textId="77777777" w:rsidR="005E4579" w:rsidRDefault="005E4579">
      <w:pPr>
        <w:spacing w:after="0" w:line="240" w:lineRule="auto"/>
      </w:pPr>
      <w:r>
        <w:separator/>
      </w:r>
    </w:p>
  </w:endnote>
  <w:endnote w:type="continuationSeparator" w:id="0">
    <w:p w14:paraId="35800136" w14:textId="77777777" w:rsidR="005E4579" w:rsidRDefault="005E4579">
      <w:pPr>
        <w:spacing w:after="0" w:line="240" w:lineRule="auto"/>
      </w:pPr>
      <w:r>
        <w:continuationSeparator/>
      </w:r>
    </w:p>
  </w:endnote>
  <w:endnote w:type="continuationNotice" w:id="1">
    <w:p w14:paraId="4BCC920F" w14:textId="77777777" w:rsidR="005E4579" w:rsidRDefault="005E4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w:altName w:val="Calibri"/>
    <w:panose1 w:val="02000604040000020004"/>
    <w:charset w:val="00"/>
    <w:family w:val="auto"/>
    <w:pitch w:val="variable"/>
    <w:sig w:usb0="800000A7"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Gotham Black">
    <w:altName w:val="Calibri"/>
    <w:panose1 w:val="020006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83FE" w14:textId="77777777" w:rsidR="0073609F" w:rsidRDefault="00F82623">
    <w:pPr>
      <w:jc w:val="right"/>
    </w:pPr>
    <w:r>
      <w:rPr>
        <w:rStyle w:val="Letterhead1Char"/>
      </w:rPr>
      <w:fldChar w:fldCharType="begin"/>
    </w:r>
    <w:r>
      <w:rPr>
        <w:rStyle w:val="Letterhead1Char"/>
      </w:rPr>
      <w:instrText xml:space="preserve"> PAGE </w:instrText>
    </w:r>
    <w:r>
      <w:rPr>
        <w:rStyle w:val="Letterhead1Char"/>
      </w:rPr>
      <w:fldChar w:fldCharType="separate"/>
    </w:r>
    <w:r>
      <w:rPr>
        <w:rStyle w:val="Letterhead1Char"/>
      </w:rPr>
      <w:t>1</w:t>
    </w:r>
    <w:r>
      <w:rPr>
        <w:rStyle w:val="Letterhead1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7CC" w14:textId="7ED079E4" w:rsidR="00362377" w:rsidRDefault="00362377">
    <w:pPr>
      <w:pStyle w:val="Footer"/>
      <w:jc w:val="right"/>
    </w:pPr>
    <w:r>
      <w:fldChar w:fldCharType="begin"/>
    </w:r>
    <w:r>
      <w:instrText xml:space="preserve"> PAGE   \* MERGEFORMAT </w:instrText>
    </w:r>
    <w:r>
      <w:fldChar w:fldCharType="separate"/>
    </w:r>
    <w:r>
      <w:rPr>
        <w:noProof/>
      </w:rPr>
      <w:t>2</w:t>
    </w:r>
    <w:r>
      <w:rPr>
        <w:noProof/>
      </w:rPr>
      <w:fldChar w:fldCharType="end"/>
    </w:r>
  </w:p>
  <w:p w14:paraId="12328400" w14:textId="4A851B31" w:rsidR="0073609F" w:rsidRDefault="0073609F" w:rsidP="7E9282ED">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03B0" w14:textId="77777777" w:rsidR="005E4579" w:rsidRDefault="005E4579">
      <w:pPr>
        <w:spacing w:after="0" w:line="240" w:lineRule="auto"/>
      </w:pPr>
      <w:r>
        <w:rPr>
          <w:color w:val="000000"/>
        </w:rPr>
        <w:separator/>
      </w:r>
    </w:p>
  </w:footnote>
  <w:footnote w:type="continuationSeparator" w:id="0">
    <w:p w14:paraId="1A913F00" w14:textId="77777777" w:rsidR="005E4579" w:rsidRDefault="005E4579">
      <w:pPr>
        <w:spacing w:after="0" w:line="240" w:lineRule="auto"/>
      </w:pPr>
      <w:r>
        <w:continuationSeparator/>
      </w:r>
    </w:p>
  </w:footnote>
  <w:footnote w:type="continuationNotice" w:id="1">
    <w:p w14:paraId="6C3A1CB4" w14:textId="77777777" w:rsidR="005E4579" w:rsidRDefault="005E4579">
      <w:pPr>
        <w:spacing w:after="0" w:line="240" w:lineRule="auto"/>
      </w:pPr>
    </w:p>
  </w:footnote>
  <w:footnote w:id="2">
    <w:p w14:paraId="0AD1EDD7" w14:textId="7ABBB1DF" w:rsidR="3D8E58AD" w:rsidRDefault="3D8E58AD" w:rsidP="3D8E58AD">
      <w:pPr>
        <w:pStyle w:val="FootnoteText"/>
        <w:rPr>
          <w:sz w:val="16"/>
          <w:szCs w:val="16"/>
        </w:rPr>
      </w:pPr>
      <w:r w:rsidRPr="3D8E58AD">
        <w:rPr>
          <w:rStyle w:val="FootnoteReference"/>
          <w:sz w:val="16"/>
          <w:szCs w:val="16"/>
        </w:rPr>
        <w:footnoteRef/>
      </w:r>
      <w:r w:rsidRPr="3D8E58AD">
        <w:rPr>
          <w:sz w:val="16"/>
          <w:szCs w:val="16"/>
        </w:rPr>
        <w:t xml:space="preserve"> ACMA. 2023. Approach to expiring spectrum licences </w:t>
      </w:r>
      <w:r w:rsidR="001D1091">
        <w:rPr>
          <w:sz w:val="16"/>
          <w:szCs w:val="16"/>
        </w:rPr>
        <w:t>c</w:t>
      </w:r>
      <w:r w:rsidRPr="3D8E58AD">
        <w:rPr>
          <w:sz w:val="16"/>
          <w:szCs w:val="16"/>
        </w:rPr>
        <w:t xml:space="preserve">onsultation paper. p.2. Available at: </w:t>
      </w:r>
      <w:hyperlink r:id="rId1">
        <w:r w:rsidRPr="3D8E58AD">
          <w:rPr>
            <w:rStyle w:val="Hyperlink"/>
            <w:sz w:val="16"/>
            <w:szCs w:val="16"/>
          </w:rPr>
          <w:t>https://www.acma.gov.au/consultations/2023-05/proposed-approach-expiring-spectrum-licences</w:t>
        </w:r>
      </w:hyperlink>
      <w:r w:rsidRPr="3D8E58AD">
        <w:rPr>
          <w:sz w:val="16"/>
          <w:szCs w:val="16"/>
        </w:rPr>
        <w:t xml:space="preserve">.  </w:t>
      </w:r>
    </w:p>
  </w:footnote>
  <w:footnote w:id="3">
    <w:p w14:paraId="5E42ECA9" w14:textId="3CC10356" w:rsidR="00F718A5" w:rsidRPr="00DF5526" w:rsidRDefault="00F718A5">
      <w:pPr>
        <w:pStyle w:val="FootnoteText"/>
        <w:rPr>
          <w:sz w:val="16"/>
          <w:szCs w:val="16"/>
        </w:rPr>
      </w:pPr>
      <w:r w:rsidRPr="00DF5526">
        <w:rPr>
          <w:rStyle w:val="FootnoteReference"/>
          <w:sz w:val="16"/>
          <w:szCs w:val="16"/>
        </w:rPr>
        <w:footnoteRef/>
      </w:r>
      <w:r w:rsidRPr="00DF5526">
        <w:rPr>
          <w:sz w:val="16"/>
          <w:szCs w:val="16"/>
        </w:rPr>
        <w:t xml:space="preserve"> Ibid. </w:t>
      </w:r>
    </w:p>
  </w:footnote>
  <w:footnote w:id="4">
    <w:p w14:paraId="343746F1" w14:textId="131D3E73" w:rsidR="00F718A5" w:rsidRPr="00DF5526" w:rsidRDefault="00F718A5">
      <w:pPr>
        <w:pStyle w:val="FootnoteText"/>
        <w:rPr>
          <w:sz w:val="16"/>
          <w:szCs w:val="16"/>
        </w:rPr>
      </w:pPr>
      <w:r w:rsidRPr="00DF5526">
        <w:rPr>
          <w:rStyle w:val="FootnoteReference"/>
          <w:sz w:val="16"/>
          <w:szCs w:val="16"/>
        </w:rPr>
        <w:footnoteRef/>
      </w:r>
      <w:r w:rsidRPr="00DF5526">
        <w:rPr>
          <w:sz w:val="16"/>
          <w:szCs w:val="16"/>
        </w:rPr>
        <w:t xml:space="preserve"> Ibid p</w:t>
      </w:r>
      <w:r w:rsidR="00EF5C98">
        <w:rPr>
          <w:sz w:val="16"/>
          <w:szCs w:val="16"/>
        </w:rPr>
        <w:t>.</w:t>
      </w:r>
      <w:r w:rsidRPr="00DF5526">
        <w:rPr>
          <w:sz w:val="16"/>
          <w:szCs w:val="16"/>
        </w:rPr>
        <w:t xml:space="preserve">23. </w:t>
      </w:r>
    </w:p>
  </w:footnote>
  <w:footnote w:id="5">
    <w:p w14:paraId="6DBA41C4" w14:textId="6C9B7AD4" w:rsidR="00F3040D" w:rsidRPr="00DF5526" w:rsidRDefault="00F3040D">
      <w:pPr>
        <w:pStyle w:val="FootnoteText"/>
        <w:rPr>
          <w:sz w:val="16"/>
          <w:szCs w:val="16"/>
        </w:rPr>
      </w:pPr>
      <w:r w:rsidRPr="00DF5526">
        <w:rPr>
          <w:rStyle w:val="FootnoteReference"/>
          <w:sz w:val="16"/>
          <w:szCs w:val="16"/>
        </w:rPr>
        <w:footnoteRef/>
      </w:r>
      <w:r w:rsidRPr="00DF5526">
        <w:rPr>
          <w:sz w:val="16"/>
          <w:szCs w:val="16"/>
        </w:rPr>
        <w:t xml:space="preserve"> Ibid p</w:t>
      </w:r>
      <w:r w:rsidR="00EF5C98">
        <w:rPr>
          <w:sz w:val="16"/>
          <w:szCs w:val="16"/>
        </w:rPr>
        <w:t>.</w:t>
      </w:r>
      <w:r w:rsidRPr="00DF5526">
        <w:rPr>
          <w:sz w:val="16"/>
          <w:szCs w:val="16"/>
        </w:rPr>
        <w:t xml:space="preserve">24. </w:t>
      </w:r>
    </w:p>
  </w:footnote>
  <w:footnote w:id="6">
    <w:p w14:paraId="4ED54087" w14:textId="76EE9280" w:rsidR="00A702FA" w:rsidRDefault="00A702FA">
      <w:pPr>
        <w:pStyle w:val="FootnoteText"/>
      </w:pPr>
      <w:r w:rsidRPr="00DF5526">
        <w:rPr>
          <w:rStyle w:val="FootnoteReference"/>
          <w:sz w:val="16"/>
          <w:szCs w:val="16"/>
        </w:rPr>
        <w:footnoteRef/>
      </w:r>
      <w:r w:rsidRPr="00DF5526">
        <w:rPr>
          <w:sz w:val="16"/>
          <w:szCs w:val="16"/>
        </w:rPr>
        <w:t xml:space="preserve"> Ibid p</w:t>
      </w:r>
      <w:r w:rsidR="00EF5C98">
        <w:rPr>
          <w:sz w:val="16"/>
          <w:szCs w:val="16"/>
        </w:rPr>
        <w:t>.</w:t>
      </w:r>
      <w:r w:rsidRPr="00DF5526">
        <w:rPr>
          <w:sz w:val="16"/>
          <w:szCs w:val="16"/>
        </w:rPr>
        <w:t>28.</w:t>
      </w:r>
      <w:r>
        <w:t xml:space="preserve"> </w:t>
      </w:r>
    </w:p>
  </w:footnote>
  <w:footnote w:id="7">
    <w:p w14:paraId="265AEFDA" w14:textId="059405CE" w:rsidR="00F655F2" w:rsidRPr="003238F5" w:rsidRDefault="00F655F2">
      <w:pPr>
        <w:pStyle w:val="FootnoteText"/>
        <w:rPr>
          <w:sz w:val="16"/>
          <w:szCs w:val="16"/>
        </w:rPr>
      </w:pPr>
      <w:r w:rsidRPr="003C2FBF">
        <w:rPr>
          <w:rStyle w:val="FootnoteReference"/>
          <w:sz w:val="16"/>
          <w:szCs w:val="16"/>
        </w:rPr>
        <w:footnoteRef/>
      </w:r>
      <w:r w:rsidRPr="003C2FBF">
        <w:rPr>
          <w:sz w:val="16"/>
          <w:szCs w:val="16"/>
        </w:rPr>
        <w:t xml:space="preserve"> </w:t>
      </w:r>
      <w:r w:rsidR="00AD27AC" w:rsidRPr="003C2FBF">
        <w:rPr>
          <w:sz w:val="16"/>
          <w:szCs w:val="16"/>
        </w:rPr>
        <w:t>ACMA</w:t>
      </w:r>
      <w:r w:rsidR="00AD27AC" w:rsidRPr="00AD27AC">
        <w:rPr>
          <w:sz w:val="16"/>
          <w:szCs w:val="16"/>
        </w:rPr>
        <w:t xml:space="preserve">. 2023. Approach to expiring spectrum licences </w:t>
      </w:r>
      <w:r w:rsidR="001D1091">
        <w:rPr>
          <w:sz w:val="16"/>
          <w:szCs w:val="16"/>
        </w:rPr>
        <w:t>c</w:t>
      </w:r>
      <w:r w:rsidR="00AD27AC" w:rsidRPr="00AD27AC">
        <w:rPr>
          <w:sz w:val="16"/>
          <w:szCs w:val="16"/>
        </w:rPr>
        <w:t xml:space="preserve">onsultation paper. p.23. Available at: </w:t>
      </w:r>
      <w:hyperlink r:id="rId2" w:history="1">
        <w:r w:rsidR="00AD27AC" w:rsidRPr="003238F5">
          <w:rPr>
            <w:rStyle w:val="Hyperlink"/>
            <w:sz w:val="16"/>
            <w:szCs w:val="16"/>
          </w:rPr>
          <w:t>https://www.acma.gov.au/consultations/2023-05/proposed-approach-expiring-spectrum-licences</w:t>
        </w:r>
      </w:hyperlink>
      <w:r w:rsidR="00AD27AC" w:rsidRPr="003238F5">
        <w:rPr>
          <w:sz w:val="16"/>
          <w:szCs w:val="16"/>
        </w:rPr>
        <w:t xml:space="preserve">.    </w:t>
      </w:r>
    </w:p>
  </w:footnote>
  <w:footnote w:id="8">
    <w:p w14:paraId="0C79538E" w14:textId="5911FF5B" w:rsidR="003238F5" w:rsidRPr="003238F5" w:rsidRDefault="00AD27AC">
      <w:pPr>
        <w:pStyle w:val="FootnoteText"/>
        <w:rPr>
          <w:sz w:val="16"/>
          <w:szCs w:val="16"/>
        </w:rPr>
      </w:pPr>
      <w:r w:rsidRPr="003238F5">
        <w:rPr>
          <w:rStyle w:val="FootnoteReference"/>
          <w:sz w:val="16"/>
          <w:szCs w:val="16"/>
        </w:rPr>
        <w:footnoteRef/>
      </w:r>
      <w:r w:rsidRPr="003238F5">
        <w:rPr>
          <w:sz w:val="16"/>
          <w:szCs w:val="16"/>
        </w:rPr>
        <w:t xml:space="preserve"> </w:t>
      </w:r>
      <w:r w:rsidR="003238F5" w:rsidRPr="003238F5">
        <w:rPr>
          <w:sz w:val="16"/>
          <w:szCs w:val="16"/>
        </w:rPr>
        <w:t>Ibid</w:t>
      </w:r>
      <w:r w:rsidR="00DB35AF">
        <w:rPr>
          <w:sz w:val="16"/>
          <w:szCs w:val="16"/>
        </w:rPr>
        <w:t xml:space="preserve"> p.24.</w:t>
      </w:r>
      <w:r w:rsidR="003238F5" w:rsidRPr="003238F5">
        <w:rPr>
          <w:sz w:val="16"/>
          <w:szCs w:val="16"/>
        </w:rPr>
        <w:t xml:space="preserve"> </w:t>
      </w:r>
    </w:p>
  </w:footnote>
  <w:footnote w:id="9">
    <w:p w14:paraId="05128599" w14:textId="57BE7C6E" w:rsidR="003238F5" w:rsidRPr="00D43AA7" w:rsidRDefault="003238F5">
      <w:pPr>
        <w:pStyle w:val="FootnoteText"/>
        <w:rPr>
          <w:sz w:val="16"/>
          <w:szCs w:val="16"/>
        </w:rPr>
      </w:pPr>
      <w:r w:rsidRPr="00D43AA7">
        <w:rPr>
          <w:rStyle w:val="FootnoteReference"/>
          <w:sz w:val="16"/>
          <w:szCs w:val="16"/>
        </w:rPr>
        <w:footnoteRef/>
      </w:r>
      <w:r w:rsidRPr="00D43AA7">
        <w:rPr>
          <w:sz w:val="16"/>
          <w:szCs w:val="16"/>
        </w:rPr>
        <w:t xml:space="preserve"> Ibid p</w:t>
      </w:r>
      <w:r w:rsidR="00EF5C98">
        <w:rPr>
          <w:sz w:val="16"/>
          <w:szCs w:val="16"/>
        </w:rPr>
        <w:t>.</w:t>
      </w:r>
      <w:r w:rsidRPr="00D43AA7">
        <w:rPr>
          <w:sz w:val="16"/>
          <w:szCs w:val="16"/>
        </w:rPr>
        <w:t>28.</w:t>
      </w:r>
    </w:p>
  </w:footnote>
  <w:footnote w:id="10">
    <w:p w14:paraId="47BD73BE" w14:textId="4292B701" w:rsidR="00117E3C" w:rsidRDefault="00117E3C">
      <w:pPr>
        <w:pStyle w:val="FootnoteText"/>
      </w:pPr>
      <w:r w:rsidRPr="00117E3C">
        <w:rPr>
          <w:rStyle w:val="FootnoteReference"/>
          <w:sz w:val="16"/>
          <w:szCs w:val="16"/>
        </w:rPr>
        <w:footnoteRef/>
      </w:r>
      <w:r w:rsidRPr="00117E3C">
        <w:rPr>
          <w:sz w:val="16"/>
          <w:szCs w:val="16"/>
        </w:rPr>
        <w:t xml:space="preserve"> Ibid p.31.</w:t>
      </w:r>
    </w:p>
  </w:footnote>
  <w:footnote w:id="11">
    <w:p w14:paraId="4DA0873C" w14:textId="38A84943" w:rsidR="00943DE6" w:rsidRDefault="00943DE6">
      <w:pPr>
        <w:pStyle w:val="FootnoteText"/>
      </w:pPr>
      <w:r w:rsidRPr="00A14EBF">
        <w:rPr>
          <w:rStyle w:val="FootnoteReference"/>
          <w:sz w:val="16"/>
          <w:szCs w:val="16"/>
        </w:rPr>
        <w:footnoteRef/>
      </w:r>
      <w:r w:rsidRPr="00A14EBF">
        <w:rPr>
          <w:sz w:val="16"/>
          <w:szCs w:val="16"/>
        </w:rPr>
        <w:t xml:space="preserve"> Ibid </w:t>
      </w:r>
      <w:r w:rsidR="00A14EBF" w:rsidRPr="00A14EBF">
        <w:rPr>
          <w:sz w:val="16"/>
          <w:szCs w:val="16"/>
        </w:rPr>
        <w:t>p.1</w:t>
      </w:r>
      <w:r w:rsidR="001D1091">
        <w:rPr>
          <w:sz w:val="16"/>
          <w:szCs w:val="16"/>
        </w:rPr>
        <w:t>.</w:t>
      </w:r>
    </w:p>
  </w:footnote>
  <w:footnote w:id="12">
    <w:p w14:paraId="44DC765E" w14:textId="34DFFC48" w:rsidR="00AA0F65" w:rsidRPr="00D43AA7" w:rsidRDefault="00AA0F65">
      <w:pPr>
        <w:pStyle w:val="FootnoteText"/>
        <w:rPr>
          <w:sz w:val="16"/>
          <w:szCs w:val="16"/>
        </w:rPr>
      </w:pPr>
      <w:r w:rsidRPr="00D43AA7">
        <w:rPr>
          <w:rStyle w:val="FootnoteReference"/>
          <w:sz w:val="16"/>
          <w:szCs w:val="16"/>
        </w:rPr>
        <w:footnoteRef/>
      </w:r>
      <w:r w:rsidRPr="00D43AA7">
        <w:rPr>
          <w:sz w:val="16"/>
          <w:szCs w:val="16"/>
        </w:rPr>
        <w:t xml:space="preserve"> Ibid p</w:t>
      </w:r>
      <w:r w:rsidR="00EF5C98">
        <w:rPr>
          <w:sz w:val="16"/>
          <w:szCs w:val="16"/>
        </w:rPr>
        <w:t>.</w:t>
      </w:r>
      <w:r w:rsidRPr="00D43AA7">
        <w:rPr>
          <w:sz w:val="16"/>
          <w:szCs w:val="16"/>
        </w:rPr>
        <w:t xml:space="preserve">31. </w:t>
      </w:r>
    </w:p>
  </w:footnote>
  <w:footnote w:id="13">
    <w:p w14:paraId="193356B4" w14:textId="7FB28BFC" w:rsidR="008C0A48" w:rsidRPr="00D43AA7" w:rsidRDefault="008C0A48">
      <w:pPr>
        <w:pStyle w:val="FootnoteText"/>
        <w:rPr>
          <w:sz w:val="16"/>
          <w:szCs w:val="16"/>
        </w:rPr>
      </w:pPr>
      <w:r w:rsidRPr="00D43AA7">
        <w:rPr>
          <w:rStyle w:val="FootnoteReference"/>
          <w:sz w:val="16"/>
          <w:szCs w:val="16"/>
        </w:rPr>
        <w:footnoteRef/>
      </w:r>
      <w:r w:rsidRPr="00D43AA7">
        <w:rPr>
          <w:sz w:val="16"/>
          <w:szCs w:val="16"/>
        </w:rPr>
        <w:t xml:space="preserve"> Ibid p</w:t>
      </w:r>
      <w:r w:rsidR="00EF5C98">
        <w:rPr>
          <w:sz w:val="16"/>
          <w:szCs w:val="16"/>
        </w:rPr>
        <w:t>.</w:t>
      </w:r>
      <w:r w:rsidRPr="00D43AA7">
        <w:rPr>
          <w:sz w:val="16"/>
          <w:szCs w:val="16"/>
        </w:rPr>
        <w:t xml:space="preserve">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83FC" w14:textId="77777777" w:rsidR="0073609F" w:rsidRDefault="00F82623">
    <w:pPr>
      <w:pStyle w:val="Letterhead2"/>
    </w:pPr>
    <w:r>
      <w:rPr>
        <w:noProof/>
      </w:rPr>
      <w:drawing>
        <wp:anchor distT="0" distB="0" distL="114300" distR="114300" simplePos="0" relativeHeight="251658240" behindDoc="0" locked="0" layoutInCell="1" allowOverlap="1" wp14:anchorId="123283F4" wp14:editId="123283F5">
          <wp:simplePos x="0" y="0"/>
          <wp:positionH relativeFrom="column">
            <wp:posOffset>-4443</wp:posOffset>
          </wp:positionH>
          <wp:positionV relativeFrom="page">
            <wp:posOffset>224786</wp:posOffset>
          </wp:positionV>
          <wp:extent cx="777240" cy="335913"/>
          <wp:effectExtent l="0" t="0" r="3810" b="6987"/>
          <wp:wrapSquare wrapText="bothSides"/>
          <wp:docPr id="1747924228" name="Picture 1747924228" descr="ACCA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 cy="335913"/>
                  </a:xfrm>
                  <a:prstGeom prst="rect">
                    <a:avLst/>
                  </a:prstGeom>
                  <a:noFill/>
                  <a:ln>
                    <a:noFill/>
                    <a:prstDash/>
                  </a:ln>
                </pic:spPr>
              </pic:pic>
            </a:graphicData>
          </a:graphic>
        </wp:anchor>
      </w:drawing>
    </w:r>
    <w:r>
      <w:t xml:space="preserve">   Your consumer voice on phones and internet</w:t>
    </w:r>
    <w:r>
      <w:rPr>
        <w:noProof/>
      </w:rPr>
      <mc:AlternateContent>
        <mc:Choice Requires="wps">
          <w:drawing>
            <wp:anchor distT="0" distB="0" distL="114300" distR="114300" simplePos="0" relativeHeight="251658241" behindDoc="1" locked="0" layoutInCell="1" allowOverlap="1" wp14:anchorId="123283F6" wp14:editId="123283F7">
              <wp:simplePos x="0" y="0"/>
              <wp:positionH relativeFrom="column">
                <wp:posOffset>-574672</wp:posOffset>
              </wp:positionH>
              <wp:positionV relativeFrom="page">
                <wp:posOffset>694057</wp:posOffset>
              </wp:positionV>
              <wp:extent cx="6893561" cy="46991"/>
              <wp:effectExtent l="0" t="0" r="2539" b="0"/>
              <wp:wrapNone/>
              <wp:docPr id="719550284" name="Rectangle 719550284"/>
              <wp:cNvGraphicFramePr/>
              <a:graphic xmlns:a="http://schemas.openxmlformats.org/drawingml/2006/main">
                <a:graphicData uri="http://schemas.microsoft.com/office/word/2010/wordprocessingShape">
                  <wps:wsp>
                    <wps:cNvSpPr/>
                    <wps:spPr>
                      <a:xfrm>
                        <a:off x="0" y="0"/>
                        <a:ext cx="6893561" cy="46991"/>
                      </a:xfrm>
                      <a:prstGeom prst="rect">
                        <a:avLst/>
                      </a:prstGeom>
                      <a:solidFill>
                        <a:srgbClr val="43C7F4"/>
                      </a:solidFill>
                      <a:ln cap="flat">
                        <a:noFill/>
                        <a:prstDash val="solid"/>
                      </a:ln>
                    </wps:spPr>
                    <wps:bodyPr lIns="0" tIns="0" rIns="0" bIns="0"/>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0F8AF34C">
            <v:rect id="Rectangle 1" style="position:absolute;margin-left:-45.25pt;margin-top:54.65pt;width:542.8pt;height:3.7pt;z-index:-251656192;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43c7f4" stroked="f" w14:anchorId="488C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">
              <v:textbox inset="0,0,0,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7D7"/>
    <w:multiLevelType w:val="hybridMultilevel"/>
    <w:tmpl w:val="C918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56A31"/>
    <w:multiLevelType w:val="multilevel"/>
    <w:tmpl w:val="74B6FDE4"/>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770830"/>
    <w:multiLevelType w:val="multilevel"/>
    <w:tmpl w:val="A6FECAA0"/>
    <w:styleLink w:val="Recommendations"/>
    <w:lvl w:ilvl="0">
      <w:start w:val="1"/>
      <w:numFmt w:val="decimal"/>
      <w:pStyle w:val="Recommendation"/>
      <w:lvlText w:val="Recommendation %1:"/>
      <w:lvlJc w:val="left"/>
      <w:pPr>
        <w:ind w:left="851" w:firstLine="0"/>
      </w:pPr>
    </w:lvl>
    <w:lvl w:ilvl="1">
      <w:start w:val="1"/>
      <w:numFmt w:val="none"/>
      <w:lvlText w:val="%2"/>
      <w:lvlJc w:val="left"/>
      <w:pPr>
        <w:ind w:left="851" w:hanging="851"/>
      </w:pPr>
    </w:lvl>
    <w:lvl w:ilvl="2">
      <w:start w:val="1"/>
      <w:numFmt w:val="none"/>
      <w:lvlText w:val="%3"/>
      <w:lvlJc w:val="left"/>
      <w:pPr>
        <w:ind w:left="851" w:hanging="851"/>
      </w:pPr>
    </w:lvl>
    <w:lvl w:ilvl="3">
      <w:start w:val="1"/>
      <w:numFmt w:val="none"/>
      <w:lvlText w:val="%4"/>
      <w:lvlJc w:val="left"/>
      <w:pPr>
        <w:ind w:left="851" w:hanging="851"/>
      </w:pPr>
    </w:lvl>
    <w:lvl w:ilvl="4">
      <w:start w:val="1"/>
      <w:numFmt w:val="none"/>
      <w:lvlText w:val="%5"/>
      <w:lvlJc w:val="left"/>
      <w:pPr>
        <w:ind w:left="851" w:hanging="851"/>
      </w:pPr>
    </w:lvl>
    <w:lvl w:ilvl="5">
      <w:start w:val="1"/>
      <w:numFmt w:val="none"/>
      <w:lvlText w:val="%6"/>
      <w:lvlJc w:val="left"/>
      <w:pPr>
        <w:ind w:left="851" w:hanging="851"/>
      </w:pPr>
    </w:lvl>
    <w:lvl w:ilvl="6">
      <w:start w:val="1"/>
      <w:numFmt w:val="none"/>
      <w:lvlText w:val="%7"/>
      <w:lvlJc w:val="left"/>
      <w:pPr>
        <w:ind w:left="851" w:hanging="851"/>
      </w:pPr>
    </w:lvl>
    <w:lvl w:ilvl="7">
      <w:start w:val="1"/>
      <w:numFmt w:val="none"/>
      <w:lvlText w:val="%8"/>
      <w:lvlJc w:val="left"/>
      <w:pPr>
        <w:ind w:left="851" w:hanging="851"/>
      </w:pPr>
    </w:lvl>
    <w:lvl w:ilvl="8">
      <w:start w:val="1"/>
      <w:numFmt w:val="none"/>
      <w:lvlText w:val="%9"/>
      <w:lvlJc w:val="left"/>
      <w:pPr>
        <w:ind w:left="851" w:hanging="851"/>
      </w:pPr>
    </w:lvl>
  </w:abstractNum>
  <w:abstractNum w:abstractNumId="3" w15:restartNumberingAfterBreak="0">
    <w:nsid w:val="36FA5AD8"/>
    <w:multiLevelType w:val="multilevel"/>
    <w:tmpl w:val="ACE4209A"/>
    <w:styleLink w:val="Bullets"/>
    <w:lvl w:ilvl="0">
      <w:numFmt w:val="bullet"/>
      <w:pStyle w:val="Bulletlist3"/>
      <w:lvlText w:val=""/>
      <w:lvlJc w:val="left"/>
      <w:pPr>
        <w:ind w:left="851" w:hanging="284"/>
      </w:pPr>
      <w:rPr>
        <w:rFonts w:ascii="Symbol" w:hAnsi="Symbol"/>
      </w:rPr>
    </w:lvl>
    <w:lvl w:ilvl="1">
      <w:numFmt w:val="bullet"/>
      <w:lvlText w:val=""/>
      <w:lvlJc w:val="left"/>
      <w:pPr>
        <w:ind w:left="1277" w:hanging="284"/>
      </w:pPr>
      <w:rPr>
        <w:rFonts w:ascii="Symbol" w:hAnsi="Symbol"/>
      </w:rPr>
    </w:lvl>
    <w:lvl w:ilvl="2">
      <w:numFmt w:val="bullet"/>
      <w:lvlText w:val=""/>
      <w:lvlJc w:val="left"/>
      <w:pPr>
        <w:ind w:left="1985" w:hanging="284"/>
      </w:pPr>
      <w:rPr>
        <w:rFonts w:ascii="Symbol" w:hAnsi="Symbol"/>
        <w:color w:val="auto"/>
      </w:rPr>
    </w:lvl>
    <w:lvl w:ilvl="3">
      <w:numFmt w:val="bullet"/>
      <w:lvlText w:val=""/>
      <w:lvlJc w:val="left"/>
      <w:pPr>
        <w:ind w:left="2552" w:hanging="284"/>
      </w:pPr>
      <w:rPr>
        <w:rFonts w:ascii="Symbol" w:hAnsi="Symbol"/>
      </w:rPr>
    </w:lvl>
    <w:lvl w:ilvl="4">
      <w:numFmt w:val="bullet"/>
      <w:lvlText w:val=""/>
      <w:lvlJc w:val="left"/>
      <w:pPr>
        <w:ind w:left="3119" w:hanging="284"/>
      </w:pPr>
      <w:rPr>
        <w:rFonts w:ascii="Symbol" w:hAnsi="Symbol"/>
      </w:rPr>
    </w:lvl>
    <w:lvl w:ilvl="5">
      <w:numFmt w:val="bullet"/>
      <w:lvlText w:val=""/>
      <w:lvlJc w:val="left"/>
      <w:pPr>
        <w:ind w:left="3686" w:hanging="284"/>
      </w:pPr>
      <w:rPr>
        <w:rFonts w:ascii="Symbol" w:hAnsi="Symbol"/>
      </w:rPr>
    </w:lvl>
    <w:lvl w:ilvl="6">
      <w:numFmt w:val="bullet"/>
      <w:lvlText w:val=""/>
      <w:lvlJc w:val="left"/>
      <w:pPr>
        <w:ind w:left="4253" w:hanging="284"/>
      </w:pPr>
      <w:rPr>
        <w:rFonts w:ascii="Symbol" w:hAnsi="Symbol"/>
      </w:rPr>
    </w:lvl>
    <w:lvl w:ilvl="7">
      <w:numFmt w:val="bullet"/>
      <w:lvlText w:val=""/>
      <w:lvlJc w:val="left"/>
      <w:pPr>
        <w:ind w:left="4820" w:hanging="284"/>
      </w:pPr>
      <w:rPr>
        <w:rFonts w:ascii="Symbol" w:hAnsi="Symbol"/>
      </w:rPr>
    </w:lvl>
    <w:lvl w:ilvl="8">
      <w:numFmt w:val="bullet"/>
      <w:lvlText w:val=""/>
      <w:lvlJc w:val="left"/>
      <w:pPr>
        <w:ind w:left="5387" w:hanging="284"/>
      </w:pPr>
      <w:rPr>
        <w:rFonts w:ascii="Symbol" w:hAnsi="Symbol"/>
      </w:rPr>
    </w:lvl>
  </w:abstractNum>
  <w:abstractNum w:abstractNumId="4" w15:restartNumberingAfterBreak="0">
    <w:nsid w:val="37E34F5E"/>
    <w:multiLevelType w:val="hybridMultilevel"/>
    <w:tmpl w:val="3886B5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F1C5082"/>
    <w:multiLevelType w:val="hybridMultilevel"/>
    <w:tmpl w:val="8BE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B3661"/>
    <w:multiLevelType w:val="hybridMultilevel"/>
    <w:tmpl w:val="3822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31408F"/>
    <w:multiLevelType w:val="hybridMultilevel"/>
    <w:tmpl w:val="C8F4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2106A"/>
    <w:multiLevelType w:val="multilevel"/>
    <w:tmpl w:val="A3A680FA"/>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9796886"/>
    <w:multiLevelType w:val="hybridMultilevel"/>
    <w:tmpl w:val="3056D8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640383665">
    <w:abstractNumId w:val="8"/>
  </w:num>
  <w:num w:numId="2" w16cid:durableId="2045669878">
    <w:abstractNumId w:val="3"/>
  </w:num>
  <w:num w:numId="3" w16cid:durableId="1913002412">
    <w:abstractNumId w:val="2"/>
  </w:num>
  <w:num w:numId="4" w16cid:durableId="1582832413">
    <w:abstractNumId w:val="1"/>
  </w:num>
  <w:num w:numId="5" w16cid:durableId="942345438">
    <w:abstractNumId w:val="7"/>
  </w:num>
  <w:num w:numId="6" w16cid:durableId="1922178696">
    <w:abstractNumId w:val="9"/>
  </w:num>
  <w:num w:numId="7" w16cid:durableId="1000546329">
    <w:abstractNumId w:val="0"/>
  </w:num>
  <w:num w:numId="8" w16cid:durableId="482357939">
    <w:abstractNumId w:val="6"/>
  </w:num>
  <w:num w:numId="9" w16cid:durableId="1540624224">
    <w:abstractNumId w:val="5"/>
  </w:num>
  <w:num w:numId="10" w16cid:durableId="1342707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98"/>
    <w:rsid w:val="00003901"/>
    <w:rsid w:val="00013560"/>
    <w:rsid w:val="0001663F"/>
    <w:rsid w:val="000176DA"/>
    <w:rsid w:val="000228DA"/>
    <w:rsid w:val="00023380"/>
    <w:rsid w:val="0004009E"/>
    <w:rsid w:val="000404B8"/>
    <w:rsid w:val="000424CA"/>
    <w:rsid w:val="00042AF2"/>
    <w:rsid w:val="0004348C"/>
    <w:rsid w:val="00044FFD"/>
    <w:rsid w:val="00051A8C"/>
    <w:rsid w:val="000532EF"/>
    <w:rsid w:val="00056A08"/>
    <w:rsid w:val="000625BD"/>
    <w:rsid w:val="000651B7"/>
    <w:rsid w:val="00065A67"/>
    <w:rsid w:val="00073F08"/>
    <w:rsid w:val="000900E7"/>
    <w:rsid w:val="000A0AD6"/>
    <w:rsid w:val="000A1A23"/>
    <w:rsid w:val="000A2B40"/>
    <w:rsid w:val="000A5386"/>
    <w:rsid w:val="000B664D"/>
    <w:rsid w:val="000D2E9F"/>
    <w:rsid w:val="000D57A1"/>
    <w:rsid w:val="000E2A06"/>
    <w:rsid w:val="000F1A2A"/>
    <w:rsid w:val="000F54D0"/>
    <w:rsid w:val="0010226F"/>
    <w:rsid w:val="00105688"/>
    <w:rsid w:val="001057A8"/>
    <w:rsid w:val="00107C52"/>
    <w:rsid w:val="00107F48"/>
    <w:rsid w:val="00117E3C"/>
    <w:rsid w:val="00120DEA"/>
    <w:rsid w:val="00122FE7"/>
    <w:rsid w:val="00126210"/>
    <w:rsid w:val="00133B58"/>
    <w:rsid w:val="00134E98"/>
    <w:rsid w:val="00141246"/>
    <w:rsid w:val="00145571"/>
    <w:rsid w:val="00157088"/>
    <w:rsid w:val="00162448"/>
    <w:rsid w:val="001745F1"/>
    <w:rsid w:val="00183D5B"/>
    <w:rsid w:val="00191632"/>
    <w:rsid w:val="001946FD"/>
    <w:rsid w:val="001A1428"/>
    <w:rsid w:val="001B38EB"/>
    <w:rsid w:val="001B6E6B"/>
    <w:rsid w:val="001C0487"/>
    <w:rsid w:val="001D1091"/>
    <w:rsid w:val="001D1444"/>
    <w:rsid w:val="001D26B8"/>
    <w:rsid w:val="001D3C56"/>
    <w:rsid w:val="001D615B"/>
    <w:rsid w:val="001E35C0"/>
    <w:rsid w:val="0021135C"/>
    <w:rsid w:val="00213EAE"/>
    <w:rsid w:val="00216DB5"/>
    <w:rsid w:val="0021777C"/>
    <w:rsid w:val="002370BB"/>
    <w:rsid w:val="0023755D"/>
    <w:rsid w:val="0025613C"/>
    <w:rsid w:val="00257D6F"/>
    <w:rsid w:val="00275B46"/>
    <w:rsid w:val="0028280D"/>
    <w:rsid w:val="00284DF0"/>
    <w:rsid w:val="002A167F"/>
    <w:rsid w:val="002A447A"/>
    <w:rsid w:val="002A6AFA"/>
    <w:rsid w:val="002B2E8E"/>
    <w:rsid w:val="002B565A"/>
    <w:rsid w:val="002B5B33"/>
    <w:rsid w:val="002B6B86"/>
    <w:rsid w:val="002C20CE"/>
    <w:rsid w:val="002C4ABB"/>
    <w:rsid w:val="002C6AD0"/>
    <w:rsid w:val="002D1E34"/>
    <w:rsid w:val="002E722E"/>
    <w:rsid w:val="002F0C48"/>
    <w:rsid w:val="002F7CC1"/>
    <w:rsid w:val="003124DC"/>
    <w:rsid w:val="00312A23"/>
    <w:rsid w:val="003238F5"/>
    <w:rsid w:val="003244DC"/>
    <w:rsid w:val="00330C2C"/>
    <w:rsid w:val="00331A67"/>
    <w:rsid w:val="00333842"/>
    <w:rsid w:val="003374CF"/>
    <w:rsid w:val="00337E71"/>
    <w:rsid w:val="003423CC"/>
    <w:rsid w:val="003434E9"/>
    <w:rsid w:val="003538FD"/>
    <w:rsid w:val="00360DF9"/>
    <w:rsid w:val="00362377"/>
    <w:rsid w:val="003625F8"/>
    <w:rsid w:val="00370402"/>
    <w:rsid w:val="00370569"/>
    <w:rsid w:val="00381125"/>
    <w:rsid w:val="00387F62"/>
    <w:rsid w:val="00395978"/>
    <w:rsid w:val="00395FB2"/>
    <w:rsid w:val="003B0974"/>
    <w:rsid w:val="003B2351"/>
    <w:rsid w:val="003B263D"/>
    <w:rsid w:val="003C2FBF"/>
    <w:rsid w:val="003C58C1"/>
    <w:rsid w:val="003D0B6B"/>
    <w:rsid w:val="003D1233"/>
    <w:rsid w:val="003D24CA"/>
    <w:rsid w:val="003D4087"/>
    <w:rsid w:val="003D6BBF"/>
    <w:rsid w:val="003F002E"/>
    <w:rsid w:val="003F02D2"/>
    <w:rsid w:val="003F1AAE"/>
    <w:rsid w:val="003F6143"/>
    <w:rsid w:val="00401A2A"/>
    <w:rsid w:val="0040518D"/>
    <w:rsid w:val="00407774"/>
    <w:rsid w:val="004256EF"/>
    <w:rsid w:val="0043222B"/>
    <w:rsid w:val="00432976"/>
    <w:rsid w:val="00434287"/>
    <w:rsid w:val="00434D82"/>
    <w:rsid w:val="00435A4A"/>
    <w:rsid w:val="00436A1E"/>
    <w:rsid w:val="004378C4"/>
    <w:rsid w:val="00440740"/>
    <w:rsid w:val="0044340B"/>
    <w:rsid w:val="00453497"/>
    <w:rsid w:val="00453F28"/>
    <w:rsid w:val="00470B3C"/>
    <w:rsid w:val="0048344A"/>
    <w:rsid w:val="0048542D"/>
    <w:rsid w:val="00487561"/>
    <w:rsid w:val="0049054A"/>
    <w:rsid w:val="00491068"/>
    <w:rsid w:val="00496F7D"/>
    <w:rsid w:val="004B179E"/>
    <w:rsid w:val="004B4256"/>
    <w:rsid w:val="004B54CA"/>
    <w:rsid w:val="004C6AD8"/>
    <w:rsid w:val="004D15A1"/>
    <w:rsid w:val="004E48CB"/>
    <w:rsid w:val="004E48CC"/>
    <w:rsid w:val="004F5415"/>
    <w:rsid w:val="004F64F5"/>
    <w:rsid w:val="0050310E"/>
    <w:rsid w:val="00511BD6"/>
    <w:rsid w:val="00511D77"/>
    <w:rsid w:val="00512D73"/>
    <w:rsid w:val="00521C3B"/>
    <w:rsid w:val="0053018A"/>
    <w:rsid w:val="0053145B"/>
    <w:rsid w:val="00531AB9"/>
    <w:rsid w:val="00533EDC"/>
    <w:rsid w:val="00533F4B"/>
    <w:rsid w:val="00535385"/>
    <w:rsid w:val="00537303"/>
    <w:rsid w:val="00547055"/>
    <w:rsid w:val="00556C12"/>
    <w:rsid w:val="00562D78"/>
    <w:rsid w:val="00566636"/>
    <w:rsid w:val="0057527B"/>
    <w:rsid w:val="00580161"/>
    <w:rsid w:val="005871C2"/>
    <w:rsid w:val="00595A7F"/>
    <w:rsid w:val="005A07F3"/>
    <w:rsid w:val="005A1623"/>
    <w:rsid w:val="005A2CCB"/>
    <w:rsid w:val="005A3DBE"/>
    <w:rsid w:val="005A74C7"/>
    <w:rsid w:val="005B15BB"/>
    <w:rsid w:val="005B5A74"/>
    <w:rsid w:val="005C6F6F"/>
    <w:rsid w:val="005D1FFD"/>
    <w:rsid w:val="005E21CD"/>
    <w:rsid w:val="005E3FDA"/>
    <w:rsid w:val="005E4579"/>
    <w:rsid w:val="005F7E58"/>
    <w:rsid w:val="00602517"/>
    <w:rsid w:val="00605902"/>
    <w:rsid w:val="00606261"/>
    <w:rsid w:val="00611006"/>
    <w:rsid w:val="006120C0"/>
    <w:rsid w:val="006155D3"/>
    <w:rsid w:val="00635A04"/>
    <w:rsid w:val="00644BC9"/>
    <w:rsid w:val="00655ADB"/>
    <w:rsid w:val="00656130"/>
    <w:rsid w:val="0066033D"/>
    <w:rsid w:val="00676A4F"/>
    <w:rsid w:val="00676EF5"/>
    <w:rsid w:val="0068701B"/>
    <w:rsid w:val="0068715A"/>
    <w:rsid w:val="00687A9D"/>
    <w:rsid w:val="00693EDE"/>
    <w:rsid w:val="006A5898"/>
    <w:rsid w:val="006A63BF"/>
    <w:rsid w:val="006B79AE"/>
    <w:rsid w:val="006C1BF1"/>
    <w:rsid w:val="006C45F9"/>
    <w:rsid w:val="006D3A6D"/>
    <w:rsid w:val="006E035F"/>
    <w:rsid w:val="006E0B86"/>
    <w:rsid w:val="006F3B78"/>
    <w:rsid w:val="00702B1F"/>
    <w:rsid w:val="00705A54"/>
    <w:rsid w:val="00707489"/>
    <w:rsid w:val="00711297"/>
    <w:rsid w:val="00721FBC"/>
    <w:rsid w:val="007277AC"/>
    <w:rsid w:val="0073374C"/>
    <w:rsid w:val="00733BCF"/>
    <w:rsid w:val="0073424F"/>
    <w:rsid w:val="0073609F"/>
    <w:rsid w:val="0074032A"/>
    <w:rsid w:val="00742C93"/>
    <w:rsid w:val="00751B84"/>
    <w:rsid w:val="007559C4"/>
    <w:rsid w:val="00760664"/>
    <w:rsid w:val="00763D60"/>
    <w:rsid w:val="00763F75"/>
    <w:rsid w:val="00764C30"/>
    <w:rsid w:val="00765097"/>
    <w:rsid w:val="00765B71"/>
    <w:rsid w:val="0077106A"/>
    <w:rsid w:val="00771877"/>
    <w:rsid w:val="00775A74"/>
    <w:rsid w:val="007778D7"/>
    <w:rsid w:val="00783673"/>
    <w:rsid w:val="00787318"/>
    <w:rsid w:val="0079229A"/>
    <w:rsid w:val="007A513E"/>
    <w:rsid w:val="007B09C5"/>
    <w:rsid w:val="007B424C"/>
    <w:rsid w:val="007B4838"/>
    <w:rsid w:val="007C09CE"/>
    <w:rsid w:val="007C1605"/>
    <w:rsid w:val="007C2A7F"/>
    <w:rsid w:val="007C2B29"/>
    <w:rsid w:val="007C4440"/>
    <w:rsid w:val="007C5CBB"/>
    <w:rsid w:val="007D0972"/>
    <w:rsid w:val="007D0CFD"/>
    <w:rsid w:val="007E3A8C"/>
    <w:rsid w:val="007E42D7"/>
    <w:rsid w:val="007E59B2"/>
    <w:rsid w:val="007F21D3"/>
    <w:rsid w:val="007F78FF"/>
    <w:rsid w:val="008031A1"/>
    <w:rsid w:val="00811AAB"/>
    <w:rsid w:val="00813412"/>
    <w:rsid w:val="00815B83"/>
    <w:rsid w:val="008207F3"/>
    <w:rsid w:val="00822392"/>
    <w:rsid w:val="00831CC2"/>
    <w:rsid w:val="00834D63"/>
    <w:rsid w:val="00836AD3"/>
    <w:rsid w:val="00836D4A"/>
    <w:rsid w:val="00840B3A"/>
    <w:rsid w:val="008410E8"/>
    <w:rsid w:val="00852CDC"/>
    <w:rsid w:val="00857AD4"/>
    <w:rsid w:val="0086599A"/>
    <w:rsid w:val="00870EB8"/>
    <w:rsid w:val="00872106"/>
    <w:rsid w:val="00884017"/>
    <w:rsid w:val="00891A87"/>
    <w:rsid w:val="0089241A"/>
    <w:rsid w:val="00894BB2"/>
    <w:rsid w:val="008A234C"/>
    <w:rsid w:val="008B0495"/>
    <w:rsid w:val="008B16EC"/>
    <w:rsid w:val="008C0A48"/>
    <w:rsid w:val="008C4703"/>
    <w:rsid w:val="008D0686"/>
    <w:rsid w:val="008D1E0F"/>
    <w:rsid w:val="008D1FC0"/>
    <w:rsid w:val="008D3ADA"/>
    <w:rsid w:val="0090313D"/>
    <w:rsid w:val="00906F48"/>
    <w:rsid w:val="009119E2"/>
    <w:rsid w:val="00921D3C"/>
    <w:rsid w:val="00924C00"/>
    <w:rsid w:val="00933C50"/>
    <w:rsid w:val="00937C08"/>
    <w:rsid w:val="0094025D"/>
    <w:rsid w:val="00943DE6"/>
    <w:rsid w:val="0095041E"/>
    <w:rsid w:val="00951254"/>
    <w:rsid w:val="00955738"/>
    <w:rsid w:val="00966B8F"/>
    <w:rsid w:val="00971DBD"/>
    <w:rsid w:val="00975AE5"/>
    <w:rsid w:val="00983736"/>
    <w:rsid w:val="009A005F"/>
    <w:rsid w:val="009A458A"/>
    <w:rsid w:val="009B6F83"/>
    <w:rsid w:val="009C6720"/>
    <w:rsid w:val="009D4023"/>
    <w:rsid w:val="009D57ED"/>
    <w:rsid w:val="009D60DE"/>
    <w:rsid w:val="009E0AF3"/>
    <w:rsid w:val="009E21A5"/>
    <w:rsid w:val="009F18E9"/>
    <w:rsid w:val="009F4B2D"/>
    <w:rsid w:val="009F5D7B"/>
    <w:rsid w:val="00A1362F"/>
    <w:rsid w:val="00A14EBF"/>
    <w:rsid w:val="00A15BA8"/>
    <w:rsid w:val="00A17767"/>
    <w:rsid w:val="00A26E48"/>
    <w:rsid w:val="00A33787"/>
    <w:rsid w:val="00A34D2E"/>
    <w:rsid w:val="00A42433"/>
    <w:rsid w:val="00A46736"/>
    <w:rsid w:val="00A469DE"/>
    <w:rsid w:val="00A47F98"/>
    <w:rsid w:val="00A53719"/>
    <w:rsid w:val="00A55F36"/>
    <w:rsid w:val="00A56925"/>
    <w:rsid w:val="00A63B4F"/>
    <w:rsid w:val="00A701DF"/>
    <w:rsid w:val="00A7029C"/>
    <w:rsid w:val="00A702FA"/>
    <w:rsid w:val="00A7084A"/>
    <w:rsid w:val="00A760C9"/>
    <w:rsid w:val="00A80A99"/>
    <w:rsid w:val="00A879F6"/>
    <w:rsid w:val="00A9106F"/>
    <w:rsid w:val="00A974C9"/>
    <w:rsid w:val="00AA0F65"/>
    <w:rsid w:val="00AA1FEB"/>
    <w:rsid w:val="00AA66A1"/>
    <w:rsid w:val="00AB162F"/>
    <w:rsid w:val="00AB27CC"/>
    <w:rsid w:val="00AB72BE"/>
    <w:rsid w:val="00AC165A"/>
    <w:rsid w:val="00AC6887"/>
    <w:rsid w:val="00AD068D"/>
    <w:rsid w:val="00AD27AC"/>
    <w:rsid w:val="00AE0DCC"/>
    <w:rsid w:val="00AE5300"/>
    <w:rsid w:val="00AF4CE2"/>
    <w:rsid w:val="00B0387E"/>
    <w:rsid w:val="00B044F3"/>
    <w:rsid w:val="00B17E49"/>
    <w:rsid w:val="00B22A03"/>
    <w:rsid w:val="00B238FD"/>
    <w:rsid w:val="00B2440A"/>
    <w:rsid w:val="00B24C5E"/>
    <w:rsid w:val="00B330A6"/>
    <w:rsid w:val="00B37D83"/>
    <w:rsid w:val="00B63FB6"/>
    <w:rsid w:val="00B70679"/>
    <w:rsid w:val="00B726CF"/>
    <w:rsid w:val="00B76F9B"/>
    <w:rsid w:val="00B84663"/>
    <w:rsid w:val="00BA26F8"/>
    <w:rsid w:val="00BA39AB"/>
    <w:rsid w:val="00BA58F5"/>
    <w:rsid w:val="00BB4C56"/>
    <w:rsid w:val="00BB6C37"/>
    <w:rsid w:val="00BC1F70"/>
    <w:rsid w:val="00BC4749"/>
    <w:rsid w:val="00BC708F"/>
    <w:rsid w:val="00BD0402"/>
    <w:rsid w:val="00BD378D"/>
    <w:rsid w:val="00BD5224"/>
    <w:rsid w:val="00BE6537"/>
    <w:rsid w:val="00BF37B8"/>
    <w:rsid w:val="00C03F8C"/>
    <w:rsid w:val="00C04C74"/>
    <w:rsid w:val="00C06E85"/>
    <w:rsid w:val="00C102D5"/>
    <w:rsid w:val="00C13A53"/>
    <w:rsid w:val="00C20459"/>
    <w:rsid w:val="00C27825"/>
    <w:rsid w:val="00C400E5"/>
    <w:rsid w:val="00C451D7"/>
    <w:rsid w:val="00C56BE5"/>
    <w:rsid w:val="00C64CFD"/>
    <w:rsid w:val="00C65BEC"/>
    <w:rsid w:val="00C70F2B"/>
    <w:rsid w:val="00C70FAB"/>
    <w:rsid w:val="00C720EC"/>
    <w:rsid w:val="00C77D38"/>
    <w:rsid w:val="00C81526"/>
    <w:rsid w:val="00C82F38"/>
    <w:rsid w:val="00C87402"/>
    <w:rsid w:val="00C94695"/>
    <w:rsid w:val="00CB222D"/>
    <w:rsid w:val="00CE3AC4"/>
    <w:rsid w:val="00CE40F7"/>
    <w:rsid w:val="00CF26C2"/>
    <w:rsid w:val="00D02F5D"/>
    <w:rsid w:val="00D0667B"/>
    <w:rsid w:val="00D10A9F"/>
    <w:rsid w:val="00D11631"/>
    <w:rsid w:val="00D13EF7"/>
    <w:rsid w:val="00D1529D"/>
    <w:rsid w:val="00D32DF3"/>
    <w:rsid w:val="00D3499E"/>
    <w:rsid w:val="00D37C47"/>
    <w:rsid w:val="00D43AA7"/>
    <w:rsid w:val="00D46AF5"/>
    <w:rsid w:val="00D50CD5"/>
    <w:rsid w:val="00D52C40"/>
    <w:rsid w:val="00D731F6"/>
    <w:rsid w:val="00D75F7C"/>
    <w:rsid w:val="00D77953"/>
    <w:rsid w:val="00D92652"/>
    <w:rsid w:val="00D975D8"/>
    <w:rsid w:val="00DA28A3"/>
    <w:rsid w:val="00DB0499"/>
    <w:rsid w:val="00DB09E7"/>
    <w:rsid w:val="00DB1BF9"/>
    <w:rsid w:val="00DB35AF"/>
    <w:rsid w:val="00DC7F56"/>
    <w:rsid w:val="00DD004F"/>
    <w:rsid w:val="00DE1595"/>
    <w:rsid w:val="00DE25FB"/>
    <w:rsid w:val="00DE4378"/>
    <w:rsid w:val="00DF1FE7"/>
    <w:rsid w:val="00DF2952"/>
    <w:rsid w:val="00DF5526"/>
    <w:rsid w:val="00E03D23"/>
    <w:rsid w:val="00E2599B"/>
    <w:rsid w:val="00E36825"/>
    <w:rsid w:val="00E505D5"/>
    <w:rsid w:val="00E52CAF"/>
    <w:rsid w:val="00E5744D"/>
    <w:rsid w:val="00E6376B"/>
    <w:rsid w:val="00E70585"/>
    <w:rsid w:val="00E72487"/>
    <w:rsid w:val="00E81869"/>
    <w:rsid w:val="00E81EB3"/>
    <w:rsid w:val="00E850D2"/>
    <w:rsid w:val="00E872DB"/>
    <w:rsid w:val="00EA4847"/>
    <w:rsid w:val="00EC50EA"/>
    <w:rsid w:val="00EC5A04"/>
    <w:rsid w:val="00EC67FA"/>
    <w:rsid w:val="00ED10A5"/>
    <w:rsid w:val="00EE0930"/>
    <w:rsid w:val="00EE59DA"/>
    <w:rsid w:val="00EE6543"/>
    <w:rsid w:val="00EE6A0B"/>
    <w:rsid w:val="00EF26D5"/>
    <w:rsid w:val="00EF4091"/>
    <w:rsid w:val="00EF5C98"/>
    <w:rsid w:val="00F02C30"/>
    <w:rsid w:val="00F04082"/>
    <w:rsid w:val="00F2395C"/>
    <w:rsid w:val="00F3040D"/>
    <w:rsid w:val="00F33E18"/>
    <w:rsid w:val="00F371A1"/>
    <w:rsid w:val="00F4684C"/>
    <w:rsid w:val="00F52E87"/>
    <w:rsid w:val="00F53BDA"/>
    <w:rsid w:val="00F54900"/>
    <w:rsid w:val="00F577BE"/>
    <w:rsid w:val="00F63A6F"/>
    <w:rsid w:val="00F655F2"/>
    <w:rsid w:val="00F718A5"/>
    <w:rsid w:val="00F751F0"/>
    <w:rsid w:val="00F80CC2"/>
    <w:rsid w:val="00F82623"/>
    <w:rsid w:val="00F97DA3"/>
    <w:rsid w:val="00FA0029"/>
    <w:rsid w:val="00FA729D"/>
    <w:rsid w:val="00FB1ED1"/>
    <w:rsid w:val="00FB29F1"/>
    <w:rsid w:val="00FC784C"/>
    <w:rsid w:val="00FD3F40"/>
    <w:rsid w:val="00FE0DB2"/>
    <w:rsid w:val="00FE70B7"/>
    <w:rsid w:val="00FF1632"/>
    <w:rsid w:val="01B5AA7E"/>
    <w:rsid w:val="0201C178"/>
    <w:rsid w:val="0496A2ED"/>
    <w:rsid w:val="06D3E8FB"/>
    <w:rsid w:val="07CE43AF"/>
    <w:rsid w:val="088CF89E"/>
    <w:rsid w:val="0A7F8A44"/>
    <w:rsid w:val="0ECD8BFB"/>
    <w:rsid w:val="1440569C"/>
    <w:rsid w:val="15DC26FD"/>
    <w:rsid w:val="1777F75E"/>
    <w:rsid w:val="19536C2E"/>
    <w:rsid w:val="19BE2DAF"/>
    <w:rsid w:val="1CC63C09"/>
    <w:rsid w:val="2153C4AC"/>
    <w:rsid w:val="2178B134"/>
    <w:rsid w:val="22F6B807"/>
    <w:rsid w:val="26432A50"/>
    <w:rsid w:val="27128D84"/>
    <w:rsid w:val="2A57CDDD"/>
    <w:rsid w:val="2B08C4F0"/>
    <w:rsid w:val="2C0DFF9A"/>
    <w:rsid w:val="2D25FF2C"/>
    <w:rsid w:val="2F3064AD"/>
    <w:rsid w:val="2F6951D8"/>
    <w:rsid w:val="31710BB3"/>
    <w:rsid w:val="34A8AC75"/>
    <w:rsid w:val="3520C4DA"/>
    <w:rsid w:val="36B3B915"/>
    <w:rsid w:val="371729E6"/>
    <w:rsid w:val="375EED3E"/>
    <w:rsid w:val="37FD0C01"/>
    <w:rsid w:val="39EB59D7"/>
    <w:rsid w:val="3BE66FF2"/>
    <w:rsid w:val="3D8E58AD"/>
    <w:rsid w:val="3F516FAC"/>
    <w:rsid w:val="3F61AE64"/>
    <w:rsid w:val="418AC5EA"/>
    <w:rsid w:val="435CDC46"/>
    <w:rsid w:val="48EF684D"/>
    <w:rsid w:val="51AF94D5"/>
    <w:rsid w:val="52CB0F0B"/>
    <w:rsid w:val="5738AA30"/>
    <w:rsid w:val="5B4A8E64"/>
    <w:rsid w:val="5CDE4800"/>
    <w:rsid w:val="5DBE36F1"/>
    <w:rsid w:val="63EF989A"/>
    <w:rsid w:val="644284D5"/>
    <w:rsid w:val="69747CF0"/>
    <w:rsid w:val="6D0C649B"/>
    <w:rsid w:val="70D79675"/>
    <w:rsid w:val="76CC7C4D"/>
    <w:rsid w:val="7D19E287"/>
    <w:rsid w:val="7E928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83E8"/>
  <w15:docId w15:val="{3E348FD4-74EB-4913-9749-4491275F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AU"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lang w:eastAsia="en-AU"/>
    </w:rPr>
  </w:style>
  <w:style w:type="paragraph" w:styleId="Heading1">
    <w:name w:val="heading 1"/>
    <w:basedOn w:val="Normal"/>
    <w:next w:val="Normal"/>
    <w:uiPriority w:val="9"/>
    <w:qFormat/>
    <w:pPr>
      <w:outlineLvl w:val="0"/>
    </w:pPr>
    <w:rPr>
      <w:rFonts w:cs="Calibri"/>
      <w:sz w:val="32"/>
      <w:szCs w:val="32"/>
    </w:rPr>
  </w:style>
  <w:style w:type="paragraph" w:styleId="Heading2">
    <w:name w:val="heading 2"/>
    <w:basedOn w:val="Normal"/>
    <w:next w:val="Normal"/>
    <w:uiPriority w:val="9"/>
    <w:semiHidden/>
    <w:unhideWhenUsed/>
    <w:qFormat/>
    <w:pPr>
      <w:outlineLvl w:val="1"/>
    </w:pPr>
    <w:rPr>
      <w:rFonts w:cs="Calibri"/>
      <w:sz w:val="28"/>
      <w:szCs w:val="28"/>
    </w:rPr>
  </w:style>
  <w:style w:type="paragraph" w:styleId="Heading3">
    <w:name w:val="heading 3"/>
    <w:basedOn w:val="Normal"/>
    <w:next w:val="Normal"/>
    <w:uiPriority w:val="9"/>
    <w:semiHidden/>
    <w:unhideWhenUsed/>
    <w:qFormat/>
    <w:pPr>
      <w:keepNext/>
      <w:keepLines/>
      <w:spacing w:before="100" w:after="240" w:line="240" w:lineRule="auto"/>
      <w:outlineLvl w:val="2"/>
    </w:pPr>
    <w:rPr>
      <w:rFonts w:eastAsia="MS Gothic" w:cs="Times New Roman"/>
      <w:bCs/>
      <w:i/>
      <w:iCs/>
      <w:sz w:val="24"/>
      <w:lang w:val="en-US" w:eastAsia="en-US"/>
    </w:rPr>
  </w:style>
  <w:style w:type="paragraph" w:styleId="Heading4">
    <w:name w:val="heading 4"/>
    <w:basedOn w:val="Heading3"/>
    <w:next w:val="Normal"/>
    <w:uiPriority w:val="9"/>
    <w:semiHidden/>
    <w:unhideWhenUsed/>
    <w:qFormat/>
    <w:pPr>
      <w:outlineLvl w:val="3"/>
    </w:pPr>
    <w:rPr>
      <w:color w:val="086F93"/>
    </w:rPr>
  </w:style>
  <w:style w:type="paragraph" w:styleId="Heading5">
    <w:name w:val="heading 5"/>
    <w:basedOn w:val="Heading3"/>
    <w:next w:val="Normal"/>
    <w:uiPriority w:val="9"/>
    <w:semiHidden/>
    <w:unhideWhenUsed/>
    <w:qFormat/>
    <w:pPr>
      <w:outlineLvl w:val="4"/>
    </w:pPr>
    <w:rPr>
      <w:color w:val="086F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pPr>
      <w:spacing w:before="100" w:after="100" w:line="240" w:lineRule="auto"/>
    </w:pPr>
  </w:style>
  <w:style w:type="character" w:customStyle="1" w:styleId="Heading4Char">
    <w:name w:val="Heading 4 Char"/>
    <w:basedOn w:val="DefaultParagraphFont"/>
    <w:rPr>
      <w:rFonts w:ascii="Calibri" w:eastAsia="MS Gothic" w:hAnsi="Calibri" w:cs="Times New Roman"/>
      <w:bCs/>
      <w:i/>
      <w:iCs/>
      <w:color w:val="086F93"/>
      <w:sz w:val="24"/>
      <w:lang w:val="en-US"/>
    </w:rPr>
  </w:style>
  <w:style w:type="paragraph" w:styleId="Title">
    <w:name w:val="Title"/>
    <w:basedOn w:val="Normal"/>
    <w:next w:val="Normal"/>
    <w:uiPriority w:val="10"/>
    <w:qFormat/>
    <w:pPr>
      <w:spacing w:after="0"/>
      <w:outlineLvl w:val="0"/>
    </w:pPr>
    <w:rPr>
      <w:rFonts w:cs="Calibri"/>
      <w:sz w:val="48"/>
      <w:szCs w:val="48"/>
    </w:rPr>
  </w:style>
  <w:style w:type="character" w:styleId="Hyperlink">
    <w:name w:val="Hyperlink"/>
    <w:basedOn w:val="DefaultParagraphFont"/>
    <w:rPr>
      <w:color w:val="0000FF"/>
      <w:u w:val="single"/>
    </w:rPr>
  </w:style>
  <w:style w:type="character" w:customStyle="1" w:styleId="TitleChar">
    <w:name w:val="Title Char"/>
    <w:basedOn w:val="DefaultParagraphFont"/>
    <w:rPr>
      <w:rFonts w:eastAsia="MS Mincho" w:cs="Calibri"/>
      <w:sz w:val="48"/>
      <w:szCs w:val="48"/>
      <w:lang w:eastAsia="en-AU"/>
    </w:rPr>
  </w:style>
  <w:style w:type="paragraph" w:styleId="ListParagraph">
    <w:name w:val="List Paragraph"/>
    <w:basedOn w:val="Normal"/>
    <w:pPr>
      <w:ind w:left="720"/>
      <w:contextualSpacing/>
    </w:pPr>
  </w:style>
  <w:style w:type="character" w:customStyle="1" w:styleId="Heading1Char">
    <w:name w:val="Heading 1 Char"/>
    <w:basedOn w:val="DefaultParagraphFont"/>
    <w:rPr>
      <w:rFonts w:eastAsia="MS Mincho" w:cs="Calibri"/>
      <w:sz w:val="32"/>
      <w:szCs w:val="32"/>
      <w:lang w:eastAsia="en-AU"/>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eastAsia="MS Mincho"/>
      <w:sz w:val="20"/>
      <w:szCs w:val="20"/>
      <w:lang w:eastAsia="en-AU"/>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Subject">
    <w:name w:val="annotation subject"/>
    <w:basedOn w:val="Normal"/>
    <w:next w:val="Normal"/>
    <w:rPr>
      <w:b/>
      <w:bCs/>
    </w:rPr>
  </w:style>
  <w:style w:type="character" w:customStyle="1" w:styleId="CommentSubjectChar">
    <w:name w:val="Comment Subject Char"/>
    <w:basedOn w:val="DefaultParagraphFont"/>
    <w:rPr>
      <w:rFonts w:eastAsia="MS Mincho"/>
      <w:b/>
      <w:bCs/>
      <w:sz w:val="20"/>
      <w:szCs w:val="20"/>
      <w:lang w:eastAsia="en-AU"/>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MS Mincho" w:hAnsi="Tahoma" w:cs="Tahoma"/>
      <w:sz w:val="16"/>
      <w:szCs w:val="16"/>
      <w:lang w:eastAsia="en-AU"/>
    </w:rPr>
  </w:style>
  <w:style w:type="character" w:customStyle="1" w:styleId="Heading2Char">
    <w:name w:val="Heading 2 Char"/>
    <w:basedOn w:val="DefaultParagraphFont"/>
    <w:rPr>
      <w:rFonts w:eastAsia="MS Mincho" w:cs="Calibri"/>
      <w:sz w:val="28"/>
      <w:szCs w:val="28"/>
      <w:lang w:eastAsia="en-AU"/>
    </w:rPr>
  </w:style>
  <w:style w:type="character" w:customStyle="1" w:styleId="Heading3Char">
    <w:name w:val="Heading 3 Char"/>
    <w:basedOn w:val="DefaultParagraphFont"/>
    <w:rPr>
      <w:rFonts w:ascii="Calibri" w:eastAsia="MS Gothic" w:hAnsi="Calibri" w:cs="Times New Roman"/>
      <w:bCs/>
      <w:i/>
      <w:iCs/>
      <w:sz w:val="24"/>
      <w:lang w:val="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paragraph" w:styleId="Revision">
    <w:name w:val="Revision"/>
    <w:pPr>
      <w:suppressAutoHyphens/>
      <w:spacing w:after="0" w:line="240" w:lineRule="auto"/>
    </w:pPr>
    <w:rPr>
      <w:rFonts w:eastAsia="MS Mincho"/>
      <w:lang w:eastAsia="en-AU"/>
    </w:rPr>
  </w:style>
  <w:style w:type="paragraph" w:customStyle="1" w:styleId="FundingAcknowledgement">
    <w:name w:val="Funding Acknowledgement"/>
    <w:basedOn w:val="Normal"/>
    <w:autoRedefine/>
    <w:pPr>
      <w:pBdr>
        <w:top w:val="single" w:sz="36" w:space="10" w:color="43C7F4"/>
        <w:bottom w:val="single" w:sz="36" w:space="10" w:color="43C7F4"/>
      </w:pBdr>
      <w:spacing w:before="360" w:after="360"/>
      <w:ind w:right="-46"/>
    </w:pPr>
    <w:rPr>
      <w:rFonts w:ascii="Gotham" w:hAnsi="Gotham"/>
      <w:b/>
      <w:i/>
      <w:iCs/>
      <w:sz w:val="16"/>
      <w:lang w:val="en-US"/>
    </w:rPr>
  </w:style>
  <w:style w:type="character" w:customStyle="1" w:styleId="Heading5Char">
    <w:name w:val="Heading 5 Char"/>
    <w:basedOn w:val="DefaultParagraphFont"/>
    <w:rPr>
      <w:rFonts w:ascii="Calibri" w:eastAsia="MS Gothic" w:hAnsi="Calibri" w:cs="Times New Roman"/>
      <w:bCs/>
      <w:i/>
      <w:iCs/>
      <w:color w:val="086F93"/>
      <w:sz w:val="24"/>
      <w:lang w:val="en-US"/>
    </w:rPr>
  </w:style>
  <w:style w:type="paragraph" w:customStyle="1" w:styleId="Bulletlist2">
    <w:name w:val="Bullet list 2"/>
    <w:basedOn w:val="Bulletlist1"/>
  </w:style>
  <w:style w:type="character" w:customStyle="1" w:styleId="Bulletlist1Char">
    <w:name w:val="Bullet list 1 Char"/>
    <w:basedOn w:val="DefaultParagraphFont"/>
    <w:rPr>
      <w:rFonts w:ascii="Calibri" w:eastAsia="MS Mincho" w:hAnsi="Calibri"/>
      <w:lang w:eastAsia="en-AU"/>
    </w:rPr>
  </w:style>
  <w:style w:type="paragraph" w:customStyle="1" w:styleId="Bulletlist3">
    <w:name w:val="Bullet list 3"/>
    <w:basedOn w:val="Bulletlist2"/>
    <w:pPr>
      <w:numPr>
        <w:numId w:val="2"/>
      </w:numPr>
    </w:pPr>
  </w:style>
  <w:style w:type="paragraph" w:customStyle="1" w:styleId="DocLabel">
    <w:name w:val="Doc Label"/>
    <w:basedOn w:val="Normal"/>
    <w:pPr>
      <w:tabs>
        <w:tab w:val="right" w:pos="9026"/>
      </w:tabs>
    </w:pPr>
    <w:rPr>
      <w:rFonts w:ascii="Verdana" w:hAnsi="Verdana"/>
      <w:b/>
      <w:color w:val="43C7F4"/>
      <w:sz w:val="32"/>
      <w:szCs w:val="36"/>
    </w:rPr>
  </w:style>
  <w:style w:type="character" w:customStyle="1" w:styleId="Bulletlist2Char">
    <w:name w:val="Bullet list 2 Char"/>
    <w:basedOn w:val="Bulletlist1Char"/>
    <w:rPr>
      <w:rFonts w:ascii="Calibri" w:eastAsia="MS Mincho" w:hAnsi="Calibri"/>
      <w:lang w:eastAsia="en-AU"/>
    </w:rPr>
  </w:style>
  <w:style w:type="paragraph" w:customStyle="1" w:styleId="DocDate">
    <w:name w:val="Doc Date"/>
    <w:basedOn w:val="Normal"/>
    <w:pPr>
      <w:tabs>
        <w:tab w:val="right" w:pos="9026"/>
      </w:tabs>
    </w:pPr>
    <w:rPr>
      <w:rFonts w:ascii="Verdana" w:hAnsi="Verdana"/>
      <w:b/>
      <w:bCs/>
    </w:rPr>
  </w:style>
  <w:style w:type="character" w:customStyle="1" w:styleId="DocLabelChar">
    <w:name w:val="Doc Label Char"/>
    <w:basedOn w:val="DefaultParagraphFont"/>
    <w:rPr>
      <w:rFonts w:ascii="Verdana" w:eastAsia="MS Mincho" w:hAnsi="Verdana"/>
      <w:b/>
      <w:color w:val="43C7F4"/>
      <w:sz w:val="32"/>
      <w:szCs w:val="36"/>
      <w:lang w:eastAsia="en-AU"/>
    </w:rPr>
  </w:style>
  <w:style w:type="paragraph" w:customStyle="1" w:styleId="Letterhead1">
    <w:name w:val="Letterhead 1"/>
    <w:basedOn w:val="Normal"/>
    <w:pPr>
      <w:tabs>
        <w:tab w:val="left" w:pos="3855"/>
        <w:tab w:val="center" w:pos="4513"/>
        <w:tab w:val="right" w:pos="9026"/>
      </w:tabs>
      <w:spacing w:after="0"/>
      <w:jc w:val="right"/>
    </w:pPr>
    <w:rPr>
      <w:rFonts w:ascii="Verdana" w:hAnsi="Verdana"/>
      <w:b/>
      <w:bCs/>
      <w:i/>
      <w:spacing w:val="8"/>
      <w:sz w:val="19"/>
      <w:szCs w:val="20"/>
    </w:rPr>
  </w:style>
  <w:style w:type="character" w:customStyle="1" w:styleId="DocDateChar">
    <w:name w:val="Doc Date Char"/>
    <w:basedOn w:val="DefaultParagraphFont"/>
    <w:rPr>
      <w:rFonts w:ascii="Verdana" w:eastAsia="MS Mincho" w:hAnsi="Verdana"/>
      <w:b/>
      <w:bCs/>
      <w:lang w:eastAsia="en-AU"/>
    </w:rPr>
  </w:style>
  <w:style w:type="paragraph" w:customStyle="1" w:styleId="Letterhead2">
    <w:name w:val="Letterhead 2"/>
    <w:basedOn w:val="Normal"/>
    <w:pPr>
      <w:tabs>
        <w:tab w:val="left" w:pos="1843"/>
        <w:tab w:val="center" w:pos="4513"/>
        <w:tab w:val="right" w:pos="9026"/>
      </w:tabs>
      <w:spacing w:after="0" w:line="240" w:lineRule="auto"/>
      <w:ind w:hanging="851"/>
    </w:pPr>
    <w:rPr>
      <w:rFonts w:ascii="Gotham" w:hAnsi="Gotham"/>
      <w:b/>
      <w:bCs/>
      <w:i/>
      <w:iCs/>
      <w:color w:val="43C7F4"/>
    </w:rPr>
  </w:style>
  <w:style w:type="character" w:customStyle="1" w:styleId="Letterhead1Char">
    <w:name w:val="Letterhead 1 Char"/>
    <w:basedOn w:val="DefaultParagraphFont"/>
    <w:rPr>
      <w:rFonts w:ascii="Verdana" w:eastAsia="MS Mincho" w:hAnsi="Verdana"/>
      <w:b/>
      <w:bCs/>
      <w:i/>
      <w:spacing w:val="8"/>
      <w:sz w:val="19"/>
      <w:szCs w:val="20"/>
      <w:lang w:eastAsia="en-AU"/>
    </w:rPr>
  </w:style>
  <w:style w:type="paragraph" w:styleId="NoSpacing">
    <w:name w:val="No Spacing"/>
    <w:pPr>
      <w:suppressAutoHyphens/>
      <w:spacing w:after="0" w:line="240" w:lineRule="auto"/>
    </w:pPr>
    <w:rPr>
      <w:rFonts w:eastAsia="MS Mincho"/>
      <w:lang w:eastAsia="en-AU"/>
    </w:rPr>
  </w:style>
  <w:style w:type="character" w:customStyle="1" w:styleId="Letterhead2Char">
    <w:name w:val="Letterhead 2 Char"/>
    <w:basedOn w:val="DefaultParagraphFont"/>
    <w:rPr>
      <w:rFonts w:ascii="Gotham" w:eastAsia="MS Mincho" w:hAnsi="Gotham"/>
      <w:b/>
      <w:bCs/>
      <w:i/>
      <w:iCs/>
      <w:color w:val="43C7F4"/>
      <w:lang w:eastAsia="en-AU"/>
    </w:rPr>
  </w:style>
  <w:style w:type="character" w:styleId="IntenseEmphasis">
    <w:name w:val="Intense Emphasis"/>
    <w:basedOn w:val="DefaultParagraphFont"/>
    <w:rPr>
      <w:i/>
      <w:iCs/>
      <w:color w:val="43C7F4"/>
    </w:rPr>
  </w:style>
  <w:style w:type="paragraph" w:customStyle="1" w:styleId="Recommendation">
    <w:name w:val="Recommendation"/>
    <w:basedOn w:val="Normal"/>
    <w:pPr>
      <w:numPr>
        <w:numId w:val="3"/>
      </w:numPr>
      <w:pBdr>
        <w:top w:val="single" w:sz="18" w:space="6" w:color="44C8F5"/>
        <w:left w:val="single" w:sz="18" w:space="5" w:color="44C8F5"/>
        <w:bottom w:val="single" w:sz="18" w:space="6" w:color="44C8F5"/>
        <w:right w:val="single" w:sz="18" w:space="5" w:color="44C8F5"/>
      </w:pBdr>
      <w:spacing w:before="100" w:after="100" w:line="240" w:lineRule="auto"/>
      <w:ind w:right="851"/>
    </w:pPr>
    <w:rPr>
      <w:lang w:eastAsia="en-US"/>
    </w:rPr>
  </w:style>
  <w:style w:type="character" w:customStyle="1" w:styleId="RecommendationChar">
    <w:name w:val="Recommendation Char"/>
    <w:basedOn w:val="DefaultParagraphFont"/>
    <w:rPr>
      <w:rFonts w:ascii="Calibri" w:eastAsia="MS Mincho" w:hAnsi="Calibri"/>
    </w:rPr>
  </w:style>
  <w:style w:type="character" w:customStyle="1" w:styleId="Bulletlist3Char">
    <w:name w:val="Bullet list 3 Char"/>
    <w:basedOn w:val="Bulletlist2Char"/>
    <w:rPr>
      <w:rFonts w:ascii="Calibri" w:eastAsia="MS Mincho" w:hAnsi="Calibri"/>
      <w:lang w:eastAsia="en-AU"/>
    </w:rPr>
  </w:style>
  <w:style w:type="paragraph" w:customStyle="1" w:styleId="Footnotes">
    <w:name w:val="Footnotes"/>
    <w:basedOn w:val="Normal"/>
    <w:rPr>
      <w:sz w:val="20"/>
      <w:szCs w:val="20"/>
    </w:rPr>
  </w:style>
  <w:style w:type="character" w:customStyle="1" w:styleId="FootnotesChar">
    <w:name w:val="Footnotes Char"/>
    <w:basedOn w:val="DefaultParagraphFont"/>
    <w:rPr>
      <w:rFonts w:eastAsia="MS Mincho"/>
      <w:sz w:val="20"/>
      <w:szCs w:val="20"/>
      <w:lang w:eastAsia="en-AU"/>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rFonts w:eastAsia="MS Mincho"/>
      <w:lang w:eastAsia="en-AU"/>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rPr>
      <w:rFonts w:eastAsia="MS Mincho"/>
      <w:lang w:eastAsia="en-AU"/>
    </w:rPr>
  </w:style>
  <w:style w:type="numbering" w:customStyle="1" w:styleId="Bullets">
    <w:name w:val="Bullets"/>
    <w:basedOn w:val="NoList"/>
    <w:pPr>
      <w:numPr>
        <w:numId w:val="2"/>
      </w:numPr>
    </w:pPr>
  </w:style>
  <w:style w:type="numbering" w:customStyle="1" w:styleId="Recommendations">
    <w:name w:val="Recommendations"/>
    <w:basedOn w:val="NoList"/>
    <w:pPr>
      <w:numPr>
        <w:numId w:val="3"/>
      </w:numPr>
    </w:pPr>
  </w:style>
  <w:style w:type="paragraph" w:styleId="CommentText">
    <w:name w:val="annotation text"/>
    <w:basedOn w:val="Normal"/>
    <w:link w:val="CommentTextChar"/>
    <w:uiPriority w:val="99"/>
    <w:unhideWhenUsed/>
    <w:rsid w:val="002A6AFA"/>
    <w:pPr>
      <w:spacing w:line="240" w:lineRule="auto"/>
    </w:pPr>
    <w:rPr>
      <w:sz w:val="20"/>
      <w:szCs w:val="20"/>
    </w:rPr>
  </w:style>
  <w:style w:type="character" w:customStyle="1" w:styleId="CommentTextChar">
    <w:name w:val="Comment Text Char"/>
    <w:basedOn w:val="DefaultParagraphFont"/>
    <w:link w:val="CommentText"/>
    <w:uiPriority w:val="99"/>
    <w:rsid w:val="002A6AFA"/>
    <w:rPr>
      <w:rFonts w:eastAsia="MS Minch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8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ccan.org.au/about-us/reporting/reconcilitiation-action-plan" TargetMode="External"/><Relationship Id="rId2" Type="http://schemas.openxmlformats.org/officeDocument/2006/relationships/customXml" Target="../customXml/item2.xml"/><Relationship Id="rId16" Type="http://schemas.openxmlformats.org/officeDocument/2006/relationships/hyperlink" Target="mailto:con.gouskos@accan.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cma.gov.au/consultations/2023-05/proposed-approach-expiring-spectrum-licences" TargetMode="External"/><Relationship Id="rId1" Type="http://schemas.openxmlformats.org/officeDocument/2006/relationships/hyperlink" Target="https://www.acma.gov.au/consultations/2023-05/proposed-approach-expiring-spectrum-lic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ouskos\ACCAN\ACCAN%20-%20Issues\Infrastructure\Spectrum\ACMA%20Consultation%20-%20Proposed%20approach%20to%20expiring%20spectrum%20licences\DocumentTemplate-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15" ma:contentTypeDescription="Create a new document." ma:contentTypeScope="" ma:versionID="a5978e58511f3cd016f47c7aa00a46b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42169dfad3ace78a0c7156903a1212ae"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SharedWithUsers>
    <TaxCatchAll xmlns="2afa1a33-c191-48ee-b288-192490d33fec" xsi:nil="true"/>
    <lcf76f155ced4ddcb4097134ff3c332f xmlns="25af2f0e-673d-4721-b64c-73e7c4e9e0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693F9E-E499-45FF-BDAA-0B003A0E858C}">
  <ds:schemaRefs>
    <ds:schemaRef ds:uri="http://schemas.openxmlformats.org/officeDocument/2006/bibliography"/>
  </ds:schemaRefs>
</ds:datastoreItem>
</file>

<file path=customXml/itemProps2.xml><?xml version="1.0" encoding="utf-8"?>
<ds:datastoreItem xmlns:ds="http://schemas.openxmlformats.org/officeDocument/2006/customXml" ds:itemID="{0F21B214-6B31-4B4F-B458-01FB1D581296}">
  <ds:schemaRefs>
    <ds:schemaRef ds:uri="http://schemas.microsoft.com/sharepoint/v3/contenttype/forms"/>
  </ds:schemaRefs>
</ds:datastoreItem>
</file>

<file path=customXml/itemProps3.xml><?xml version="1.0" encoding="utf-8"?>
<ds:datastoreItem xmlns:ds="http://schemas.openxmlformats.org/officeDocument/2006/customXml" ds:itemID="{FDB316E2-0B2B-4B16-A6D5-5EB74DC1D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80D48-57D9-4B22-B10A-6180CAB85656}">
  <ds:schemaRefs>
    <ds:schemaRef ds:uri="http://schemas.microsoft.com/office/2006/metadata/properties"/>
    <ds:schemaRef ds:uri="http://schemas.microsoft.com/office/infopath/2007/PartnerControls"/>
    <ds:schemaRef ds:uri="2afa1a33-c191-48ee-b288-192490d33fec"/>
    <ds:schemaRef ds:uri="25af2f0e-673d-4721-b64c-73e7c4e9e0c5"/>
  </ds:schemaRefs>
</ds:datastoreItem>
</file>

<file path=docProps/app.xml><?xml version="1.0" encoding="utf-8"?>
<Properties xmlns="http://schemas.openxmlformats.org/officeDocument/2006/extended-properties" xmlns:vt="http://schemas.openxmlformats.org/officeDocument/2006/docPropsVTypes">
  <Template>DocumentTemplate-Submission</Template>
  <TotalTime>169</TotalTime>
  <Pages>4</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Links>
    <vt:vector size="24" baseType="variant">
      <vt:variant>
        <vt:i4>4784136</vt:i4>
      </vt:variant>
      <vt:variant>
        <vt:i4>3</vt:i4>
      </vt:variant>
      <vt:variant>
        <vt:i4>0</vt:i4>
      </vt:variant>
      <vt:variant>
        <vt:i4>5</vt:i4>
      </vt:variant>
      <vt:variant>
        <vt:lpwstr>https://accan.org.au/about-us/reporting/reconcilitiation-action-plan</vt:lpwstr>
      </vt:variant>
      <vt:variant>
        <vt:lpwstr/>
      </vt:variant>
      <vt:variant>
        <vt:i4>6291528</vt:i4>
      </vt:variant>
      <vt:variant>
        <vt:i4>0</vt:i4>
      </vt:variant>
      <vt:variant>
        <vt:i4>0</vt:i4>
      </vt:variant>
      <vt:variant>
        <vt:i4>5</vt:i4>
      </vt:variant>
      <vt:variant>
        <vt:lpwstr>mailto:con.gouskos@accan.org.au</vt:lpwstr>
      </vt:variant>
      <vt:variant>
        <vt:lpwstr/>
      </vt:variant>
      <vt:variant>
        <vt:i4>2883637</vt:i4>
      </vt:variant>
      <vt:variant>
        <vt:i4>3</vt:i4>
      </vt:variant>
      <vt:variant>
        <vt:i4>0</vt:i4>
      </vt:variant>
      <vt:variant>
        <vt:i4>5</vt:i4>
      </vt:variant>
      <vt:variant>
        <vt:lpwstr>https://www.acma.gov.au/consultations/2023-05/proposed-approach-expiring-spectrum-licences</vt:lpwstr>
      </vt:variant>
      <vt:variant>
        <vt:lpwstr/>
      </vt:variant>
      <vt:variant>
        <vt:i4>2883637</vt:i4>
      </vt:variant>
      <vt:variant>
        <vt:i4>0</vt:i4>
      </vt:variant>
      <vt:variant>
        <vt:i4>0</vt:i4>
      </vt:variant>
      <vt:variant>
        <vt:i4>5</vt:i4>
      </vt:variant>
      <vt:variant>
        <vt:lpwstr>https://www.acma.gov.au/consultations/2023-05/proposed-approach-expiring-spectrum-licences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Gouskos</dc:creator>
  <cp:keywords/>
  <cp:lastModifiedBy>Richard Van Der Male</cp:lastModifiedBy>
  <cp:revision>392</cp:revision>
  <cp:lastPrinted>2022-04-01T20:13:00Z</cp:lastPrinted>
  <dcterms:created xsi:type="dcterms:W3CDTF">2023-07-23T14:18:00Z</dcterms:created>
  <dcterms:modified xsi:type="dcterms:W3CDTF">2023-08-09T22:30:00Z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0x0101008E1B8366B727E549B51F19B2B16DD61A</vt:lpwstr>
  </property>
  <property fmtid="{D5CDD505-2E9C-101B-9397-08002B2CF9AE}" pid="3" name="SharedWithUsers">
    <vt:lpwstr>16;#Rebekah Sarkoezy;#27;#Meredith Lea</vt:lpwstr>
  </property>
  <property fmtid="{D5CDD505-2E9C-101B-9397-08002B2CF9AE}" pid="4" name="MediaServiceImageTags">
    <vt:lpwstr/>
  </property>
</Properties>
</file>