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D3658" w:rsidP="00E763F3" w:rsidRDefault="00F93FFC" w14:paraId="6C30E099" w14:textId="38AEF5B2">
      <w:pPr>
        <w:pStyle w:val="Letterhead1"/>
      </w:pPr>
      <w:bookmarkStart w:name="_Hlk95835868" w:id="0"/>
      <w:r>
        <w:rPr>
          <w:noProof/>
        </w:rPr>
        <w:drawing>
          <wp:anchor distT="0" distB="0" distL="114300" distR="114300" simplePos="0" relativeHeight="251658244" behindDoc="0" locked="0" layoutInCell="1" allowOverlap="1" wp14:anchorId="0ED50705" wp14:editId="1D7B0C75">
            <wp:simplePos x="0" y="0"/>
            <wp:positionH relativeFrom="column">
              <wp:posOffset>4862193</wp:posOffset>
            </wp:positionH>
            <wp:positionV relativeFrom="page">
              <wp:posOffset>563883</wp:posOffset>
            </wp:positionV>
            <wp:extent cx="191767" cy="191767"/>
            <wp:effectExtent l="0" t="0" r="0" b="0"/>
            <wp:wrapSquare wrapText="bothSides"/>
            <wp:docPr id="1847242633" name="Picture 1847242633" descr="Twitter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5" behindDoc="0" locked="0" layoutInCell="1" allowOverlap="1" wp14:anchorId="14999C7A" wp14:editId="6414C218">
            <wp:simplePos x="0" y="0"/>
            <wp:positionH relativeFrom="column">
              <wp:posOffset>5092065</wp:posOffset>
            </wp:positionH>
            <wp:positionV relativeFrom="page">
              <wp:posOffset>560070</wp:posOffset>
            </wp:positionV>
            <wp:extent cx="191767" cy="191767"/>
            <wp:effectExtent l="0" t="0" r="0" b="0"/>
            <wp:wrapSquare wrapText="bothSides"/>
            <wp:docPr id="1160405685" name="Picture 1160405685" descr="Facebook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6" behindDoc="0" locked="0" layoutInCell="1" allowOverlap="1" wp14:anchorId="0B670164" wp14:editId="09AD17AC">
            <wp:simplePos x="0" y="0"/>
            <wp:positionH relativeFrom="column">
              <wp:posOffset>5326379</wp:posOffset>
            </wp:positionH>
            <wp:positionV relativeFrom="page">
              <wp:posOffset>560070</wp:posOffset>
            </wp:positionV>
            <wp:extent cx="191767" cy="191767"/>
            <wp:effectExtent l="0" t="0" r="0" b="0"/>
            <wp:wrapSquare wrapText="bothSides"/>
            <wp:docPr id="228241313" name="Picture 228241313" descr="Linked in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3" behindDoc="0" locked="0" layoutInCell="1" allowOverlap="1" wp14:anchorId="5071D9C1" wp14:editId="3ABBAAC3">
            <wp:simplePos x="0" y="0"/>
            <wp:positionH relativeFrom="column">
              <wp:posOffset>5546722</wp:posOffset>
            </wp:positionH>
            <wp:positionV relativeFrom="page">
              <wp:posOffset>560070</wp:posOffset>
            </wp:positionV>
            <wp:extent cx="191767" cy="191767"/>
            <wp:effectExtent l="0" t="0" r="0" b="0"/>
            <wp:wrapSquare wrapText="bothSides"/>
            <wp:docPr id="1701274981" name="Picture 1701274981" descr="Instagram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4C92D906" wp14:editId="389CA162">
            <wp:simplePos x="0" y="0"/>
            <wp:positionH relativeFrom="column">
              <wp:posOffset>4443</wp:posOffset>
            </wp:positionH>
            <wp:positionV relativeFrom="page">
              <wp:posOffset>421008</wp:posOffset>
            </wp:positionV>
            <wp:extent cx="2035811" cy="880110"/>
            <wp:effectExtent l="0" t="0" r="2539" b="0"/>
            <wp:wrapSquare wrapText="bothSides"/>
            <wp:docPr id="1033561195" name="Picture 1033561195"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035811" cy="880110"/>
                    </a:xfrm>
                    <a:prstGeom prst="rect">
                      <a:avLst/>
                    </a:prstGeom>
                    <a:noFill/>
                    <a:ln>
                      <a:noFill/>
                      <a:prstDash/>
                    </a:ln>
                  </pic:spPr>
                </pic:pic>
              </a:graphicData>
            </a:graphic>
          </wp:anchor>
        </w:drawing>
      </w:r>
      <w:r>
        <w:t>www.accan.org.au</w:t>
      </w:r>
    </w:p>
    <w:p w:rsidR="008D3658" w:rsidP="00E763F3" w:rsidRDefault="00F93FFC" w14:paraId="2A254D1D" w14:textId="77777777">
      <w:pPr>
        <w:pStyle w:val="Letterhead1"/>
      </w:pPr>
      <w:r>
        <w:t>info@accan.org.au</w:t>
      </w:r>
    </w:p>
    <w:p w:rsidR="008D3658" w:rsidP="00E763F3" w:rsidRDefault="00F93FFC" w14:paraId="740C0B01" w14:textId="77777777">
      <w:pPr>
        <w:pStyle w:val="Letterhead1"/>
      </w:pPr>
      <w:r>
        <w:t>02 9288 4000</w:t>
      </w:r>
    </w:p>
    <w:p w:rsidR="008D3658" w:rsidP="00E763F3" w:rsidRDefault="00F93FFC" w14:paraId="797C8408" w14:textId="77777777">
      <w:pPr>
        <w:tabs>
          <w:tab w:val="left" w:pos="3855"/>
        </w:tabs>
      </w:pPr>
      <w:r>
        <w:rPr>
          <w:noProof/>
        </w:rPr>
        <mc:AlternateContent>
          <mc:Choice Requires="wps">
            <w:drawing>
              <wp:anchor distT="0" distB="0" distL="114300" distR="114300" simplePos="0" relativeHeight="251658241" behindDoc="1" locked="0" layoutInCell="1" allowOverlap="1" wp14:anchorId="33F39609" wp14:editId="22CFADF7">
                <wp:simplePos x="0" y="0"/>
                <wp:positionH relativeFrom="column">
                  <wp:posOffset>-627378</wp:posOffset>
                </wp:positionH>
                <wp:positionV relativeFrom="page">
                  <wp:posOffset>1675573</wp:posOffset>
                </wp:positionV>
                <wp:extent cx="6892290" cy="45089"/>
                <wp:effectExtent l="0" t="0" r="3810" b="0"/>
                <wp:wrapNone/>
                <wp:docPr id="454898449" name="Rectangle 454898449"/>
                <wp:cNvGraphicFramePr/>
                <a:graphic xmlns:a="http://schemas.openxmlformats.org/drawingml/2006/main">
                  <a:graphicData uri="http://schemas.microsoft.com/office/word/2010/wordprocessingShape">
                    <wps:wsp>
                      <wps:cNvSpPr/>
                      <wps:spPr>
                        <a:xfrm>
                          <a:off x="0" y="0"/>
                          <a:ext cx="6892290" cy="45089"/>
                        </a:xfrm>
                        <a:prstGeom prst="rect">
                          <a:avLst/>
                        </a:prstGeom>
                        <a:solidFill>
                          <a:srgbClr val="43C7F4"/>
                        </a:solidFill>
                        <a:ln cap="flat">
                          <a:noFill/>
                          <a:prstDash val="solid"/>
                        </a:ln>
                      </wps:spPr>
                      <wps:bodyPr lIns="0" tIns="0" rIns="0" bIns="0"/>
                    </wps:wsp>
                  </a:graphicData>
                </a:graphic>
              </wp:anchor>
            </w:drawing>
          </mc:Choice>
          <mc:Fallback xmlns:w16du="http://schemas.microsoft.com/office/word/2023/wordml/word16du" xmlns:arto="http://schemas.microsoft.com/office/word/2006/arto" xmlns:pic="http://schemas.openxmlformats.org/drawingml/2006/picture" xmlns:a="http://schemas.openxmlformats.org/drawingml/2006/main">
            <w:pict w14:anchorId="7E003406">
              <v:rect id="Rectangle 454898449" style="position:absolute;margin-left:-49.4pt;margin-top:131.95pt;width:542.7pt;height:3.55pt;z-index:-251658239;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32D48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">
                <v:textbox inset="0,0,0,0"/>
                <w10:wrap anchory="page"/>
              </v:rect>
            </w:pict>
          </mc:Fallback>
        </mc:AlternateContent>
      </w:r>
    </w:p>
    <w:p w:rsidR="008D3658" w:rsidP="00E763F3" w:rsidRDefault="00F93FFC" w14:paraId="38E21DD2" w14:textId="77777777">
      <w:pPr>
        <w:tabs>
          <w:tab w:val="left" w:pos="3855"/>
        </w:tabs>
      </w:pPr>
      <w:r>
        <w:rPr>
          <w:noProof/>
        </w:rPr>
        <mc:AlternateContent>
          <mc:Choice Requires="wps">
            <w:drawing>
              <wp:anchor distT="0" distB="0" distL="114300" distR="114300" simplePos="0" relativeHeight="251658240" behindDoc="1" locked="0" layoutInCell="1" allowOverlap="1" wp14:anchorId="14519647" wp14:editId="18FEE874">
                <wp:simplePos x="0" y="0"/>
                <wp:positionH relativeFrom="column">
                  <wp:posOffset>-627378</wp:posOffset>
                </wp:positionH>
                <wp:positionV relativeFrom="page">
                  <wp:posOffset>1675573</wp:posOffset>
                </wp:positionV>
                <wp:extent cx="6892290" cy="45089"/>
                <wp:effectExtent l="0" t="0" r="3810" b="0"/>
                <wp:wrapNone/>
                <wp:docPr id="2142345301" name="Rectangle 2142345301"/>
                <wp:cNvGraphicFramePr/>
                <a:graphic xmlns:a="http://schemas.openxmlformats.org/drawingml/2006/main">
                  <a:graphicData uri="http://schemas.microsoft.com/office/word/2010/wordprocessingShape">
                    <wps:wsp>
                      <wps:cNvSpPr/>
                      <wps:spPr>
                        <a:xfrm>
                          <a:off x="0" y="0"/>
                          <a:ext cx="6892290" cy="45089"/>
                        </a:xfrm>
                        <a:prstGeom prst="rect">
                          <a:avLst/>
                        </a:prstGeom>
                        <a:solidFill>
                          <a:srgbClr val="43C7F4"/>
                        </a:solidFill>
                        <a:ln cap="flat">
                          <a:noFill/>
                          <a:prstDash val="solid"/>
                        </a:ln>
                      </wps:spPr>
                      <wps:bodyPr lIns="0" tIns="0" rIns="0" bIns="0"/>
                    </wps:wsp>
                  </a:graphicData>
                </a:graphic>
              </wp:anchor>
            </w:drawing>
          </mc:Choice>
          <mc:Fallback xmlns:w16du="http://schemas.microsoft.com/office/word/2023/wordml/word16du" xmlns:arto="http://schemas.microsoft.com/office/word/2006/arto" xmlns:pic="http://schemas.openxmlformats.org/drawingml/2006/picture" xmlns:a="http://schemas.openxmlformats.org/drawingml/2006/main">
            <w:pict w14:anchorId="68619AC3">
              <v:rect id="Rectangle 2142345301" style="position:absolute;margin-left:-49.4pt;margin-top:131.95pt;width:542.7pt;height:3.55pt;z-index:-251658240;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05DC9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">
                <v:textbox inset="0,0,0,0"/>
                <w10:wrap anchory="page"/>
              </v:rect>
            </w:pict>
          </mc:Fallback>
        </mc:AlternateContent>
      </w:r>
    </w:p>
    <w:p w:rsidRPr="00685E4B" w:rsidR="00685E4B" w:rsidP="00685E4B" w:rsidRDefault="00685E4B" w14:paraId="2F8CFF9D" w14:textId="487999FB">
      <w:pPr>
        <w:tabs>
          <w:tab w:val="right" w:pos="9026"/>
        </w:tabs>
        <w:rPr>
          <w:rFonts w:ascii="Verdana" w:hAnsi="Verdana"/>
          <w:b/>
          <w:bCs/>
          <w14:textOutline w14:w="1270" w14:cap="rnd" w14:cmpd="sng" w14:algn="ctr">
            <w14:solidFill>
              <w14:srgbClr w14:val="000000"/>
            </w14:solidFill>
            <w14:prstDash w14:val="solid"/>
            <w14:bevel/>
          </w14:textOutline>
        </w:rPr>
      </w:pPr>
      <w:r w:rsidRPr="00685E4B">
        <w:rPr>
          <w:rFonts w:ascii="Verdana" w:hAnsi="Verdana"/>
          <w:b/>
          <w:color w:val="43C7F4"/>
          <w:sz w:val="32"/>
          <w:szCs w:val="36"/>
          <w14:textOutline w14:w="3175" w14:cap="rnd" w14:cmpd="sng" w14:algn="ctr">
            <w14:solidFill>
              <w14:srgbClr w14:val="43C7F4"/>
            </w14:solidFill>
            <w14:prstDash w14:val="solid"/>
            <w14:bevel/>
          </w14:textOutline>
        </w:rPr>
        <w:t>Submission</w:t>
      </w:r>
      <w:r w:rsidRPr="00685E4B">
        <w:rPr>
          <w:rFonts w:ascii="Gotham Black" w:hAnsi="Gotham Black"/>
          <w:color w:val="44C7F4"/>
          <w:sz w:val="36"/>
          <w:szCs w:val="36"/>
        </w:rPr>
        <w:tab/>
      </w:r>
      <w:r w:rsidRPr="00685E4B">
        <w:rPr>
          <w:rFonts w:ascii="Verdana" w:hAnsi="Verdana"/>
          <w:b/>
          <w:bCs/>
          <w14:textOutline w14:w="1270" w14:cap="rnd" w14:cmpd="sng" w14:algn="ctr">
            <w14:solidFill>
              <w14:srgbClr w14:val="000000"/>
            </w14:solidFill>
            <w14:prstDash w14:val="solid"/>
            <w14:bevel/>
          </w14:textOutline>
        </w:rPr>
        <w:t>2</w:t>
      </w:r>
      <w:r>
        <w:rPr>
          <w:rFonts w:ascii="Verdana" w:hAnsi="Verdana"/>
          <w:b/>
          <w:bCs/>
          <w14:textOutline w14:w="1270" w14:cap="rnd" w14:cmpd="sng" w14:algn="ctr">
            <w14:solidFill>
              <w14:srgbClr w14:val="000000"/>
            </w14:solidFill>
            <w14:prstDash w14:val="solid"/>
            <w14:bevel/>
          </w14:textOutline>
        </w:rPr>
        <w:t>5</w:t>
      </w:r>
      <w:r w:rsidRPr="00685E4B">
        <w:rPr>
          <w:rFonts w:ascii="Verdana" w:hAnsi="Verdana"/>
          <w:b/>
          <w:bCs/>
          <w14:textOutline w14:w="1270" w14:cap="rnd" w14:cmpd="sng" w14:algn="ctr">
            <w14:solidFill>
              <w14:srgbClr w14:val="000000"/>
            </w14:solidFill>
            <w14:prstDash w14:val="solid"/>
            <w14:bevel/>
          </w14:textOutline>
        </w:rPr>
        <w:t xml:space="preserve"> </w:t>
      </w:r>
      <w:r>
        <w:rPr>
          <w:rFonts w:ascii="Verdana" w:hAnsi="Verdana"/>
          <w:b/>
          <w:bCs/>
          <w14:textOutline w14:w="1270" w14:cap="rnd" w14:cmpd="sng" w14:algn="ctr">
            <w14:solidFill>
              <w14:srgbClr w14:val="000000"/>
            </w14:solidFill>
            <w14:prstDash w14:val="solid"/>
            <w14:bevel/>
          </w14:textOutline>
        </w:rPr>
        <w:t>January</w:t>
      </w:r>
      <w:r w:rsidRPr="00685E4B">
        <w:rPr>
          <w:rFonts w:ascii="Verdana" w:hAnsi="Verdana"/>
          <w:b/>
          <w:bCs/>
          <w14:textOutline w14:w="1270" w14:cap="rnd" w14:cmpd="sng" w14:algn="ctr">
            <w14:solidFill>
              <w14:srgbClr w14:val="000000"/>
            </w14:solidFill>
            <w14:prstDash w14:val="solid"/>
            <w14:bevel/>
          </w14:textOutline>
        </w:rPr>
        <w:t xml:space="preserve"> 202</w:t>
      </w:r>
      <w:r>
        <w:rPr>
          <w:rFonts w:ascii="Verdana" w:hAnsi="Verdana"/>
          <w:b/>
          <w:bCs/>
          <w14:textOutline w14:w="1270" w14:cap="rnd" w14:cmpd="sng" w14:algn="ctr">
            <w14:solidFill>
              <w14:srgbClr w14:val="000000"/>
            </w14:solidFill>
            <w14:prstDash w14:val="solid"/>
            <w14:bevel/>
          </w14:textOutline>
        </w:rPr>
        <w:t>4</w:t>
      </w:r>
    </w:p>
    <w:bookmarkEnd w:id="0"/>
    <w:p w:rsidR="008D3658" w:rsidP="00E763F3" w:rsidRDefault="008D3658" w14:paraId="0CD8BC74" w14:textId="77777777"/>
    <w:p w:rsidRPr="00F72ED0" w:rsidR="008D3658" w:rsidP="00E763F3" w:rsidRDefault="00707D58" w14:paraId="71C255B3" w14:textId="74BAAC31">
      <w:pPr>
        <w:jc w:val="center"/>
        <w:rPr>
          <w:sz w:val="48"/>
          <w:szCs w:val="48"/>
        </w:rPr>
      </w:pPr>
      <w:r w:rsidRPr="00F72ED0">
        <w:rPr>
          <w:sz w:val="48"/>
          <w:szCs w:val="48"/>
        </w:rPr>
        <w:t xml:space="preserve">Pre-Budget </w:t>
      </w:r>
      <w:r w:rsidRPr="00F72ED0" w:rsidR="000774AD">
        <w:rPr>
          <w:sz w:val="48"/>
          <w:szCs w:val="48"/>
        </w:rPr>
        <w:t xml:space="preserve">Submission </w:t>
      </w:r>
      <w:r w:rsidRPr="00F72ED0">
        <w:rPr>
          <w:sz w:val="48"/>
          <w:szCs w:val="48"/>
        </w:rPr>
        <w:t>2024-2025</w:t>
      </w:r>
    </w:p>
    <w:p w:rsidRPr="00F72ED0" w:rsidR="008D3658" w:rsidP="00E763F3" w:rsidRDefault="00F93FFC" w14:paraId="475EB0A2" w14:textId="73966ECE">
      <w:pPr>
        <w:jc w:val="center"/>
        <w:rPr>
          <w:sz w:val="32"/>
          <w:szCs w:val="32"/>
        </w:rPr>
      </w:pPr>
      <w:bookmarkStart w:name="_Toc99975355" w:id="1"/>
      <w:bookmarkStart w:name="_Toc99975401" w:id="2"/>
      <w:bookmarkStart w:name="_Toc99975438" w:id="3"/>
      <w:bookmarkStart w:name="_Toc99975451" w:id="4"/>
      <w:bookmarkStart w:name="_Toc99975568" w:id="5"/>
      <w:r w:rsidRPr="00F72ED0">
        <w:rPr>
          <w:sz w:val="32"/>
          <w:szCs w:val="32"/>
        </w:rPr>
        <w:t xml:space="preserve">Submission by the Australian Communications Consumer Action Network (ACCAN) to </w:t>
      </w:r>
      <w:bookmarkEnd w:id="1"/>
      <w:bookmarkEnd w:id="2"/>
      <w:bookmarkEnd w:id="3"/>
      <w:bookmarkEnd w:id="4"/>
      <w:bookmarkEnd w:id="5"/>
      <w:r w:rsidRPr="00F72ED0" w:rsidR="00E41DC5">
        <w:rPr>
          <w:sz w:val="32"/>
          <w:szCs w:val="32"/>
        </w:rPr>
        <w:t>the Australian Treasury</w:t>
      </w:r>
    </w:p>
    <w:p w:rsidR="008D3658" w:rsidP="00E763F3" w:rsidRDefault="008D3658" w14:paraId="16AB1364" w14:textId="77777777">
      <w:pPr>
        <w:rPr>
          <w:lang w:val="en-US" w:eastAsia="en-US"/>
        </w:rPr>
      </w:pPr>
    </w:p>
    <w:p w:rsidR="008D3658" w:rsidP="00E763F3" w:rsidRDefault="008D3658" w14:paraId="3C13A351" w14:textId="7CCCEAD7">
      <w:pPr>
        <w:pageBreakBefore/>
      </w:pPr>
    </w:p>
    <w:p w:rsidR="008D3658" w:rsidP="00E763F3" w:rsidRDefault="00F93FFC" w14:paraId="586D38E9" w14:textId="77777777">
      <w:pPr>
        <w:spacing w:before="100" w:after="100" w:line="240" w:lineRule="auto"/>
        <w:rPr>
          <w:b/>
        </w:rPr>
      </w:pPr>
      <w:r>
        <w:rPr>
          <w:b/>
        </w:rPr>
        <w:t xml:space="preserve">About ACCAN </w:t>
      </w:r>
    </w:p>
    <w:p w:rsidR="008D3658" w:rsidP="00E763F3" w:rsidRDefault="00F93FFC" w14:paraId="712D1E5B" w14:textId="77777777">
      <w: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rsidR="008D3658" w:rsidP="00E763F3" w:rsidRDefault="00F93FFC" w14:paraId="6AF26F7C" w14:textId="77777777">
      <w: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8D3658" w:rsidP="00E763F3" w:rsidRDefault="00F93FFC" w14:paraId="71ABCD92" w14:textId="77777777">
      <w:pPr>
        <w:spacing w:before="100" w:after="100" w:line="240" w:lineRule="auto"/>
        <w:rPr>
          <w:b/>
        </w:rPr>
      </w:pPr>
      <w:r>
        <w:rPr>
          <w:b/>
        </w:rPr>
        <w:t>Contact</w:t>
      </w:r>
    </w:p>
    <w:p w:rsidR="008D3658" w:rsidP="00E763F3" w:rsidRDefault="00F93FFC" w14:paraId="2E1CC5FF" w14:textId="77777777">
      <w:r>
        <w:t>PO Box A1158</w:t>
      </w:r>
      <w:r>
        <w:br/>
      </w:r>
      <w:r>
        <w:t>Sydney South NSW 1235</w:t>
      </w:r>
      <w:r>
        <w:br/>
      </w:r>
      <w:r>
        <w:t xml:space="preserve">Email: </w:t>
      </w:r>
      <w:hyperlink w:history="1" r:id="rId16">
        <w:r>
          <w:rPr>
            <w:color w:val="0000FF"/>
            <w:u w:val="single"/>
          </w:rPr>
          <w:t>info@accan.org.au</w:t>
        </w:r>
      </w:hyperlink>
      <w:r>
        <w:rPr>
          <w:color w:val="0000FF"/>
          <w:u w:val="single"/>
        </w:rPr>
        <w:br/>
      </w:r>
      <w:r>
        <w:t>Phone: (02) 9288 4000</w:t>
      </w:r>
      <w:r>
        <w:br/>
      </w:r>
      <w:r>
        <w:t xml:space="preserve">Contact us through the </w:t>
      </w:r>
      <w:hyperlink w:history="1" r:id="rId17">
        <w:r>
          <w:rPr>
            <w:color w:val="0000FF"/>
            <w:u w:val="single"/>
          </w:rPr>
          <w:t>National Relay Service</w:t>
        </w:r>
      </w:hyperlink>
    </w:p>
    <w:p w:rsidR="008D3658" w:rsidP="00E763F3" w:rsidRDefault="008D3658" w14:paraId="2A984BCD" w14:textId="77777777">
      <w:pPr>
        <w:pageBreakBefore/>
      </w:pPr>
    </w:p>
    <w:p w:rsidR="008D3658" w:rsidP="00E763F3" w:rsidRDefault="00F93FFC" w14:paraId="2FA0B357" w14:textId="77777777">
      <w:r>
        <w:rPr>
          <w:rStyle w:val="TitleChar"/>
        </w:rPr>
        <w:t>Contents</w:t>
      </w:r>
    </w:p>
    <w:p w:rsidR="00CE0EC5" w:rsidP="00481549" w:rsidRDefault="00F93FFC" w14:paraId="1C4DDEAF" w14:textId="3B254253">
      <w:pPr>
        <w:pStyle w:val="TOC1"/>
        <w:rPr>
          <w:rFonts w:asciiTheme="minorHAnsi" w:hAnsiTheme="minorHAnsi" w:eastAsiaTheme="minorEastAsia" w:cstheme="minorBidi"/>
          <w:noProof/>
          <w:kern w:val="2"/>
          <w:sz w:val="24"/>
          <w:szCs w:val="24"/>
          <w:lang w:val="en-US" w:eastAsia="en-US"/>
          <w14:ligatures w14:val="standardContextual"/>
        </w:rPr>
      </w:pPr>
      <w:r>
        <w:rPr>
          <w:rFonts w:cs="Calibri"/>
          <w:sz w:val="48"/>
          <w:szCs w:val="48"/>
          <w:lang w:val="en-US"/>
        </w:rPr>
        <w:fldChar w:fldCharType="begin"/>
      </w:r>
      <w:r>
        <w:instrText xml:space="preserve"> TOC \o "1-1" \u \h </w:instrText>
      </w:r>
      <w:r>
        <w:rPr>
          <w:rFonts w:cs="Calibri"/>
          <w:sz w:val="48"/>
          <w:szCs w:val="48"/>
          <w:lang w:val="en-US"/>
        </w:rPr>
        <w:fldChar w:fldCharType="separate"/>
      </w:r>
      <w:hyperlink w:history="1" w:anchor="_Toc157422867">
        <w:r w:rsidRPr="0037526F" w:rsidR="00CE0EC5">
          <w:rPr>
            <w:rStyle w:val="Hyperlink"/>
            <w:noProof/>
          </w:rPr>
          <w:t>Introduction</w:t>
        </w:r>
        <w:r w:rsidR="00CE0EC5">
          <w:rPr>
            <w:noProof/>
          </w:rPr>
          <w:tab/>
        </w:r>
        <w:r w:rsidR="00CE0EC5">
          <w:rPr>
            <w:noProof/>
          </w:rPr>
          <w:fldChar w:fldCharType="begin"/>
        </w:r>
        <w:r w:rsidR="00CE0EC5">
          <w:rPr>
            <w:noProof/>
          </w:rPr>
          <w:instrText xml:space="preserve"> PAGEREF _Toc157422867 \h </w:instrText>
        </w:r>
        <w:r w:rsidR="00CE0EC5">
          <w:rPr>
            <w:noProof/>
          </w:rPr>
        </w:r>
        <w:r w:rsidR="00CE0EC5">
          <w:rPr>
            <w:noProof/>
          </w:rPr>
          <w:fldChar w:fldCharType="separate"/>
        </w:r>
        <w:r w:rsidR="00024827">
          <w:rPr>
            <w:noProof/>
          </w:rPr>
          <w:t>4</w:t>
        </w:r>
        <w:r w:rsidR="00CE0EC5">
          <w:rPr>
            <w:noProof/>
          </w:rPr>
          <w:fldChar w:fldCharType="end"/>
        </w:r>
      </w:hyperlink>
    </w:p>
    <w:p w:rsidR="00CE0EC5" w:rsidP="00481549" w:rsidRDefault="00000000" w14:paraId="7264991E" w14:textId="36DBD61A">
      <w:pPr>
        <w:pStyle w:val="TOC1"/>
        <w:rPr>
          <w:rFonts w:asciiTheme="minorHAnsi" w:hAnsiTheme="minorHAnsi" w:eastAsiaTheme="minorEastAsia" w:cstheme="minorBidi"/>
          <w:noProof/>
          <w:kern w:val="2"/>
          <w:sz w:val="24"/>
          <w:szCs w:val="24"/>
          <w:lang w:val="en-US" w:eastAsia="en-US"/>
          <w14:ligatures w14:val="standardContextual"/>
        </w:rPr>
      </w:pPr>
      <w:hyperlink w:history="1" w:anchor="_Toc157422868">
        <w:r w:rsidRPr="0037526F" w:rsidR="00CE0EC5">
          <w:rPr>
            <w:rStyle w:val="Hyperlink"/>
            <w:noProof/>
            <w:lang w:eastAsia="en-US"/>
          </w:rPr>
          <w:t>List of Recommendations</w:t>
        </w:r>
        <w:r w:rsidR="00CE0EC5">
          <w:rPr>
            <w:noProof/>
          </w:rPr>
          <w:tab/>
        </w:r>
        <w:r w:rsidR="00CE0EC5">
          <w:rPr>
            <w:noProof/>
          </w:rPr>
          <w:fldChar w:fldCharType="begin"/>
        </w:r>
        <w:r w:rsidR="00CE0EC5">
          <w:rPr>
            <w:noProof/>
          </w:rPr>
          <w:instrText xml:space="preserve"> PAGEREF _Toc157422868 \h </w:instrText>
        </w:r>
        <w:r w:rsidR="00CE0EC5">
          <w:rPr>
            <w:noProof/>
          </w:rPr>
        </w:r>
        <w:r w:rsidR="00CE0EC5">
          <w:rPr>
            <w:noProof/>
          </w:rPr>
          <w:fldChar w:fldCharType="separate"/>
        </w:r>
        <w:r w:rsidR="00024827">
          <w:rPr>
            <w:noProof/>
          </w:rPr>
          <w:t>5</w:t>
        </w:r>
        <w:r w:rsidR="00CE0EC5">
          <w:rPr>
            <w:noProof/>
          </w:rPr>
          <w:fldChar w:fldCharType="end"/>
        </w:r>
      </w:hyperlink>
    </w:p>
    <w:p w:rsidR="00CE0EC5" w:rsidP="00481549" w:rsidRDefault="00000000" w14:paraId="185300EC" w14:textId="75C14F75">
      <w:pPr>
        <w:pStyle w:val="TOC1"/>
        <w:rPr>
          <w:rFonts w:asciiTheme="minorHAnsi" w:hAnsiTheme="minorHAnsi" w:eastAsiaTheme="minorEastAsia" w:cstheme="minorBidi"/>
          <w:noProof/>
          <w:kern w:val="2"/>
          <w:sz w:val="24"/>
          <w:szCs w:val="24"/>
          <w:lang w:val="en-US" w:eastAsia="en-US"/>
          <w14:ligatures w14:val="standardContextual"/>
        </w:rPr>
      </w:pPr>
      <w:hyperlink w:history="1" w:anchor="_Toc157422869">
        <w:r w:rsidRPr="0037526F" w:rsidR="00CE0EC5">
          <w:rPr>
            <w:rStyle w:val="Hyperlink"/>
            <w:noProof/>
            <w:lang w:val="en-US" w:eastAsia="en-US"/>
          </w:rPr>
          <w:t>Telecommunications Affordability and Digital Inclusion</w:t>
        </w:r>
        <w:r w:rsidR="00CE0EC5">
          <w:rPr>
            <w:noProof/>
          </w:rPr>
          <w:tab/>
        </w:r>
        <w:r w:rsidR="00CE0EC5">
          <w:rPr>
            <w:noProof/>
          </w:rPr>
          <w:fldChar w:fldCharType="begin"/>
        </w:r>
        <w:r w:rsidR="00CE0EC5">
          <w:rPr>
            <w:noProof/>
          </w:rPr>
          <w:instrText xml:space="preserve"> PAGEREF _Toc157422869 \h </w:instrText>
        </w:r>
        <w:r w:rsidR="00CE0EC5">
          <w:rPr>
            <w:noProof/>
          </w:rPr>
        </w:r>
        <w:r w:rsidR="00CE0EC5">
          <w:rPr>
            <w:noProof/>
          </w:rPr>
          <w:fldChar w:fldCharType="separate"/>
        </w:r>
        <w:r w:rsidR="00024827">
          <w:rPr>
            <w:noProof/>
          </w:rPr>
          <w:t>8</w:t>
        </w:r>
        <w:r w:rsidR="00CE0EC5">
          <w:rPr>
            <w:noProof/>
          </w:rPr>
          <w:fldChar w:fldCharType="end"/>
        </w:r>
      </w:hyperlink>
    </w:p>
    <w:p w:rsidR="00CE0EC5" w:rsidP="00481549" w:rsidRDefault="00000000" w14:paraId="43571C4D" w14:textId="17DA5F56">
      <w:pPr>
        <w:pStyle w:val="TOC1"/>
        <w:rPr>
          <w:rFonts w:asciiTheme="minorHAnsi" w:hAnsiTheme="minorHAnsi" w:eastAsiaTheme="minorEastAsia" w:cstheme="minorBidi"/>
          <w:noProof/>
          <w:kern w:val="2"/>
          <w:sz w:val="24"/>
          <w:szCs w:val="24"/>
          <w:lang w:val="en-US" w:eastAsia="en-US"/>
          <w14:ligatures w14:val="standardContextual"/>
        </w:rPr>
      </w:pPr>
      <w:hyperlink w:history="1" w:anchor="_Toc157422870">
        <w:r w:rsidRPr="0037526F" w:rsidR="00CE0EC5">
          <w:rPr>
            <w:rStyle w:val="Hyperlink"/>
            <w:noProof/>
            <w:lang w:val="en-US" w:eastAsia="en-US"/>
          </w:rPr>
          <w:t>Reliable, Resilient and Robust Infrastructure</w:t>
        </w:r>
        <w:r w:rsidR="00CE0EC5">
          <w:rPr>
            <w:noProof/>
          </w:rPr>
          <w:tab/>
        </w:r>
        <w:r w:rsidR="00CE0EC5">
          <w:rPr>
            <w:noProof/>
          </w:rPr>
          <w:fldChar w:fldCharType="begin"/>
        </w:r>
        <w:r w:rsidR="00CE0EC5">
          <w:rPr>
            <w:noProof/>
          </w:rPr>
          <w:instrText xml:space="preserve"> PAGEREF _Toc157422870 \h </w:instrText>
        </w:r>
        <w:r w:rsidR="00CE0EC5">
          <w:rPr>
            <w:noProof/>
          </w:rPr>
        </w:r>
        <w:r w:rsidR="00CE0EC5">
          <w:rPr>
            <w:noProof/>
          </w:rPr>
          <w:fldChar w:fldCharType="separate"/>
        </w:r>
        <w:r w:rsidR="00024827">
          <w:rPr>
            <w:noProof/>
          </w:rPr>
          <w:t>17</w:t>
        </w:r>
        <w:r w:rsidR="00CE0EC5">
          <w:rPr>
            <w:noProof/>
          </w:rPr>
          <w:fldChar w:fldCharType="end"/>
        </w:r>
      </w:hyperlink>
    </w:p>
    <w:p w:rsidR="00CE0EC5" w:rsidP="00481549" w:rsidRDefault="00000000" w14:paraId="7FE58325" w14:textId="171DEDAD">
      <w:pPr>
        <w:pStyle w:val="TOC1"/>
        <w:rPr>
          <w:rFonts w:asciiTheme="minorHAnsi" w:hAnsiTheme="minorHAnsi" w:eastAsiaTheme="minorEastAsia" w:cstheme="minorBidi"/>
          <w:noProof/>
          <w:kern w:val="2"/>
          <w:sz w:val="24"/>
          <w:szCs w:val="24"/>
          <w:lang w:val="en-US" w:eastAsia="en-US"/>
          <w14:ligatures w14:val="standardContextual"/>
        </w:rPr>
      </w:pPr>
      <w:hyperlink w:history="1" w:anchor="_Toc157422871">
        <w:r w:rsidRPr="0037526F" w:rsidR="00CE0EC5">
          <w:rPr>
            <w:rStyle w:val="Hyperlink"/>
            <w:noProof/>
            <w:lang w:val="en-US" w:eastAsia="en-US"/>
          </w:rPr>
          <w:t>Growing Consumer Confidence</w:t>
        </w:r>
        <w:r w:rsidR="00CE0EC5">
          <w:rPr>
            <w:noProof/>
          </w:rPr>
          <w:tab/>
        </w:r>
        <w:r w:rsidR="00CE0EC5">
          <w:rPr>
            <w:noProof/>
          </w:rPr>
          <w:fldChar w:fldCharType="begin"/>
        </w:r>
        <w:r w:rsidR="00CE0EC5">
          <w:rPr>
            <w:noProof/>
          </w:rPr>
          <w:instrText xml:space="preserve"> PAGEREF _Toc157422871 \h </w:instrText>
        </w:r>
        <w:r w:rsidR="00CE0EC5">
          <w:rPr>
            <w:noProof/>
          </w:rPr>
        </w:r>
        <w:r w:rsidR="00CE0EC5">
          <w:rPr>
            <w:noProof/>
          </w:rPr>
          <w:fldChar w:fldCharType="separate"/>
        </w:r>
        <w:r w:rsidR="00024827">
          <w:rPr>
            <w:noProof/>
          </w:rPr>
          <w:t>23</w:t>
        </w:r>
        <w:r w:rsidR="00CE0EC5">
          <w:rPr>
            <w:noProof/>
          </w:rPr>
          <w:fldChar w:fldCharType="end"/>
        </w:r>
      </w:hyperlink>
    </w:p>
    <w:p w:rsidR="00CE0EC5" w:rsidP="00481549" w:rsidRDefault="00000000" w14:paraId="22E52618" w14:textId="48A3B0EE">
      <w:pPr>
        <w:pStyle w:val="TOC1"/>
        <w:rPr>
          <w:rFonts w:asciiTheme="minorHAnsi" w:hAnsiTheme="minorHAnsi" w:eastAsiaTheme="minorEastAsia" w:cstheme="minorBidi"/>
          <w:noProof/>
          <w:kern w:val="2"/>
          <w:sz w:val="24"/>
          <w:szCs w:val="24"/>
          <w:lang w:val="en-US" w:eastAsia="en-US"/>
          <w14:ligatures w14:val="standardContextual"/>
        </w:rPr>
      </w:pPr>
      <w:hyperlink w:history="1" w:anchor="_Toc157422872">
        <w:r w:rsidRPr="0037526F" w:rsidR="00CE0EC5">
          <w:rPr>
            <w:rStyle w:val="Hyperlink"/>
            <w:noProof/>
            <w:lang w:val="en-US" w:eastAsia="en-US"/>
          </w:rPr>
          <w:t>Improved Accessibility of Communications Services and Devices</w:t>
        </w:r>
        <w:r w:rsidR="00CE0EC5">
          <w:rPr>
            <w:noProof/>
          </w:rPr>
          <w:tab/>
        </w:r>
        <w:r w:rsidR="00CE0EC5">
          <w:rPr>
            <w:noProof/>
          </w:rPr>
          <w:fldChar w:fldCharType="begin"/>
        </w:r>
        <w:r w:rsidR="00CE0EC5">
          <w:rPr>
            <w:noProof/>
          </w:rPr>
          <w:instrText xml:space="preserve"> PAGEREF _Toc157422872 \h </w:instrText>
        </w:r>
        <w:r w:rsidR="00CE0EC5">
          <w:rPr>
            <w:noProof/>
          </w:rPr>
        </w:r>
        <w:r w:rsidR="00CE0EC5">
          <w:rPr>
            <w:noProof/>
          </w:rPr>
          <w:fldChar w:fldCharType="separate"/>
        </w:r>
        <w:r w:rsidR="00024827">
          <w:rPr>
            <w:noProof/>
          </w:rPr>
          <w:t>24</w:t>
        </w:r>
        <w:r w:rsidR="00CE0EC5">
          <w:rPr>
            <w:noProof/>
          </w:rPr>
          <w:fldChar w:fldCharType="end"/>
        </w:r>
      </w:hyperlink>
    </w:p>
    <w:p w:rsidR="008D3658" w:rsidP="00E763F3" w:rsidRDefault="00F93FFC" w14:paraId="2EEC8A93" w14:textId="78ACCB87">
      <w:pPr>
        <w:tabs>
          <w:tab w:val="right" w:leader="dot" w:pos="9016"/>
        </w:tabs>
      </w:pPr>
      <w:r>
        <w:fldChar w:fldCharType="end"/>
      </w:r>
    </w:p>
    <w:p w:rsidR="00134C06" w:rsidP="00E763F3" w:rsidRDefault="00134C06" w14:paraId="595D28F7" w14:textId="77777777">
      <w:pPr>
        <w:tabs>
          <w:tab w:val="right" w:leader="dot" w:pos="9016"/>
        </w:tabs>
      </w:pPr>
    </w:p>
    <w:p w:rsidR="008D3658" w:rsidP="00E763F3" w:rsidRDefault="008D3658" w14:paraId="438D0258" w14:textId="77777777">
      <w:pPr>
        <w:rPr>
          <w:lang w:val="en-US"/>
        </w:rPr>
      </w:pPr>
    </w:p>
    <w:p w:rsidR="0039045B" w:rsidP="00E763F3" w:rsidRDefault="0039045B" w14:paraId="6187B4AA" w14:textId="77777777">
      <w:pPr>
        <w:pStyle w:val="Title"/>
      </w:pPr>
    </w:p>
    <w:p w:rsidR="0039045B" w:rsidP="00E763F3" w:rsidRDefault="0039045B" w14:paraId="37DDB9BD" w14:textId="77777777">
      <w:pPr>
        <w:pStyle w:val="Title"/>
      </w:pPr>
    </w:p>
    <w:p w:rsidR="0039045B" w:rsidP="00E763F3" w:rsidRDefault="0039045B" w14:paraId="28BE9A67" w14:textId="77777777">
      <w:pPr>
        <w:pStyle w:val="Title"/>
      </w:pPr>
    </w:p>
    <w:p w:rsidR="0039045B" w:rsidP="00E763F3" w:rsidRDefault="0039045B" w14:paraId="3E535546" w14:textId="77777777">
      <w:pPr>
        <w:pStyle w:val="Title"/>
      </w:pPr>
    </w:p>
    <w:p w:rsidR="0039045B" w:rsidP="00E763F3" w:rsidRDefault="0039045B" w14:paraId="4BD827A6" w14:textId="77777777">
      <w:pPr>
        <w:pStyle w:val="Title"/>
      </w:pPr>
    </w:p>
    <w:p w:rsidR="0039045B" w:rsidP="00E763F3" w:rsidRDefault="0039045B" w14:paraId="4CBF0449" w14:textId="77777777">
      <w:pPr>
        <w:pStyle w:val="Title"/>
      </w:pPr>
    </w:p>
    <w:p w:rsidR="0039045B" w:rsidP="00E763F3" w:rsidRDefault="0039045B" w14:paraId="3DA66CBC" w14:textId="77777777">
      <w:pPr>
        <w:pStyle w:val="Title"/>
      </w:pPr>
    </w:p>
    <w:p w:rsidR="002F7A85" w:rsidP="00E763F3" w:rsidRDefault="002F7A85" w14:paraId="076551AB" w14:textId="77777777">
      <w:pPr>
        <w:rPr>
          <w:lang w:val="en-US"/>
        </w:rPr>
      </w:pPr>
    </w:p>
    <w:p w:rsidR="002F7A85" w:rsidP="00E763F3" w:rsidRDefault="002F7A85" w14:paraId="33149B3F" w14:textId="77777777">
      <w:pPr>
        <w:rPr>
          <w:lang w:val="en-US"/>
        </w:rPr>
      </w:pPr>
    </w:p>
    <w:p w:rsidR="00FE312B" w:rsidP="00E763F3" w:rsidRDefault="00FE312B" w14:paraId="48A66B40" w14:textId="77777777">
      <w:pPr>
        <w:rPr>
          <w:lang w:val="en-US"/>
        </w:rPr>
      </w:pPr>
    </w:p>
    <w:p w:rsidR="00FE312B" w:rsidP="00E763F3" w:rsidRDefault="00FE312B" w14:paraId="024A83AE" w14:textId="77777777">
      <w:pPr>
        <w:rPr>
          <w:lang w:val="en-US"/>
        </w:rPr>
      </w:pPr>
    </w:p>
    <w:p w:rsidRPr="002F7A85" w:rsidR="004F3125" w:rsidP="00E763F3" w:rsidRDefault="004F3125" w14:paraId="715F7722" w14:textId="77777777" w14:noSpellErr="1">
      <w:pPr>
        <w:rPr>
          <w:lang w:val="en-US"/>
        </w:rPr>
      </w:pPr>
    </w:p>
    <w:p w:rsidR="0634DC44" w:rsidP="0634DC44" w:rsidRDefault="0634DC44" w14:paraId="1E14B170" w14:textId="3DF76B7D">
      <w:pPr>
        <w:pStyle w:val="Normal"/>
        <w:rPr>
          <w:lang w:val="en-US"/>
        </w:rPr>
      </w:pPr>
    </w:p>
    <w:p w:rsidR="008D3658" w:rsidP="00E763F3" w:rsidRDefault="000774AD" w14:paraId="2533065C" w14:textId="5714379D">
      <w:pPr>
        <w:pStyle w:val="Title"/>
      </w:pPr>
      <w:bookmarkStart w:name="_Toc157422867" w:id="6"/>
      <w:r>
        <w:t>Introduction</w:t>
      </w:r>
      <w:bookmarkEnd w:id="6"/>
    </w:p>
    <w:p w:rsidR="00A16BC5" w:rsidP="00ED3442" w:rsidRDefault="0099717F" w14:paraId="19B5717D" w14:textId="118287A8">
      <w:pPr>
        <w:rPr>
          <w:lang w:eastAsia="en-US"/>
        </w:rPr>
      </w:pPr>
      <w:bookmarkStart w:name="_Toc99975453" w:id="7"/>
      <w:bookmarkStart w:name="_Toc99975570" w:id="8"/>
      <w:r w:rsidRPr="0099717F">
        <w:rPr>
          <w:lang w:val="en-US" w:eastAsia="en-US"/>
        </w:rPr>
        <w:t>ACCAN thanks the Treasury for the opportunity to submit to the pre-budget consultation and provide</w:t>
      </w:r>
      <w:r>
        <w:rPr>
          <w:lang w:val="en-US" w:eastAsia="en-US"/>
        </w:rPr>
        <w:t xml:space="preserve"> </w:t>
      </w:r>
      <w:r w:rsidRPr="0099717F">
        <w:rPr>
          <w:lang w:val="en-US" w:eastAsia="en-US"/>
        </w:rPr>
        <w:t>our views on</w:t>
      </w:r>
      <w:r w:rsidR="00DD08E3">
        <w:rPr>
          <w:lang w:val="en-US" w:eastAsia="en-US"/>
        </w:rPr>
        <w:t xml:space="preserve"> the</w:t>
      </w:r>
      <w:r w:rsidRPr="0099717F">
        <w:rPr>
          <w:lang w:val="en-US" w:eastAsia="en-US"/>
        </w:rPr>
        <w:t xml:space="preserve"> priorities for the 202</w:t>
      </w:r>
      <w:r>
        <w:rPr>
          <w:lang w:val="en-US" w:eastAsia="en-US"/>
        </w:rPr>
        <w:t>4</w:t>
      </w:r>
      <w:r w:rsidRPr="0099717F">
        <w:rPr>
          <w:lang w:val="en-US" w:eastAsia="en-US"/>
        </w:rPr>
        <w:t>-202</w:t>
      </w:r>
      <w:r>
        <w:rPr>
          <w:lang w:val="en-US" w:eastAsia="en-US"/>
        </w:rPr>
        <w:t>5</w:t>
      </w:r>
      <w:r w:rsidRPr="0099717F">
        <w:rPr>
          <w:lang w:val="en-US" w:eastAsia="en-US"/>
        </w:rPr>
        <w:t xml:space="preserve"> Federal Budget.</w:t>
      </w:r>
      <w:r w:rsidR="00CF51AF">
        <w:rPr>
          <w:lang w:val="en-US" w:eastAsia="en-US"/>
        </w:rPr>
        <w:t xml:space="preserve"> </w:t>
      </w:r>
      <w:r w:rsidRPr="00A16BC5" w:rsidR="00A16BC5">
        <w:rPr>
          <w:lang w:eastAsia="en-US"/>
        </w:rPr>
        <w:t>ACCAN’s response to this consultation is structured around our 202</w:t>
      </w:r>
      <w:r w:rsidR="00E56392">
        <w:rPr>
          <w:lang w:eastAsia="en-US"/>
        </w:rPr>
        <w:t>3</w:t>
      </w:r>
      <w:r w:rsidRPr="00A16BC5" w:rsidR="00A16BC5">
        <w:rPr>
          <w:lang w:eastAsia="en-US"/>
        </w:rPr>
        <w:t>-</w:t>
      </w:r>
      <w:r w:rsidR="00E56392">
        <w:rPr>
          <w:lang w:eastAsia="en-US"/>
        </w:rPr>
        <w:t>24</w:t>
      </w:r>
      <w:r w:rsidRPr="00A16BC5" w:rsidR="00A16BC5">
        <w:rPr>
          <w:lang w:eastAsia="en-US"/>
        </w:rPr>
        <w:t xml:space="preserve"> policy priorities which have been developed in close consultation with our members and our understanding of the needs of communications consumers around Australia</w:t>
      </w:r>
      <w:r w:rsidR="00A16BC5">
        <w:rPr>
          <w:lang w:eastAsia="en-US"/>
        </w:rPr>
        <w:t>.</w:t>
      </w:r>
      <w:r w:rsidR="00A16BC5">
        <w:rPr>
          <w:rStyle w:val="FootnoteReference"/>
          <w:lang w:eastAsia="en-US"/>
        </w:rPr>
        <w:footnoteReference w:id="2"/>
      </w:r>
    </w:p>
    <w:p w:rsidR="00D5038C" w:rsidP="00E763F3" w:rsidRDefault="00B55580" w14:paraId="310AF8AE" w14:textId="52CB2EEA">
      <w:pPr>
        <w:rPr>
          <w:lang w:val="en-US" w:eastAsia="en-US"/>
        </w:rPr>
      </w:pPr>
      <w:r>
        <w:rPr>
          <w:lang w:val="en-US" w:eastAsia="en-US"/>
        </w:rPr>
        <w:t>C</w:t>
      </w:r>
      <w:r w:rsidR="00A23955">
        <w:rPr>
          <w:lang w:val="en-US" w:eastAsia="en-US"/>
        </w:rPr>
        <w:t xml:space="preserve">ommunications consumers </w:t>
      </w:r>
      <w:r>
        <w:rPr>
          <w:lang w:val="en-US" w:eastAsia="en-US"/>
        </w:rPr>
        <w:t xml:space="preserve">face </w:t>
      </w:r>
      <w:r w:rsidR="00280375">
        <w:rPr>
          <w:lang w:val="en-US" w:eastAsia="en-US"/>
        </w:rPr>
        <w:t xml:space="preserve">a number of barriers </w:t>
      </w:r>
      <w:r>
        <w:rPr>
          <w:lang w:val="en-US" w:eastAsia="en-US"/>
        </w:rPr>
        <w:t xml:space="preserve">to accessing </w:t>
      </w:r>
      <w:r w:rsidR="00280375">
        <w:rPr>
          <w:lang w:val="en-US" w:eastAsia="en-US"/>
        </w:rPr>
        <w:t>affordable, quality and reliable connectivity</w:t>
      </w:r>
      <w:r w:rsidR="00F56F56">
        <w:rPr>
          <w:lang w:val="en-US" w:eastAsia="en-US"/>
        </w:rPr>
        <w:t xml:space="preserve">. </w:t>
      </w:r>
      <w:r w:rsidR="00022EC7">
        <w:rPr>
          <w:lang w:val="en-US" w:eastAsia="en-US"/>
        </w:rPr>
        <w:t>For many Australians</w:t>
      </w:r>
      <w:r w:rsidR="006C1862">
        <w:rPr>
          <w:lang w:val="en-US" w:eastAsia="en-US"/>
        </w:rPr>
        <w:t xml:space="preserve">, including First Nations telecommunications consumers </w:t>
      </w:r>
      <w:r w:rsidR="002C6F53">
        <w:rPr>
          <w:lang w:val="en-US" w:eastAsia="en-US"/>
        </w:rPr>
        <w:t xml:space="preserve">living </w:t>
      </w:r>
      <w:r w:rsidR="00022EC7">
        <w:rPr>
          <w:lang w:val="en-US" w:eastAsia="en-US"/>
        </w:rPr>
        <w:t xml:space="preserve">in </w:t>
      </w:r>
      <w:r w:rsidR="006C1862">
        <w:rPr>
          <w:lang w:val="en-US" w:eastAsia="en-US"/>
        </w:rPr>
        <w:t xml:space="preserve">regional, </w:t>
      </w:r>
      <w:r w:rsidR="006D0BC2">
        <w:rPr>
          <w:lang w:val="en-US" w:eastAsia="en-US"/>
        </w:rPr>
        <w:t>rural,</w:t>
      </w:r>
      <w:r w:rsidR="006C1862">
        <w:rPr>
          <w:lang w:val="en-US" w:eastAsia="en-US"/>
        </w:rPr>
        <w:t xml:space="preserve"> and remote areas, telecommunications connectivity continues to be a daily challenge</w:t>
      </w:r>
      <w:r w:rsidR="00326E6B">
        <w:rPr>
          <w:lang w:val="en-US" w:eastAsia="en-US"/>
        </w:rPr>
        <w:t xml:space="preserve">. </w:t>
      </w:r>
      <w:r w:rsidR="002E774D">
        <w:rPr>
          <w:lang w:val="en-US" w:eastAsia="en-US"/>
        </w:rPr>
        <w:t xml:space="preserve">Some Australians are having difficulties affording and accessing internet devices and are finding it difficult to </w:t>
      </w:r>
      <w:r w:rsidR="004470EA">
        <w:rPr>
          <w:lang w:val="en-US" w:eastAsia="en-US"/>
        </w:rPr>
        <w:t>repair their devices when they break.</w:t>
      </w:r>
      <w:r w:rsidR="00560B7D">
        <w:rPr>
          <w:lang w:val="en-US" w:eastAsia="en-US"/>
        </w:rPr>
        <w:t xml:space="preserve"> Australian t</w:t>
      </w:r>
      <w:r w:rsidR="004470EA">
        <w:rPr>
          <w:lang w:val="en-US" w:eastAsia="en-US"/>
        </w:rPr>
        <w:t>elecommunications consumers should be facilitated to engage in a fair and competitive telecommunications market which caters to their needs</w:t>
      </w:r>
      <w:r w:rsidR="006651AE">
        <w:rPr>
          <w:lang w:val="en-US" w:eastAsia="en-US"/>
        </w:rPr>
        <w:t xml:space="preserve">. </w:t>
      </w:r>
    </w:p>
    <w:p w:rsidRPr="000A5751" w:rsidR="006651AE" w:rsidP="00E763F3" w:rsidRDefault="006651AE" w14:paraId="379697C0" w14:textId="57D3AA23">
      <w:pPr>
        <w:rPr>
          <w:lang w:val="en-US" w:eastAsia="en-US"/>
        </w:rPr>
      </w:pPr>
      <w:r w:rsidRPr="006651AE">
        <w:rPr>
          <w:lang w:eastAsia="en-US"/>
        </w:rPr>
        <w:t xml:space="preserve">Our submission calls on the </w:t>
      </w:r>
      <w:r w:rsidR="00340B15">
        <w:rPr>
          <w:lang w:eastAsia="en-US"/>
        </w:rPr>
        <w:t>Federal</w:t>
      </w:r>
      <w:r w:rsidRPr="006651AE" w:rsidR="00340B15">
        <w:rPr>
          <w:lang w:eastAsia="en-US"/>
        </w:rPr>
        <w:t xml:space="preserve"> </w:t>
      </w:r>
      <w:r w:rsidRPr="006651AE">
        <w:rPr>
          <w:lang w:eastAsia="en-US"/>
        </w:rPr>
        <w:t xml:space="preserve">Government to address these </w:t>
      </w:r>
      <w:r w:rsidR="00D13A26">
        <w:rPr>
          <w:lang w:eastAsia="en-US"/>
        </w:rPr>
        <w:t>issues</w:t>
      </w:r>
      <w:r w:rsidRPr="006651AE" w:rsidR="00D13A26">
        <w:rPr>
          <w:lang w:eastAsia="en-US"/>
        </w:rPr>
        <w:t xml:space="preserve"> </w:t>
      </w:r>
      <w:r w:rsidRPr="006651AE">
        <w:rPr>
          <w:lang w:eastAsia="en-US"/>
        </w:rPr>
        <w:t>in the 202</w:t>
      </w:r>
      <w:r w:rsidR="006D4CD0">
        <w:rPr>
          <w:lang w:eastAsia="en-US"/>
        </w:rPr>
        <w:t>4</w:t>
      </w:r>
      <w:r w:rsidRPr="006651AE">
        <w:rPr>
          <w:lang w:eastAsia="en-US"/>
        </w:rPr>
        <w:t>-202</w:t>
      </w:r>
      <w:r w:rsidR="006D4CD0">
        <w:rPr>
          <w:lang w:eastAsia="en-US"/>
        </w:rPr>
        <w:t>5</w:t>
      </w:r>
      <w:r w:rsidRPr="006651AE">
        <w:rPr>
          <w:lang w:eastAsia="en-US"/>
        </w:rPr>
        <w:t xml:space="preserve"> Australian Budget by:</w:t>
      </w:r>
    </w:p>
    <w:p w:rsidR="006651AE" w:rsidP="00E763F3" w:rsidRDefault="006651AE" w14:paraId="4D0A2394" w14:textId="5A9B918C">
      <w:pPr>
        <w:pStyle w:val="ListParagraph"/>
        <w:numPr>
          <w:ilvl w:val="0"/>
          <w:numId w:val="26"/>
        </w:numPr>
        <w:rPr>
          <w:lang w:val="en-US" w:eastAsia="en-US"/>
        </w:rPr>
      </w:pPr>
      <w:r>
        <w:rPr>
          <w:lang w:val="en-US" w:eastAsia="en-US"/>
        </w:rPr>
        <w:t xml:space="preserve">Allocating funding to establishing a concessional broadband service to improve the affordability of NBN services for </w:t>
      </w:r>
      <w:r w:rsidR="00354A72">
        <w:rPr>
          <w:lang w:val="en-US" w:eastAsia="en-US"/>
        </w:rPr>
        <w:t xml:space="preserve">consumers receiving government assistance. </w:t>
      </w:r>
    </w:p>
    <w:p w:rsidR="00354A72" w:rsidP="00E763F3" w:rsidRDefault="00354A72" w14:paraId="2BF2C0FB" w14:textId="4C3251EF">
      <w:pPr>
        <w:pStyle w:val="ListParagraph"/>
        <w:numPr>
          <w:ilvl w:val="0"/>
          <w:numId w:val="26"/>
        </w:numPr>
        <w:rPr>
          <w:lang w:val="en-US" w:eastAsia="en-US"/>
        </w:rPr>
      </w:pPr>
      <w:r>
        <w:rPr>
          <w:lang w:val="en-US" w:eastAsia="en-US"/>
        </w:rPr>
        <w:t xml:space="preserve">Allocating funding to establish an independent comparison tool for the telecommunications market to assist consumers in </w:t>
      </w:r>
      <w:r w:rsidR="004016BA">
        <w:rPr>
          <w:lang w:val="en-US" w:eastAsia="en-US"/>
        </w:rPr>
        <w:t xml:space="preserve">finding a more affordable telecommunications service. </w:t>
      </w:r>
    </w:p>
    <w:p w:rsidR="004B7A8B" w:rsidP="00E763F3" w:rsidRDefault="004B7A8B" w14:paraId="55A619FB" w14:textId="1DE1D29C">
      <w:pPr>
        <w:pStyle w:val="ListParagraph"/>
        <w:numPr>
          <w:ilvl w:val="0"/>
          <w:numId w:val="26"/>
        </w:numPr>
        <w:rPr>
          <w:lang w:val="en-US" w:eastAsia="en-US"/>
        </w:rPr>
      </w:pPr>
      <w:r>
        <w:rPr>
          <w:lang w:val="en-US" w:eastAsia="en-US"/>
        </w:rPr>
        <w:t>Establish</w:t>
      </w:r>
      <w:r w:rsidR="004305EC">
        <w:rPr>
          <w:lang w:val="en-US" w:eastAsia="en-US"/>
        </w:rPr>
        <w:t>ing</w:t>
      </w:r>
      <w:r>
        <w:rPr>
          <w:lang w:val="en-US" w:eastAsia="en-US"/>
        </w:rPr>
        <w:t xml:space="preserve"> a formalized pathway to ensure th</w:t>
      </w:r>
      <w:r w:rsidR="00AD67DD">
        <w:rPr>
          <w:lang w:val="en-US" w:eastAsia="en-US"/>
        </w:rPr>
        <w:t>at internet devices are refurbished and passed down to consumers through community groups</w:t>
      </w:r>
      <w:r w:rsidR="00C35307">
        <w:rPr>
          <w:lang w:val="en-US" w:eastAsia="en-US"/>
        </w:rPr>
        <w:t>,</w:t>
      </w:r>
      <w:r w:rsidR="00AD67DD">
        <w:rPr>
          <w:lang w:val="en-US" w:eastAsia="en-US"/>
        </w:rPr>
        <w:t xml:space="preserve"> assist</w:t>
      </w:r>
      <w:r w:rsidR="00C35307">
        <w:rPr>
          <w:lang w:val="en-US" w:eastAsia="en-US"/>
        </w:rPr>
        <w:t>ing</w:t>
      </w:r>
      <w:r w:rsidR="00AD67DD">
        <w:rPr>
          <w:lang w:val="en-US" w:eastAsia="en-US"/>
        </w:rPr>
        <w:t xml:space="preserve"> low-income consumers in </w:t>
      </w:r>
      <w:r w:rsidR="00C35307">
        <w:rPr>
          <w:lang w:val="en-US" w:eastAsia="en-US"/>
        </w:rPr>
        <w:t>obtaining</w:t>
      </w:r>
      <w:r w:rsidR="00AD67DD">
        <w:rPr>
          <w:lang w:val="en-US" w:eastAsia="en-US"/>
        </w:rPr>
        <w:t xml:space="preserve"> internet devices</w:t>
      </w:r>
      <w:r w:rsidR="001F0907">
        <w:rPr>
          <w:lang w:val="en-US" w:eastAsia="en-US"/>
        </w:rPr>
        <w:t xml:space="preserve">. </w:t>
      </w:r>
    </w:p>
    <w:p w:rsidR="00AD67DD" w:rsidP="00E763F3" w:rsidRDefault="00AD67DD" w14:paraId="353327B0" w14:textId="2F71C40C">
      <w:pPr>
        <w:pStyle w:val="ListParagraph"/>
        <w:numPr>
          <w:ilvl w:val="0"/>
          <w:numId w:val="26"/>
        </w:numPr>
        <w:rPr>
          <w:lang w:val="en-US" w:eastAsia="en-US"/>
        </w:rPr>
      </w:pPr>
      <w:r>
        <w:rPr>
          <w:lang w:val="en-US" w:eastAsia="en-US"/>
        </w:rPr>
        <w:t>Establish</w:t>
      </w:r>
      <w:r w:rsidR="00D50234">
        <w:rPr>
          <w:lang w:val="en-US" w:eastAsia="en-US"/>
        </w:rPr>
        <w:t>ing</w:t>
      </w:r>
      <w:r>
        <w:rPr>
          <w:lang w:val="en-US" w:eastAsia="en-US"/>
        </w:rPr>
        <w:t xml:space="preserve"> a legislated right to repair to facilitate the </w:t>
      </w:r>
      <w:r w:rsidR="001309B4">
        <w:rPr>
          <w:lang w:val="en-US" w:eastAsia="en-US"/>
        </w:rPr>
        <w:t>competitiveness</w:t>
      </w:r>
      <w:r>
        <w:rPr>
          <w:lang w:val="en-US" w:eastAsia="en-US"/>
        </w:rPr>
        <w:t xml:space="preserve"> of the internet device repair market, allowing consumers to access affordable, </w:t>
      </w:r>
      <w:r w:rsidR="000A5751">
        <w:rPr>
          <w:lang w:val="en-US" w:eastAsia="en-US"/>
        </w:rPr>
        <w:t>local</w:t>
      </w:r>
      <w:r w:rsidR="001F0907">
        <w:rPr>
          <w:lang w:val="en-US" w:eastAsia="en-US"/>
        </w:rPr>
        <w:t xml:space="preserve">, </w:t>
      </w:r>
      <w:r w:rsidR="000A5751">
        <w:rPr>
          <w:lang w:val="en-US" w:eastAsia="en-US"/>
        </w:rPr>
        <w:t xml:space="preserve">and timely repair solutions for the internet devices they use daily. </w:t>
      </w:r>
    </w:p>
    <w:p w:rsidR="004016BA" w:rsidP="00E763F3" w:rsidRDefault="006E7899" w14:paraId="1CF44B38" w14:textId="0D205B78">
      <w:pPr>
        <w:pStyle w:val="ListParagraph"/>
        <w:numPr>
          <w:ilvl w:val="0"/>
          <w:numId w:val="26"/>
        </w:numPr>
        <w:rPr>
          <w:lang w:val="en-US" w:eastAsia="en-US"/>
        </w:rPr>
      </w:pPr>
      <w:r>
        <w:rPr>
          <w:lang w:val="en-US" w:eastAsia="en-US"/>
        </w:rPr>
        <w:t>Continuing the funding of the Mobile Black Spot Program and Region</w:t>
      </w:r>
      <w:r w:rsidR="004B7A8B">
        <w:rPr>
          <w:lang w:val="en-US" w:eastAsia="en-US"/>
        </w:rPr>
        <w:t>al Connectivity Program to assist consumers, including First Nations consumers</w:t>
      </w:r>
      <w:r w:rsidR="002B701B">
        <w:rPr>
          <w:lang w:val="en-US" w:eastAsia="en-US"/>
        </w:rPr>
        <w:t>,</w:t>
      </w:r>
      <w:r w:rsidR="004B7A8B">
        <w:rPr>
          <w:lang w:val="en-US" w:eastAsia="en-US"/>
        </w:rPr>
        <w:t xml:space="preserve"> to gain suitable telecommunications connectivity. </w:t>
      </w:r>
    </w:p>
    <w:p w:rsidRPr="007E6BB2" w:rsidR="004B7A8B" w:rsidP="00E763F3" w:rsidRDefault="00672C9C" w14:paraId="5A5D8ADF" w14:textId="7F1B1569">
      <w:pPr>
        <w:pStyle w:val="ListParagraph"/>
        <w:numPr>
          <w:ilvl w:val="0"/>
          <w:numId w:val="26"/>
        </w:numPr>
        <w:rPr>
          <w:lang w:val="en-US" w:eastAsia="en-US"/>
        </w:rPr>
      </w:pPr>
      <w:r w:rsidRPr="00672C9C">
        <w:rPr>
          <w:lang w:eastAsia="en-US"/>
        </w:rPr>
        <w:t>Allocating funding to support consumer representation in digital platforms policy</w:t>
      </w:r>
      <w:r>
        <w:rPr>
          <w:lang w:eastAsia="en-US"/>
        </w:rPr>
        <w:t>.</w:t>
      </w:r>
    </w:p>
    <w:p w:rsidRPr="00672C9C" w:rsidR="007E6BB2" w:rsidP="00E763F3" w:rsidRDefault="007E6BB2" w14:paraId="0B095CAB" w14:textId="07D01C92">
      <w:pPr>
        <w:pStyle w:val="ListParagraph"/>
        <w:numPr>
          <w:ilvl w:val="0"/>
          <w:numId w:val="26"/>
        </w:numPr>
        <w:rPr>
          <w:lang w:val="en-US" w:eastAsia="en-US"/>
        </w:rPr>
      </w:pPr>
      <w:r>
        <w:rPr>
          <w:lang w:val="en-US" w:eastAsia="en-US"/>
        </w:rPr>
        <w:t xml:space="preserve">Allocating funding to improve </w:t>
      </w:r>
      <w:r w:rsidRPr="007E6BB2">
        <w:rPr>
          <w:lang w:val="en-US" w:eastAsia="en-US"/>
        </w:rPr>
        <w:t>access to accessible telecommunications goods and services to ensure that people with disability are able to equally participate in society</w:t>
      </w:r>
      <w:r>
        <w:rPr>
          <w:lang w:val="en-US" w:eastAsia="en-US"/>
        </w:rPr>
        <w:t xml:space="preserve">. </w:t>
      </w:r>
    </w:p>
    <w:bookmarkEnd w:id="7"/>
    <w:bookmarkEnd w:id="8"/>
    <w:p w:rsidRPr="00CF30FB" w:rsidR="008D3658" w:rsidP="00CF30FB" w:rsidRDefault="008D3658" w14:paraId="554BE094" w14:textId="64E2B865">
      <w:pPr>
        <w:pageBreakBefore/>
        <w:ind w:left="360"/>
        <w:rPr>
          <w:lang w:val="en-US"/>
        </w:rPr>
      </w:pPr>
    </w:p>
    <w:p w:rsidR="008D3658" w:rsidP="00E763F3" w:rsidRDefault="00F93FFC" w14:paraId="5AF3734B" w14:textId="77777777">
      <w:pPr>
        <w:pStyle w:val="Title"/>
        <w:rPr>
          <w:lang w:eastAsia="en-US"/>
        </w:rPr>
      </w:pPr>
      <w:bookmarkStart w:name="_Toc157422868" w:id="9"/>
      <w:r>
        <w:rPr>
          <w:lang w:eastAsia="en-US"/>
        </w:rPr>
        <w:t>List of Recommendations</w:t>
      </w:r>
      <w:bookmarkEnd w:id="9"/>
    </w:p>
    <w:p w:rsidRPr="00AB1ABD" w:rsidR="00AB1ABD" w:rsidP="00AB1ABD" w:rsidRDefault="00F93FFC" w14:paraId="7366CCDB" w14:textId="3EDA60BB">
      <w:pPr>
        <w:pStyle w:val="Recommendation"/>
      </w:pPr>
      <w:r>
        <w:t xml:space="preserve"> </w:t>
      </w:r>
      <w:r w:rsidRPr="00AB1ABD" w:rsidR="00AB1ABD">
        <w:t xml:space="preserve">That the Federal Government allocates funding to NBN Co to offer a </w:t>
      </w:r>
      <w:r w:rsidR="00FF7FBC">
        <w:t>broadband</w:t>
      </w:r>
      <w:r w:rsidRPr="00AB1ABD" w:rsidR="00FF7FBC">
        <w:t xml:space="preserve"> concession</w:t>
      </w:r>
      <w:r w:rsidRPr="00AB1ABD" w:rsidR="00AB1ABD">
        <w:t xml:space="preserve"> </w:t>
      </w:r>
      <w:r w:rsidR="007B78D7">
        <w:t>service</w:t>
      </w:r>
      <w:r w:rsidRPr="00AB1ABD" w:rsidR="007B78D7">
        <w:t xml:space="preserve"> </w:t>
      </w:r>
      <w:r w:rsidRPr="00AB1ABD" w:rsidR="00AB1ABD">
        <w:t>to households receiving Commonwealth financial support.</w:t>
      </w:r>
    </w:p>
    <w:p w:rsidRPr="00783EC6" w:rsidR="00783EC6" w:rsidP="00783EC6" w:rsidRDefault="00783EC6" w14:paraId="6D1170B4" w14:textId="77777777">
      <w:pPr>
        <w:pStyle w:val="Recommendation"/>
      </w:pPr>
      <w:r w:rsidRPr="00783EC6">
        <w:t xml:space="preserve">That the Federal Government invests in a trusted, independent online plan comparison tool for phone and internet services, to give greater choice to consumers. Existing government comparison tools should be analysed to establish the most effective methods to develop, fund and promote the IPCT. </w:t>
      </w:r>
    </w:p>
    <w:p w:rsidRPr="00783EC6" w:rsidR="00783EC6" w:rsidP="00783EC6" w:rsidRDefault="00783EC6" w14:paraId="11D4D861" w14:textId="77777777">
      <w:pPr>
        <w:pStyle w:val="Recommendation"/>
      </w:pPr>
      <w:r w:rsidRPr="00783EC6">
        <w:t xml:space="preserve">That the Federal Government funds and allocates accessible and affordable devices to people on low incomes without consistent access to internet devices. This should take the form of a formalised pathway which ensures that large purchasers of internet devices cooperate with government to achieve this aim. </w:t>
      </w:r>
    </w:p>
    <w:p w:rsidRPr="00783EC6" w:rsidR="00783EC6" w:rsidP="00783EC6" w:rsidRDefault="00783EC6" w14:paraId="76BFE68E" w14:textId="77777777">
      <w:pPr>
        <w:pStyle w:val="Recommendation"/>
      </w:pPr>
      <w:r w:rsidRPr="00783EC6">
        <w:t xml:space="preserve">That the Federal Government and telecommunications providers take steps to address the device availability and repairability concerns of consumers in First Nations communities, noting the criticality of internet device access and connectivity in these communities. </w:t>
      </w:r>
    </w:p>
    <w:p w:rsidRPr="00783EC6" w:rsidR="00783EC6" w:rsidP="00783EC6" w:rsidRDefault="00783EC6" w14:paraId="53BCF140" w14:textId="77777777">
      <w:pPr>
        <w:pStyle w:val="Recommendation"/>
      </w:pPr>
      <w:r w:rsidRPr="00783EC6">
        <w:t>That the Federal Government should allocate funding to establish a legislated right to repair following the recommendations of the Productivity Commission’s inquiry report into the right to repair.</w:t>
      </w:r>
    </w:p>
    <w:p w:rsidRPr="00783EC6" w:rsidR="00783EC6" w:rsidP="00783EC6" w:rsidRDefault="00783EC6" w14:paraId="2B629939" w14:textId="77777777">
      <w:pPr>
        <w:pStyle w:val="Recommendation"/>
      </w:pPr>
      <w:r w:rsidRPr="00783EC6">
        <w:t xml:space="preserve">That the Federal Government should allocate funding to establish an independent device repairability index following Recommendation 6.1 of the Productivity Commission’s inquiry report into the right to repair. This independently reviewed index would provide consumers with valuable product information to inform their purchasing decisions. </w:t>
      </w:r>
    </w:p>
    <w:p w:rsidRPr="00A7438E" w:rsidR="00A7438E" w:rsidP="00A7438E" w:rsidRDefault="00A7438E" w14:paraId="6A050D00" w14:textId="77777777">
      <w:pPr>
        <w:pStyle w:val="Recommendation"/>
      </w:pPr>
      <w:r w:rsidRPr="00A7438E">
        <w:t>That the Federal Government should allocate funding to provide an affordable voice concession service to support Age Pension and Disability Support Pension recipients to access home phone services.</w:t>
      </w:r>
    </w:p>
    <w:p w:rsidR="00A7438E" w:rsidP="00A7438E" w:rsidRDefault="00A7438E" w14:paraId="287C787A" w14:textId="77777777">
      <w:pPr>
        <w:pStyle w:val="Recommendation"/>
      </w:pPr>
      <w:r>
        <w:t>That the Federal Government continue funding the Mobile Black Spot Program and Regional Connectivity Program to assist in improving Australia’s connectivity outcomes in line with its Better Connectivity Plan for Rural and Regional Australia.</w:t>
      </w:r>
    </w:p>
    <w:p w:rsidR="00A7438E" w:rsidP="00A7438E" w:rsidRDefault="00A7438E" w14:paraId="4A269C43" w14:textId="77777777">
      <w:pPr>
        <w:pStyle w:val="Recommendation"/>
      </w:pPr>
      <w:r>
        <w:t xml:space="preserve">That the Federal Government should take account the recommendations of the First Nations Digital Inclusion Advisory Group’s initial report, especially regarding the ability of First Nations communities to interact with existing government grant programs. </w:t>
      </w:r>
    </w:p>
    <w:p w:rsidRPr="00C15220" w:rsidR="00C15220" w:rsidP="00C15220" w:rsidRDefault="00143DD1" w14:paraId="6B6655BD" w14:textId="5ABDB7D4">
      <w:pPr>
        <w:pStyle w:val="Recommendation"/>
      </w:pPr>
      <w:r w:rsidRPr="00143DD1">
        <w:t xml:space="preserve"> That the Federal Government should act on the recommendations of the First Nations Digital Advisory Group’s initial report and ensure genuine engagement and collaboration with First Nations people and communities.</w:t>
      </w:r>
    </w:p>
    <w:p w:rsidRPr="00C15220" w:rsidR="00C15220" w:rsidP="00C15220" w:rsidRDefault="00C15220" w14:paraId="52184C9A" w14:textId="77777777">
      <w:pPr>
        <w:pStyle w:val="Recommendation"/>
      </w:pPr>
      <w:r w:rsidRPr="00C15220">
        <w:t xml:space="preserve">That the Federal Government should allocate funding to undertake further research to determine the effectiveness of satellite phone </w:t>
      </w:r>
      <w:r w:rsidRPr="00C15220">
        <w:t xml:space="preserve">communications, in particular LEOSats as a form of communications redundancy during natural disasters. </w:t>
      </w:r>
    </w:p>
    <w:p w:rsidR="00C15220" w:rsidP="00C15220" w:rsidRDefault="00C15220" w14:paraId="491BE2FD" w14:textId="77777777">
      <w:pPr>
        <w:pStyle w:val="Recommendation"/>
      </w:pPr>
      <w:r>
        <w:t>That the Federal Government re-establishes the Communications Fund with a mandate to invest its assets commercially and uses the proceedings for funding essential communications programs.</w:t>
      </w:r>
    </w:p>
    <w:p w:rsidR="00C15220" w:rsidP="00C15220" w:rsidRDefault="00C15220" w14:paraId="4DDFDA4D" w14:textId="77777777">
      <w:pPr>
        <w:pStyle w:val="Recommendation"/>
      </w:pPr>
      <w:r>
        <w:t>That the Federal Government invest in initiatives aimed at improving broadband reliability, including prioritising progress on the draft standards, rules, and benchmarks for Statutory Infrastructure Providers.</w:t>
      </w:r>
    </w:p>
    <w:p w:rsidR="00C15220" w:rsidP="00C15220" w:rsidRDefault="00C15220" w14:paraId="1FC6A660" w14:textId="77777777">
      <w:pPr>
        <w:pStyle w:val="Recommendation"/>
      </w:pPr>
      <w:r>
        <w:t>That the Federal Government allocates funding from general revenue for the ACMA to investigate and monitor mobile outages and the reliability of mobile infrastructure across Australia, to identify if measures are needed to increase mobile reliability.</w:t>
      </w:r>
    </w:p>
    <w:p w:rsidR="00C15220" w:rsidP="00C15220" w:rsidRDefault="00C15220" w14:paraId="22E961A8" w14:textId="77777777">
      <w:pPr>
        <w:pStyle w:val="Recommendation"/>
      </w:pPr>
      <w:r>
        <w:t>That the Federal Government continues to fund the Australian Competition and Consumer Commission Measuring Broadband Australia Program, including its expansion to NBN Sky Muster services and continued monitoring of Fixed Wireless services.</w:t>
      </w:r>
    </w:p>
    <w:p w:rsidR="00C15220" w:rsidP="00C15220" w:rsidRDefault="00C15220" w14:paraId="6E542705" w14:textId="77777777">
      <w:pPr>
        <w:pStyle w:val="Recommendation"/>
      </w:pPr>
      <w:r>
        <w:t xml:space="preserve">That the Federal Government allocates funding to the Mobile Black Spot Program to promote access to 24-hours of auxiliary back-up power in isolated areas and provide additional support to enable local communities to broker partnerships through facilitators and resources. </w:t>
      </w:r>
    </w:p>
    <w:p w:rsidR="00C15220" w:rsidP="00C15220" w:rsidRDefault="00C15220" w14:paraId="2D69E57A" w14:textId="77777777">
      <w:pPr>
        <w:pStyle w:val="Recommendation"/>
      </w:pPr>
      <w:r>
        <w:t>That the Federal Government should establish clear communications guidelines for telecommunications companies to follow in response to unplanned outages.</w:t>
      </w:r>
    </w:p>
    <w:p w:rsidR="00C15220" w:rsidP="00C15220" w:rsidRDefault="00C15220" w14:paraId="52953A22" w14:textId="3B422E50">
      <w:pPr>
        <w:pStyle w:val="Recommendation"/>
      </w:pPr>
      <w:r>
        <w:t>Accept the recommendations made by the inquiry</w:t>
      </w:r>
      <w:r w:rsidR="001230AB">
        <w:t xml:space="preserve"> into</w:t>
      </w:r>
      <w:r w:rsidR="00C17433">
        <w:t xml:space="preserve"> co-investment </w:t>
      </w:r>
      <w:r w:rsidR="001230AB">
        <w:t>in</w:t>
      </w:r>
      <w:r>
        <w:t xml:space="preserve"> multi-carrier regional mobile infrastructure</w:t>
      </w:r>
      <w:r w:rsidR="00383225">
        <w:t xml:space="preserve"> to improve telecommunications connectivity and reliability</w:t>
      </w:r>
      <w:r>
        <w:t xml:space="preserve">. </w:t>
      </w:r>
    </w:p>
    <w:p w:rsidR="00C15220" w:rsidP="00C15220" w:rsidRDefault="00C15220" w14:paraId="41E408C3" w14:textId="77777777">
      <w:pPr>
        <w:pStyle w:val="Recommendation"/>
      </w:pPr>
      <w:r>
        <w:t xml:space="preserve">That the Federal Government immediately consider what steps may facilitate the adoption of ‘Next Generation Triple Zero’ services, including direct text to Triple Zero, as well as guaranteed NRS access to the emergency call service. </w:t>
      </w:r>
    </w:p>
    <w:p w:rsidRPr="00C15220" w:rsidR="00C15220" w:rsidP="00C15220" w:rsidRDefault="00C15220" w14:paraId="17D22DE3" w14:textId="77777777">
      <w:pPr>
        <w:pStyle w:val="Recommendation"/>
      </w:pPr>
      <w:r w:rsidRPr="00C15220">
        <w:t>That the Federal Government allocate funding to support consumer representation in digital platforms policy.</w:t>
      </w:r>
    </w:p>
    <w:p w:rsidRPr="00C15220" w:rsidR="00C15220" w:rsidP="00C15220" w:rsidRDefault="00C15220" w14:paraId="307B1F50" w14:textId="77777777">
      <w:pPr>
        <w:pStyle w:val="Recommendation"/>
      </w:pPr>
      <w:r w:rsidRPr="00C15220">
        <w:t xml:space="preserve">That the DITRDCA develop a long-term funding arrangement for the Accessible Telecoms service to reflect the digital transformation strategies of State and Federal Governments. </w:t>
      </w:r>
    </w:p>
    <w:p w:rsidR="00C15220" w:rsidP="00C15220" w:rsidRDefault="00C15220" w14:paraId="1AC96026" w14:textId="77777777">
      <w:pPr>
        <w:pStyle w:val="Recommendation"/>
      </w:pPr>
      <w:r>
        <w:t>That the Federal Government allocates funding to ensure government websites are compliant with the Web Content Accessibility Guidelines (WCAG) 2.1 AA and successor standards.</w:t>
      </w:r>
    </w:p>
    <w:p w:rsidR="00C15220" w:rsidP="00C15220" w:rsidRDefault="00C15220" w14:paraId="3A7A5AB6" w14:textId="77777777">
      <w:pPr>
        <w:pStyle w:val="Recommendation"/>
      </w:pPr>
      <w:r>
        <w:t>That the Federal Government allocates funding to ensure online government services are presented in a variety of accessible formats, including Auslan, Braille, Plain Language, Easy-English and different community languages.</w:t>
      </w:r>
    </w:p>
    <w:p w:rsidR="00C15220" w:rsidP="00C15220" w:rsidRDefault="00C15220" w14:paraId="02F6C7D8" w14:textId="77777777">
      <w:pPr>
        <w:pStyle w:val="Recommendation"/>
      </w:pPr>
      <w:r>
        <w:t>That the Federal Government allocate funding towards the development of a national plan to promote accessible information and communications.</w:t>
      </w:r>
    </w:p>
    <w:p w:rsidRPr="00C15220" w:rsidR="00C15220" w:rsidP="00C15220" w:rsidRDefault="00C15220" w14:paraId="33D8482C" w14:textId="77777777">
      <w:pPr>
        <w:pStyle w:val="Recommendation"/>
      </w:pPr>
      <w:r w:rsidRPr="00C15220">
        <w:t xml:space="preserve">That the Federal Government should invest in and deliver in co-designed training and digital education programs, to build the digital </w:t>
      </w:r>
      <w:r w:rsidRPr="00C15220">
        <w:t>capacity of people with disability, including older Australians and children with disability.</w:t>
      </w:r>
    </w:p>
    <w:p w:rsidRPr="00C15220" w:rsidR="00C15220" w:rsidP="00C15220" w:rsidRDefault="00C15220" w14:paraId="3FDCF661" w14:textId="77777777">
      <w:pPr>
        <w:pStyle w:val="Recommendation"/>
      </w:pPr>
      <w:r w:rsidRPr="00C15220">
        <w:t>The Federal Government commits to annual funding of a minimum of 14 hours of audio-described content on all free-to-air commercial television channels, including SBS and the ABC.</w:t>
      </w:r>
    </w:p>
    <w:p w:rsidR="001216C8" w:rsidP="00E763F3" w:rsidRDefault="001216C8" w14:paraId="688D0163" w14:textId="77777777">
      <w:pPr>
        <w:pStyle w:val="Heading1"/>
        <w:rPr>
          <w:sz w:val="48"/>
          <w:szCs w:val="48"/>
          <w:lang w:val="en-US" w:eastAsia="en-US"/>
        </w:rPr>
      </w:pPr>
    </w:p>
    <w:p w:rsidR="001216C8" w:rsidP="00E763F3" w:rsidRDefault="001216C8" w14:paraId="00732354" w14:textId="77777777">
      <w:pPr>
        <w:pStyle w:val="Heading1"/>
        <w:rPr>
          <w:sz w:val="48"/>
          <w:szCs w:val="48"/>
          <w:lang w:val="en-US" w:eastAsia="en-US"/>
        </w:rPr>
      </w:pPr>
    </w:p>
    <w:p w:rsidR="001216C8" w:rsidP="00E763F3" w:rsidRDefault="001216C8" w14:paraId="2E89AA06" w14:textId="77777777">
      <w:pPr>
        <w:pStyle w:val="Heading1"/>
        <w:rPr>
          <w:sz w:val="48"/>
          <w:szCs w:val="48"/>
          <w:lang w:val="en-US" w:eastAsia="en-US"/>
        </w:rPr>
      </w:pPr>
    </w:p>
    <w:p w:rsidR="001216C8" w:rsidP="00E763F3" w:rsidRDefault="001216C8" w14:paraId="78C67248" w14:textId="77777777">
      <w:pPr>
        <w:pStyle w:val="Heading1"/>
        <w:rPr>
          <w:sz w:val="48"/>
          <w:szCs w:val="48"/>
          <w:lang w:val="en-US" w:eastAsia="en-US"/>
        </w:rPr>
      </w:pPr>
    </w:p>
    <w:p w:rsidR="001216C8" w:rsidP="00E763F3" w:rsidRDefault="001216C8" w14:paraId="5FF670AF" w14:textId="77777777">
      <w:pPr>
        <w:pStyle w:val="Heading1"/>
        <w:rPr>
          <w:sz w:val="48"/>
          <w:szCs w:val="48"/>
          <w:lang w:val="en-US" w:eastAsia="en-US"/>
        </w:rPr>
      </w:pPr>
    </w:p>
    <w:p w:rsidR="001216C8" w:rsidP="00E763F3" w:rsidRDefault="001216C8" w14:paraId="1F1D81DF" w14:textId="77777777">
      <w:pPr>
        <w:pStyle w:val="Heading1"/>
        <w:rPr>
          <w:sz w:val="48"/>
          <w:szCs w:val="48"/>
          <w:lang w:val="en-US" w:eastAsia="en-US"/>
        </w:rPr>
      </w:pPr>
    </w:p>
    <w:p w:rsidR="001216C8" w:rsidP="00E763F3" w:rsidRDefault="001216C8" w14:paraId="4A316B45" w14:textId="77777777">
      <w:pPr>
        <w:pStyle w:val="Heading1"/>
        <w:rPr>
          <w:sz w:val="48"/>
          <w:szCs w:val="48"/>
          <w:lang w:val="en-US" w:eastAsia="en-US"/>
        </w:rPr>
      </w:pPr>
    </w:p>
    <w:p w:rsidR="001216C8" w:rsidP="00E763F3" w:rsidRDefault="001216C8" w14:paraId="75AA8766" w14:textId="77777777">
      <w:pPr>
        <w:pStyle w:val="Heading1"/>
        <w:rPr>
          <w:sz w:val="48"/>
          <w:szCs w:val="48"/>
          <w:lang w:val="en-US" w:eastAsia="en-US"/>
        </w:rPr>
      </w:pPr>
    </w:p>
    <w:p w:rsidR="001216C8" w:rsidP="00E763F3" w:rsidRDefault="001216C8" w14:paraId="27078DA4" w14:textId="77777777">
      <w:pPr>
        <w:pStyle w:val="Heading1"/>
        <w:rPr>
          <w:sz w:val="48"/>
          <w:szCs w:val="48"/>
          <w:lang w:val="en-US" w:eastAsia="en-US"/>
        </w:rPr>
      </w:pPr>
    </w:p>
    <w:p w:rsidR="001216C8" w:rsidP="00E763F3" w:rsidRDefault="001216C8" w14:paraId="6F439B8D" w14:textId="77777777">
      <w:pPr>
        <w:pStyle w:val="Heading1"/>
        <w:rPr>
          <w:sz w:val="48"/>
          <w:szCs w:val="48"/>
          <w:lang w:val="en-US" w:eastAsia="en-US"/>
        </w:rPr>
      </w:pPr>
    </w:p>
    <w:p w:rsidR="001216C8" w:rsidP="00E763F3" w:rsidRDefault="001216C8" w14:paraId="023802C0" w14:textId="77777777">
      <w:pPr>
        <w:pStyle w:val="Heading1"/>
        <w:rPr>
          <w:sz w:val="48"/>
          <w:szCs w:val="48"/>
          <w:lang w:val="en-US" w:eastAsia="en-US"/>
        </w:rPr>
      </w:pPr>
    </w:p>
    <w:p w:rsidR="009810C6" w:rsidP="00E763F3" w:rsidRDefault="009810C6" w14:paraId="51DFA31D" w14:textId="77777777">
      <w:pPr>
        <w:rPr>
          <w:lang w:val="en-US" w:eastAsia="en-US"/>
        </w:rPr>
      </w:pPr>
    </w:p>
    <w:p w:rsidR="009810C6" w:rsidP="00E763F3" w:rsidRDefault="009810C6" w14:paraId="0249504C" w14:textId="77777777">
      <w:pPr>
        <w:rPr>
          <w:lang w:val="en-US" w:eastAsia="en-US"/>
        </w:rPr>
      </w:pPr>
    </w:p>
    <w:p w:rsidR="009810C6" w:rsidP="00E763F3" w:rsidRDefault="009810C6" w14:paraId="72740546" w14:textId="77777777">
      <w:pPr>
        <w:rPr>
          <w:lang w:val="en-US" w:eastAsia="en-US"/>
        </w:rPr>
      </w:pPr>
    </w:p>
    <w:p w:rsidRPr="009810C6" w:rsidR="00741C87" w:rsidP="00E763F3" w:rsidRDefault="00741C87" w14:paraId="2630AA5D" w14:textId="77777777">
      <w:pPr>
        <w:rPr>
          <w:lang w:val="en-US" w:eastAsia="en-US"/>
        </w:rPr>
      </w:pPr>
    </w:p>
    <w:p w:rsidR="008D3658" w:rsidP="00E763F3" w:rsidRDefault="00DA5540" w14:paraId="39344C04" w14:textId="78B669BE">
      <w:pPr>
        <w:pStyle w:val="Heading1"/>
        <w:rPr>
          <w:sz w:val="48"/>
          <w:szCs w:val="48"/>
          <w:lang w:val="en-US" w:eastAsia="en-US"/>
        </w:rPr>
      </w:pPr>
      <w:bookmarkStart w:name="_Toc157422869" w:id="10"/>
      <w:r>
        <w:rPr>
          <w:sz w:val="48"/>
          <w:szCs w:val="48"/>
          <w:lang w:val="en-US" w:eastAsia="en-US"/>
        </w:rPr>
        <w:t>Telecommunications Affordability and Digital Inclusion</w:t>
      </w:r>
      <w:bookmarkEnd w:id="10"/>
    </w:p>
    <w:p w:rsidRPr="005D0931" w:rsidR="005D0931" w:rsidP="00E763F3" w:rsidRDefault="005D0931" w14:paraId="61229C29" w14:textId="700FA27F">
      <w:pPr>
        <w:pStyle w:val="Heading2"/>
        <w:rPr>
          <w:lang w:val="en-US" w:eastAsia="en-US"/>
        </w:rPr>
      </w:pPr>
      <w:r>
        <w:rPr>
          <w:lang w:val="en-US" w:eastAsia="en-US"/>
        </w:rPr>
        <w:t xml:space="preserve">The state of telecommunications affordability in Australia </w:t>
      </w:r>
    </w:p>
    <w:p w:rsidR="00F9588F" w:rsidP="00E763F3" w:rsidRDefault="00A34196" w14:paraId="77F35CC8" w14:textId="14D24437">
      <w:pPr>
        <w:rPr>
          <w:lang w:eastAsia="en-US"/>
        </w:rPr>
      </w:pPr>
      <w:r>
        <w:rPr>
          <w:lang w:eastAsia="en-US"/>
        </w:rPr>
        <w:t xml:space="preserve">Affordable communications products and services remain a </w:t>
      </w:r>
      <w:r w:rsidR="009C29B9">
        <w:rPr>
          <w:lang w:eastAsia="en-US"/>
        </w:rPr>
        <w:t xml:space="preserve">challenge for many Australian consumers. </w:t>
      </w:r>
      <w:r w:rsidR="00F34434">
        <w:rPr>
          <w:lang w:val="en-US" w:eastAsia="en-US"/>
        </w:rPr>
        <w:t>Research by the Department of Transport, Regional Development, Communications and the Arts (</w:t>
      </w:r>
      <w:r w:rsidRPr="009D6D51" w:rsidR="00F34434">
        <w:rPr>
          <w:b/>
          <w:bCs/>
          <w:lang w:val="en-US" w:eastAsia="en-US"/>
        </w:rPr>
        <w:t>DITRDCA</w:t>
      </w:r>
      <w:r w:rsidR="00F34434">
        <w:rPr>
          <w:lang w:val="en-US" w:eastAsia="en-US"/>
        </w:rPr>
        <w:t>) found ‘</w:t>
      </w:r>
      <w:r w:rsidRPr="008536D3" w:rsidR="00F34434">
        <w:rPr>
          <w:lang w:eastAsia="en-US"/>
        </w:rPr>
        <w:t>a higher spend on telecommunications relative to their disposable income in households where members: work from home, are financially stressed, are younger or middle-aged, where children are present, or if the household is located either in a rural area, or in a more prosperous area</w:t>
      </w:r>
      <w:r w:rsidR="00F34434">
        <w:rPr>
          <w:lang w:eastAsia="en-US"/>
        </w:rPr>
        <w:t>’</w:t>
      </w:r>
      <w:r w:rsidRPr="008536D3" w:rsidR="00F34434">
        <w:rPr>
          <w:lang w:eastAsia="en-US"/>
        </w:rPr>
        <w:t>.</w:t>
      </w:r>
      <w:r w:rsidR="00F34434">
        <w:rPr>
          <w:rStyle w:val="FootnoteReference"/>
          <w:lang w:eastAsia="en-US"/>
        </w:rPr>
        <w:footnoteReference w:id="3"/>
      </w:r>
      <w:r w:rsidR="00F34434">
        <w:rPr>
          <w:lang w:eastAsia="en-US"/>
        </w:rPr>
        <w:t xml:space="preserve"> Additionally, the Australian Competition and Consumer Commission (</w:t>
      </w:r>
      <w:r w:rsidRPr="007757D2" w:rsidR="00F34434">
        <w:rPr>
          <w:b/>
          <w:bCs/>
          <w:lang w:eastAsia="en-US"/>
        </w:rPr>
        <w:t>ACCC</w:t>
      </w:r>
      <w:r w:rsidR="00F34434">
        <w:rPr>
          <w:lang w:eastAsia="en-US"/>
        </w:rPr>
        <w:t>) noted broad price increases in medium and premium NBN services in the 2022-2023 period.</w:t>
      </w:r>
      <w:r w:rsidR="00F34434">
        <w:rPr>
          <w:rStyle w:val="FootnoteReference"/>
          <w:lang w:eastAsia="en-US"/>
        </w:rPr>
        <w:footnoteReference w:id="4"/>
      </w:r>
      <w:r w:rsidR="00F34434">
        <w:rPr>
          <w:lang w:eastAsia="en-US"/>
        </w:rPr>
        <w:t xml:space="preserve"> </w:t>
      </w:r>
      <w:r w:rsidR="009C29B9">
        <w:rPr>
          <w:lang w:eastAsia="en-US"/>
        </w:rPr>
        <w:t xml:space="preserve">ACCAN research </w:t>
      </w:r>
      <w:r w:rsidR="009A4C9D">
        <w:rPr>
          <w:lang w:eastAsia="en-US"/>
        </w:rPr>
        <w:t xml:space="preserve">indicated </w:t>
      </w:r>
      <w:r w:rsidR="009C29B9">
        <w:rPr>
          <w:lang w:eastAsia="en-US"/>
        </w:rPr>
        <w:t xml:space="preserve">that ‘26% of consumers </w:t>
      </w:r>
      <w:r w:rsidRPr="009C29B9" w:rsidR="009C29B9">
        <w:rPr>
          <w:lang w:eastAsia="en-US"/>
        </w:rPr>
        <w:t>did not find phone and internet costs affordable</w:t>
      </w:r>
      <w:r w:rsidR="009C29B9">
        <w:rPr>
          <w:lang w:eastAsia="en-US"/>
        </w:rPr>
        <w:t>’.</w:t>
      </w:r>
      <w:r w:rsidR="009C29B9">
        <w:rPr>
          <w:rStyle w:val="FootnoteReference"/>
          <w:lang w:eastAsia="en-US"/>
        </w:rPr>
        <w:footnoteReference w:id="5"/>
      </w:r>
      <w:r w:rsidR="0081768A">
        <w:rPr>
          <w:lang w:eastAsia="en-US"/>
        </w:rPr>
        <w:t xml:space="preserve"> </w:t>
      </w:r>
      <w:r w:rsidR="00F9588F">
        <w:rPr>
          <w:lang w:eastAsia="en-US"/>
        </w:rPr>
        <w:t xml:space="preserve">ACCAN’s affordability research </w:t>
      </w:r>
      <w:r w:rsidR="00F34434">
        <w:rPr>
          <w:lang w:eastAsia="en-US"/>
        </w:rPr>
        <w:t xml:space="preserve">noted </w:t>
      </w:r>
      <w:r w:rsidR="002C59AD">
        <w:rPr>
          <w:lang w:eastAsia="en-US"/>
        </w:rPr>
        <w:t>that:</w:t>
      </w:r>
    </w:p>
    <w:p w:rsidR="002C59AD" w:rsidP="00E763F3" w:rsidRDefault="002C59AD" w14:paraId="46418967" w14:textId="4E74AD1C">
      <w:pPr>
        <w:pStyle w:val="ListParagraph"/>
        <w:numPr>
          <w:ilvl w:val="0"/>
          <w:numId w:val="7"/>
        </w:numPr>
        <w:rPr>
          <w:lang w:eastAsia="en-US"/>
        </w:rPr>
      </w:pPr>
      <w:r w:rsidRPr="002C59AD">
        <w:rPr>
          <w:lang w:eastAsia="en-US"/>
        </w:rPr>
        <w:t>20% of consumers missed phone and internet bill payments because they couldn’t afford it.</w:t>
      </w:r>
      <w:r w:rsidR="00A363E3">
        <w:rPr>
          <w:rStyle w:val="FootnoteReference"/>
          <w:lang w:eastAsia="en-US"/>
        </w:rPr>
        <w:footnoteReference w:id="6"/>
      </w:r>
    </w:p>
    <w:p w:rsidR="002C59AD" w:rsidP="00E763F3" w:rsidRDefault="002C59AD" w14:paraId="21CF7B16" w14:textId="27ECF314">
      <w:pPr>
        <w:pStyle w:val="ListParagraph"/>
        <w:numPr>
          <w:ilvl w:val="0"/>
          <w:numId w:val="7"/>
        </w:numPr>
        <w:rPr>
          <w:lang w:eastAsia="en-US"/>
        </w:rPr>
      </w:pPr>
      <w:r w:rsidRPr="002C59AD">
        <w:rPr>
          <w:lang w:eastAsia="en-US"/>
        </w:rPr>
        <w:t>22% of consumers paid a bill late because they couldn’t afford it.</w:t>
      </w:r>
      <w:r w:rsidR="00A363E3">
        <w:rPr>
          <w:rStyle w:val="FootnoteReference"/>
          <w:lang w:eastAsia="en-US"/>
        </w:rPr>
        <w:footnoteReference w:id="7"/>
      </w:r>
    </w:p>
    <w:p w:rsidR="002C59AD" w:rsidP="00E763F3" w:rsidRDefault="002C59AD" w14:paraId="4E45F2B8" w14:textId="3A7CEE7B">
      <w:pPr>
        <w:pStyle w:val="ListParagraph"/>
        <w:numPr>
          <w:ilvl w:val="0"/>
          <w:numId w:val="7"/>
        </w:numPr>
        <w:rPr>
          <w:lang w:eastAsia="en-US"/>
        </w:rPr>
      </w:pPr>
      <w:r w:rsidRPr="002C59AD">
        <w:rPr>
          <w:lang w:eastAsia="en-US"/>
        </w:rPr>
        <w:t>21% of consumers went without other essentials such as food or medicine to pay a phone and internet bill.</w:t>
      </w:r>
      <w:r w:rsidR="00A363E3">
        <w:rPr>
          <w:rStyle w:val="FootnoteReference"/>
          <w:lang w:eastAsia="en-US"/>
        </w:rPr>
        <w:footnoteReference w:id="8"/>
      </w:r>
    </w:p>
    <w:p w:rsidR="002C59AD" w:rsidP="00E763F3" w:rsidRDefault="002C59AD" w14:paraId="70745640" w14:textId="46CB737B">
      <w:pPr>
        <w:pStyle w:val="ListParagraph"/>
        <w:numPr>
          <w:ilvl w:val="0"/>
          <w:numId w:val="7"/>
        </w:numPr>
        <w:rPr>
          <w:lang w:eastAsia="en-US"/>
        </w:rPr>
      </w:pPr>
      <w:r w:rsidRPr="002C59AD">
        <w:rPr>
          <w:lang w:eastAsia="en-US"/>
        </w:rPr>
        <w:t>20% of consumers used their phone and/or internet less than they needed to help save money.</w:t>
      </w:r>
      <w:r w:rsidR="00A363E3">
        <w:rPr>
          <w:rStyle w:val="FootnoteReference"/>
          <w:lang w:eastAsia="en-US"/>
        </w:rPr>
        <w:footnoteReference w:id="9"/>
      </w:r>
    </w:p>
    <w:p w:rsidR="000E6CBC" w:rsidP="00E763F3" w:rsidRDefault="007937B3" w14:paraId="7BB77419" w14:textId="618FAB13">
      <w:pPr>
        <w:rPr>
          <w:lang w:eastAsia="en-US"/>
        </w:rPr>
      </w:pPr>
      <w:r>
        <w:rPr>
          <w:lang w:eastAsia="en-US"/>
        </w:rPr>
        <w:t>The</w:t>
      </w:r>
      <w:r w:rsidR="006A402C">
        <w:rPr>
          <w:lang w:eastAsia="en-US"/>
        </w:rPr>
        <w:t xml:space="preserve"> 2023</w:t>
      </w:r>
      <w:r w:rsidR="00DF7BD6">
        <w:rPr>
          <w:lang w:eastAsia="en-US"/>
        </w:rPr>
        <w:t xml:space="preserve"> Australian</w:t>
      </w:r>
      <w:r w:rsidR="006A402C">
        <w:rPr>
          <w:lang w:eastAsia="en-US"/>
        </w:rPr>
        <w:t xml:space="preserve"> Digital Inclusion Index</w:t>
      </w:r>
      <w:r w:rsidR="00DF7BD6">
        <w:rPr>
          <w:lang w:eastAsia="en-US"/>
        </w:rPr>
        <w:t xml:space="preserve"> (</w:t>
      </w:r>
      <w:r w:rsidRPr="007937B3" w:rsidR="00DF7BD6">
        <w:rPr>
          <w:b/>
          <w:bCs/>
          <w:lang w:eastAsia="en-US"/>
        </w:rPr>
        <w:t>ADII</w:t>
      </w:r>
      <w:r w:rsidR="00DF7BD6">
        <w:rPr>
          <w:lang w:eastAsia="en-US"/>
        </w:rPr>
        <w:t>)</w:t>
      </w:r>
      <w:r w:rsidR="006A402C">
        <w:rPr>
          <w:lang w:eastAsia="en-US"/>
        </w:rPr>
        <w:t xml:space="preserve"> </w:t>
      </w:r>
      <w:r w:rsidR="00C34D55">
        <w:rPr>
          <w:lang w:eastAsia="en-US"/>
        </w:rPr>
        <w:t>indicate</w:t>
      </w:r>
      <w:r w:rsidR="005267D8">
        <w:rPr>
          <w:lang w:eastAsia="en-US"/>
        </w:rPr>
        <w:t>d</w:t>
      </w:r>
      <w:r w:rsidR="00C34D55">
        <w:rPr>
          <w:lang w:eastAsia="en-US"/>
        </w:rPr>
        <w:t xml:space="preserve"> </w:t>
      </w:r>
      <w:r>
        <w:rPr>
          <w:lang w:eastAsia="en-US"/>
        </w:rPr>
        <w:t>that</w:t>
      </w:r>
      <w:r w:rsidR="003B783A">
        <w:rPr>
          <w:lang w:eastAsia="en-US"/>
        </w:rPr>
        <w:t xml:space="preserve"> </w:t>
      </w:r>
      <w:r w:rsidR="00537888">
        <w:rPr>
          <w:lang w:eastAsia="en-US"/>
        </w:rPr>
        <w:t>‘</w:t>
      </w:r>
      <w:r w:rsidR="003B783A">
        <w:rPr>
          <w:lang w:eastAsia="en-US"/>
        </w:rPr>
        <w:t>while affordability has improved at a national level, some groups continue to experience high levels of affordability stress</w:t>
      </w:r>
      <w:r w:rsidR="00537888">
        <w:rPr>
          <w:lang w:eastAsia="en-US"/>
        </w:rPr>
        <w:t>’</w:t>
      </w:r>
      <w:r w:rsidR="003B783A">
        <w:rPr>
          <w:lang w:eastAsia="en-US"/>
        </w:rPr>
        <w:t>.</w:t>
      </w:r>
      <w:r w:rsidR="00537888">
        <w:rPr>
          <w:rStyle w:val="FootnoteReference"/>
          <w:lang w:eastAsia="en-US"/>
        </w:rPr>
        <w:footnoteReference w:id="10"/>
      </w:r>
      <w:r w:rsidR="00DF7BD6">
        <w:rPr>
          <w:lang w:eastAsia="en-US"/>
        </w:rPr>
        <w:t xml:space="preserve"> The ADII noted that: </w:t>
      </w:r>
    </w:p>
    <w:p w:rsidR="00DF7BD6" w:rsidP="00E763F3" w:rsidRDefault="00A74A41" w14:paraId="683D0163" w14:textId="06D68729">
      <w:pPr>
        <w:pStyle w:val="ListParagraph"/>
        <w:numPr>
          <w:ilvl w:val="0"/>
          <w:numId w:val="8"/>
        </w:numPr>
        <w:rPr>
          <w:lang w:eastAsia="en-US"/>
        </w:rPr>
      </w:pPr>
      <w:r>
        <w:rPr>
          <w:lang w:eastAsia="en-US"/>
        </w:rPr>
        <w:t>‘</w:t>
      </w:r>
      <w:r w:rsidRPr="00A74A41">
        <w:rPr>
          <w:lang w:eastAsia="en-US"/>
        </w:rPr>
        <w:t>4.3% of Australians would need to pay more than 10% of their household income to gain quality, uninterrupted connectivity</w:t>
      </w:r>
      <w:r>
        <w:rPr>
          <w:lang w:eastAsia="en-US"/>
        </w:rPr>
        <w:t>’.</w:t>
      </w:r>
      <w:r w:rsidR="0000705E">
        <w:rPr>
          <w:rStyle w:val="FootnoteReference"/>
          <w:lang w:eastAsia="en-US"/>
        </w:rPr>
        <w:footnoteReference w:id="11"/>
      </w:r>
    </w:p>
    <w:p w:rsidR="00A74A41" w:rsidP="00E763F3" w:rsidRDefault="0000705E" w14:paraId="6EC732FA" w14:textId="0EC8FF7F">
      <w:pPr>
        <w:pStyle w:val="ListParagraph"/>
        <w:numPr>
          <w:ilvl w:val="0"/>
          <w:numId w:val="8"/>
        </w:numPr>
        <w:rPr>
          <w:lang w:eastAsia="en-US"/>
        </w:rPr>
      </w:pPr>
      <w:r>
        <w:rPr>
          <w:lang w:eastAsia="en-US"/>
        </w:rPr>
        <w:t>‘</w:t>
      </w:r>
      <w:r w:rsidRPr="0000705E">
        <w:rPr>
          <w:lang w:eastAsia="en-US"/>
        </w:rPr>
        <w:t>27.6% of Australians experience affordability stress, meaning that accessing a quality internet connection and necessary devices would compromise their capacity to pay for other essential household items</w:t>
      </w:r>
      <w:r>
        <w:rPr>
          <w:lang w:eastAsia="en-US"/>
        </w:rPr>
        <w:t>’.</w:t>
      </w:r>
      <w:r>
        <w:rPr>
          <w:rStyle w:val="FootnoteReference"/>
          <w:lang w:eastAsia="en-US"/>
        </w:rPr>
        <w:footnoteReference w:id="12"/>
      </w:r>
    </w:p>
    <w:p w:rsidR="00110356" w:rsidP="00E763F3" w:rsidRDefault="00110356" w14:paraId="29318F51" w14:textId="3C23AF28">
      <w:pPr>
        <w:pStyle w:val="ListParagraph"/>
        <w:numPr>
          <w:ilvl w:val="0"/>
          <w:numId w:val="8"/>
        </w:numPr>
        <w:rPr>
          <w:lang w:eastAsia="en-US"/>
        </w:rPr>
      </w:pPr>
      <w:r>
        <w:rPr>
          <w:lang w:eastAsia="en-US"/>
        </w:rPr>
        <w:t>‘</w:t>
      </w:r>
      <w:r w:rsidRPr="00110356">
        <w:rPr>
          <w:lang w:eastAsia="en-US"/>
        </w:rPr>
        <w:t>All Australians in the lowest income quintile, and 48.3% of those in the second lowest, would have to pay more than 5% of their household income to gain quality, uninterrupted connectivity</w:t>
      </w:r>
      <w:r>
        <w:rPr>
          <w:lang w:eastAsia="en-US"/>
        </w:rPr>
        <w:t>’</w:t>
      </w:r>
      <w:r w:rsidRPr="00110356">
        <w:rPr>
          <w:lang w:eastAsia="en-US"/>
        </w:rPr>
        <w:t>.</w:t>
      </w:r>
      <w:r>
        <w:rPr>
          <w:rStyle w:val="FootnoteReference"/>
          <w:lang w:eastAsia="en-US"/>
        </w:rPr>
        <w:footnoteReference w:id="13"/>
      </w:r>
    </w:p>
    <w:p w:rsidR="009C6D88" w:rsidP="00E763F3" w:rsidRDefault="009C6D88" w14:paraId="7B95ABB0" w14:textId="77777777">
      <w:pPr>
        <w:rPr>
          <w:lang w:eastAsia="en-US"/>
        </w:rPr>
      </w:pPr>
      <w:r>
        <w:rPr>
          <w:lang w:eastAsia="en-US"/>
        </w:rPr>
        <w:t>Critically, the ADII noted the impacts of the cost of telecommunications products and services on internet access and use. These include:</w:t>
      </w:r>
    </w:p>
    <w:p w:rsidR="009C6D88" w:rsidP="00E763F3" w:rsidRDefault="00214CE9" w14:paraId="37E86D88" w14:textId="138DA8EC">
      <w:pPr>
        <w:pStyle w:val="ListParagraph"/>
        <w:numPr>
          <w:ilvl w:val="0"/>
          <w:numId w:val="8"/>
        </w:numPr>
        <w:rPr>
          <w:lang w:eastAsia="en-US"/>
        </w:rPr>
      </w:pPr>
      <w:r>
        <w:rPr>
          <w:lang w:eastAsia="en-US"/>
        </w:rPr>
        <w:t>‘</w:t>
      </w:r>
      <w:r w:rsidRPr="00021EE4" w:rsidR="009C6D88">
        <w:rPr>
          <w:lang w:eastAsia="en-US"/>
        </w:rPr>
        <w:t>18.6% of First Nations respondents reported cost as a reason for limiting internet use, compared to 5.7% of other Australians</w:t>
      </w:r>
      <w:r>
        <w:rPr>
          <w:lang w:eastAsia="en-US"/>
        </w:rPr>
        <w:t>’</w:t>
      </w:r>
      <w:r w:rsidRPr="00021EE4" w:rsidR="009C6D88">
        <w:rPr>
          <w:lang w:eastAsia="en-US"/>
        </w:rPr>
        <w:t>.</w:t>
      </w:r>
      <w:r w:rsidR="009C6D88">
        <w:rPr>
          <w:rStyle w:val="FootnoteReference"/>
          <w:lang w:eastAsia="en-US"/>
        </w:rPr>
        <w:footnoteReference w:id="14"/>
      </w:r>
    </w:p>
    <w:p w:rsidR="009C6D88" w:rsidP="00E763F3" w:rsidRDefault="00214CE9" w14:paraId="6ABED824" w14:textId="18291BE0">
      <w:pPr>
        <w:pStyle w:val="ListParagraph"/>
        <w:numPr>
          <w:ilvl w:val="0"/>
          <w:numId w:val="8"/>
        </w:numPr>
        <w:rPr>
          <w:lang w:eastAsia="en-US"/>
        </w:rPr>
      </w:pPr>
      <w:r>
        <w:rPr>
          <w:lang w:eastAsia="en-US"/>
        </w:rPr>
        <w:t>‘</w:t>
      </w:r>
      <w:r w:rsidRPr="00021EE4" w:rsidR="009C6D88">
        <w:rPr>
          <w:lang w:eastAsia="en-US"/>
        </w:rPr>
        <w:t xml:space="preserve">15.3% of unemployed respondents reported the cost of internet access as inhibiting use, compared to 4.9% of employed </w:t>
      </w:r>
      <w:proofErr w:type="gramStart"/>
      <w:r w:rsidRPr="00021EE4" w:rsidR="009C6D88">
        <w:rPr>
          <w:lang w:eastAsia="en-US"/>
        </w:rPr>
        <w:t>respondents</w:t>
      </w:r>
      <w:r>
        <w:rPr>
          <w:lang w:eastAsia="en-US"/>
        </w:rPr>
        <w:t>’</w:t>
      </w:r>
      <w:proofErr w:type="gramEnd"/>
      <w:r w:rsidRPr="00021EE4" w:rsidR="009C6D88">
        <w:rPr>
          <w:lang w:eastAsia="en-US"/>
        </w:rPr>
        <w:t>.</w:t>
      </w:r>
      <w:r w:rsidR="009C6D88">
        <w:rPr>
          <w:rStyle w:val="FootnoteReference"/>
          <w:lang w:eastAsia="en-US"/>
        </w:rPr>
        <w:footnoteReference w:id="15"/>
      </w:r>
    </w:p>
    <w:p w:rsidR="009C6D88" w:rsidP="00E763F3" w:rsidRDefault="00214CE9" w14:paraId="5B1C1CC3" w14:textId="5DC3B872">
      <w:pPr>
        <w:pStyle w:val="ListParagraph"/>
        <w:numPr>
          <w:ilvl w:val="0"/>
          <w:numId w:val="8"/>
        </w:numPr>
        <w:rPr>
          <w:lang w:eastAsia="en-US"/>
        </w:rPr>
      </w:pPr>
      <w:r>
        <w:rPr>
          <w:lang w:eastAsia="en-US"/>
        </w:rPr>
        <w:t>‘</w:t>
      </w:r>
      <w:r w:rsidRPr="00021EE4" w:rsidR="009C6D88">
        <w:rPr>
          <w:lang w:eastAsia="en-US"/>
        </w:rPr>
        <w:t>27.1% of respondents in very remote areas reported the cost of internet access as inhibiting use, compared with 5.7% of respondents in major cities, 4.2% in inner regional Australia, 11.7% in outer regional Australia, and 7.1% in remote Australia</w:t>
      </w:r>
      <w:r>
        <w:rPr>
          <w:lang w:eastAsia="en-US"/>
        </w:rPr>
        <w:t>’</w:t>
      </w:r>
      <w:r w:rsidRPr="00021EE4" w:rsidR="009C6D88">
        <w:rPr>
          <w:lang w:eastAsia="en-US"/>
        </w:rPr>
        <w:t>.</w:t>
      </w:r>
      <w:r w:rsidR="009C6D88">
        <w:rPr>
          <w:rStyle w:val="FootnoteReference"/>
          <w:lang w:eastAsia="en-US"/>
        </w:rPr>
        <w:footnoteReference w:id="16"/>
      </w:r>
    </w:p>
    <w:p w:rsidR="00782A75" w:rsidP="00E763F3" w:rsidRDefault="007937B3" w14:paraId="2568DD32" w14:textId="06B0DC8A">
      <w:pPr>
        <w:rPr>
          <w:lang w:eastAsia="en-US"/>
        </w:rPr>
      </w:pPr>
      <w:r>
        <w:rPr>
          <w:lang w:eastAsia="en-US"/>
        </w:rPr>
        <w:t>Some</w:t>
      </w:r>
      <w:r w:rsidR="001C4617">
        <w:rPr>
          <w:lang w:eastAsia="en-US"/>
        </w:rPr>
        <w:t xml:space="preserve"> consumer cohorts are particularly sensitive to affordability stress</w:t>
      </w:r>
      <w:r w:rsidR="00F13CD7">
        <w:rPr>
          <w:lang w:eastAsia="en-US"/>
        </w:rPr>
        <w:t xml:space="preserve"> including consumer</w:t>
      </w:r>
      <w:r w:rsidR="00EF7282">
        <w:rPr>
          <w:lang w:eastAsia="en-US"/>
        </w:rPr>
        <w:t>s living with a disability, living in public housing and currently unemployed</w:t>
      </w:r>
      <w:r w:rsidR="001C4617">
        <w:rPr>
          <w:lang w:eastAsia="en-US"/>
        </w:rPr>
        <w:t>.</w:t>
      </w:r>
      <w:r w:rsidR="00394D15">
        <w:rPr>
          <w:rStyle w:val="FootnoteReference"/>
          <w:lang w:eastAsia="en-US"/>
        </w:rPr>
        <w:footnoteReference w:id="17"/>
      </w:r>
      <w:r w:rsidR="00570BB8">
        <w:rPr>
          <w:lang w:eastAsia="en-US"/>
        </w:rPr>
        <w:t xml:space="preserve"> </w:t>
      </w:r>
      <w:r w:rsidR="00A71AA1">
        <w:rPr>
          <w:lang w:eastAsia="en-US"/>
        </w:rPr>
        <w:t xml:space="preserve">Addressing telecommunications affordability is critical for improving the uptake of telecommunications services and </w:t>
      </w:r>
      <w:r w:rsidR="00AF069B">
        <w:rPr>
          <w:lang w:eastAsia="en-US"/>
        </w:rPr>
        <w:t xml:space="preserve">the benefits associated with quality telecommunications connectivity. </w:t>
      </w:r>
    </w:p>
    <w:p w:rsidR="00EC3A6B" w:rsidP="00E763F3" w:rsidRDefault="00214CE9" w14:paraId="3318BA00" w14:textId="37B7C724">
      <w:pPr>
        <w:rPr>
          <w:lang w:eastAsia="en-US"/>
        </w:rPr>
      </w:pPr>
      <w:r>
        <w:rPr>
          <w:lang w:eastAsia="en-US"/>
        </w:rPr>
        <w:t>To this end, ACCAN supports the extension of the School Student Broadband Initiative until 31 December 2024 and the extension of the duration of free services to 31 December 2025.</w:t>
      </w:r>
      <w:r>
        <w:rPr>
          <w:rStyle w:val="FootnoteReference"/>
          <w:lang w:eastAsia="en-US"/>
        </w:rPr>
        <w:footnoteReference w:id="18"/>
      </w:r>
      <w:r>
        <w:rPr>
          <w:lang w:eastAsia="en-US"/>
        </w:rPr>
        <w:t xml:space="preserve"> We maintain that</w:t>
      </w:r>
      <w:r w:rsidR="00534ECF">
        <w:rPr>
          <w:lang w:eastAsia="en-US"/>
        </w:rPr>
        <w:t>,</w:t>
      </w:r>
      <w:r>
        <w:rPr>
          <w:lang w:eastAsia="en-US"/>
        </w:rPr>
        <w:t xml:space="preserve"> </w:t>
      </w:r>
      <w:r w:rsidR="001777ED">
        <w:rPr>
          <w:lang w:eastAsia="en-US"/>
        </w:rPr>
        <w:t xml:space="preserve">in accordance with telecommunications’ status as an essential service, </w:t>
      </w:r>
      <w:r>
        <w:rPr>
          <w:lang w:eastAsia="en-US"/>
        </w:rPr>
        <w:t>addition</w:t>
      </w:r>
      <w:r w:rsidR="00B5049A">
        <w:rPr>
          <w:lang w:eastAsia="en-US"/>
        </w:rPr>
        <w:t xml:space="preserve">al </w:t>
      </w:r>
      <w:r>
        <w:rPr>
          <w:lang w:eastAsia="en-US"/>
        </w:rPr>
        <w:t>measures</w:t>
      </w:r>
      <w:r w:rsidR="003A4DC7">
        <w:rPr>
          <w:lang w:eastAsia="en-US"/>
        </w:rPr>
        <w:t xml:space="preserve"> should</w:t>
      </w:r>
      <w:r>
        <w:rPr>
          <w:lang w:eastAsia="en-US"/>
        </w:rPr>
        <w:t xml:space="preserve"> </w:t>
      </w:r>
      <w:r w:rsidR="00B5049A">
        <w:rPr>
          <w:lang w:eastAsia="en-US"/>
        </w:rPr>
        <w:t xml:space="preserve">be considered by the </w:t>
      </w:r>
      <w:r w:rsidR="00C34D55">
        <w:rPr>
          <w:lang w:eastAsia="en-US"/>
        </w:rPr>
        <w:t>T</w:t>
      </w:r>
      <w:r w:rsidR="00B5049A">
        <w:rPr>
          <w:lang w:eastAsia="en-US"/>
        </w:rPr>
        <w:t xml:space="preserve">reasury to assist </w:t>
      </w:r>
      <w:r w:rsidR="002C7E0E">
        <w:rPr>
          <w:lang w:eastAsia="en-US"/>
        </w:rPr>
        <w:t>telecommunications consumer</w:t>
      </w:r>
      <w:r w:rsidR="00534ECF">
        <w:rPr>
          <w:lang w:eastAsia="en-US"/>
        </w:rPr>
        <w:t>s</w:t>
      </w:r>
      <w:r w:rsidR="002C7E0E">
        <w:rPr>
          <w:lang w:eastAsia="en-US"/>
        </w:rPr>
        <w:t xml:space="preserve"> in accessing affordable and reliable connectivity. </w:t>
      </w:r>
      <w:r>
        <w:rPr>
          <w:lang w:eastAsia="en-US"/>
        </w:rPr>
        <w:t xml:space="preserve"> </w:t>
      </w:r>
    </w:p>
    <w:p w:rsidR="008D3658" w:rsidP="00E763F3" w:rsidRDefault="00961939" w14:paraId="178115D5" w14:textId="4A57F3D3">
      <w:pPr>
        <w:pStyle w:val="Heading2"/>
        <w:rPr>
          <w:lang w:eastAsia="en-US"/>
        </w:rPr>
      </w:pPr>
      <w:r w:rsidRPr="00DC04F0">
        <w:rPr>
          <w:lang w:eastAsia="en-US"/>
        </w:rPr>
        <w:t xml:space="preserve">Affordable broadband – </w:t>
      </w:r>
      <w:r w:rsidR="00F90690">
        <w:rPr>
          <w:lang w:eastAsia="en-US"/>
        </w:rPr>
        <w:t xml:space="preserve">Establishing a concessional service for </w:t>
      </w:r>
      <w:r w:rsidR="00C82558">
        <w:rPr>
          <w:lang w:eastAsia="en-US"/>
        </w:rPr>
        <w:t xml:space="preserve">vulnerable </w:t>
      </w:r>
      <w:proofErr w:type="gramStart"/>
      <w:r w:rsidR="00C14B6B">
        <w:rPr>
          <w:lang w:eastAsia="en-US"/>
        </w:rPr>
        <w:t>consumers</w:t>
      </w:r>
      <w:proofErr w:type="gramEnd"/>
      <w:r w:rsidR="005D0931">
        <w:rPr>
          <w:lang w:eastAsia="en-US"/>
        </w:rPr>
        <w:t xml:space="preserve"> </w:t>
      </w:r>
    </w:p>
    <w:p w:rsidR="00350D61" w:rsidP="00E763F3" w:rsidRDefault="001B4249" w14:paraId="44AD75E4" w14:textId="4E91215C">
      <w:pPr>
        <w:rPr>
          <w:lang w:eastAsia="en-US"/>
        </w:rPr>
      </w:pPr>
      <w:r>
        <w:rPr>
          <w:lang w:eastAsia="en-US"/>
        </w:rPr>
        <w:t xml:space="preserve">A broadband connection can be transformative. </w:t>
      </w:r>
      <w:r w:rsidR="00512A59">
        <w:rPr>
          <w:lang w:eastAsia="en-US"/>
        </w:rPr>
        <w:t xml:space="preserve">Consumers accessing affordable broadband </w:t>
      </w:r>
      <w:r w:rsidR="00E14554">
        <w:rPr>
          <w:lang w:eastAsia="en-US"/>
        </w:rPr>
        <w:t xml:space="preserve">experience significant economic and social benefits, enabling them to increase their average income, create new employment opportunities and </w:t>
      </w:r>
      <w:r w:rsidR="00726D08">
        <w:rPr>
          <w:lang w:eastAsia="en-US"/>
        </w:rPr>
        <w:t>more effectively engage with their communities.</w:t>
      </w:r>
      <w:r w:rsidR="007E602B">
        <w:rPr>
          <w:rStyle w:val="FootnoteReference"/>
          <w:lang w:eastAsia="en-US"/>
        </w:rPr>
        <w:footnoteReference w:id="19"/>
      </w:r>
      <w:r w:rsidR="00726D08">
        <w:rPr>
          <w:lang w:eastAsia="en-US"/>
        </w:rPr>
        <w:t xml:space="preserve"> </w:t>
      </w:r>
      <w:r w:rsidR="00931C5A">
        <w:rPr>
          <w:lang w:eastAsia="en-US"/>
        </w:rPr>
        <w:t xml:space="preserve">Ensuring that an essential service is accompanied by </w:t>
      </w:r>
      <w:r w:rsidR="00E6145D">
        <w:rPr>
          <w:lang w:eastAsia="en-US"/>
        </w:rPr>
        <w:t>the provision of a subsidised, concession</w:t>
      </w:r>
      <w:r w:rsidR="00854DDA">
        <w:rPr>
          <w:lang w:eastAsia="en-US"/>
        </w:rPr>
        <w:t>al</w:t>
      </w:r>
      <w:r w:rsidR="00E6145D">
        <w:rPr>
          <w:lang w:eastAsia="en-US"/>
        </w:rPr>
        <w:t xml:space="preserve"> service for its most vulnerable users </w:t>
      </w:r>
      <w:r w:rsidR="00931C5A">
        <w:rPr>
          <w:lang w:eastAsia="en-US"/>
        </w:rPr>
        <w:t>is essential to ensuring equitable service access</w:t>
      </w:r>
      <w:r w:rsidR="00CA735F">
        <w:rPr>
          <w:lang w:eastAsia="en-US"/>
        </w:rPr>
        <w:t xml:space="preserve"> and improving </w:t>
      </w:r>
      <w:r w:rsidR="00E6145D">
        <w:rPr>
          <w:lang w:eastAsia="en-US"/>
        </w:rPr>
        <w:t xml:space="preserve">the utilisation of the service. </w:t>
      </w:r>
    </w:p>
    <w:p w:rsidR="001C48BE" w:rsidP="00E763F3" w:rsidRDefault="00CA735F" w14:paraId="461F88A9" w14:textId="3D398D72">
      <w:pPr>
        <w:rPr>
          <w:lang w:eastAsia="en-US"/>
        </w:rPr>
      </w:pPr>
      <w:r>
        <w:rPr>
          <w:lang w:eastAsia="en-US"/>
        </w:rPr>
        <w:t xml:space="preserve">ACCAN’s </w:t>
      </w:r>
      <w:r w:rsidR="005846F6">
        <w:rPr>
          <w:lang w:eastAsia="en-US"/>
        </w:rPr>
        <w:t>priority for this space has centred around our ‘No Australian Left Offline’ policy position</w:t>
      </w:r>
      <w:r w:rsidR="004A0100">
        <w:rPr>
          <w:lang w:eastAsia="en-US"/>
        </w:rPr>
        <w:t>,</w:t>
      </w:r>
      <w:r w:rsidR="005846F6">
        <w:rPr>
          <w:lang w:eastAsia="en-US"/>
        </w:rPr>
        <w:t xml:space="preserve"> which </w:t>
      </w:r>
      <w:r w:rsidR="00C23E5F">
        <w:rPr>
          <w:lang w:eastAsia="en-US"/>
        </w:rPr>
        <w:t>aims to ensure that all Australians</w:t>
      </w:r>
      <w:r w:rsidR="003A2541">
        <w:rPr>
          <w:lang w:eastAsia="en-US"/>
        </w:rPr>
        <w:t>,</w:t>
      </w:r>
      <w:r w:rsidR="00C23E5F">
        <w:rPr>
          <w:lang w:eastAsia="en-US"/>
        </w:rPr>
        <w:t xml:space="preserve"> especially </w:t>
      </w:r>
      <w:r w:rsidR="00EB3ED7">
        <w:rPr>
          <w:lang w:eastAsia="en-US"/>
        </w:rPr>
        <w:t>those</w:t>
      </w:r>
      <w:r w:rsidR="00C23E5F">
        <w:rPr>
          <w:lang w:eastAsia="en-US"/>
        </w:rPr>
        <w:t xml:space="preserve"> experiencing vulnerability</w:t>
      </w:r>
      <w:r w:rsidR="005D05FE">
        <w:rPr>
          <w:lang w:eastAsia="en-US"/>
        </w:rPr>
        <w:t>,</w:t>
      </w:r>
      <w:r w:rsidR="00C23E5F">
        <w:rPr>
          <w:lang w:eastAsia="en-US"/>
        </w:rPr>
        <w:t xml:space="preserve"> are </w:t>
      </w:r>
      <w:r w:rsidR="00854DDA">
        <w:rPr>
          <w:lang w:eastAsia="en-US"/>
        </w:rPr>
        <w:t>able</w:t>
      </w:r>
      <w:r w:rsidR="004A0100">
        <w:rPr>
          <w:lang w:eastAsia="en-US"/>
        </w:rPr>
        <w:t xml:space="preserve"> </w:t>
      </w:r>
      <w:r w:rsidR="00C23E5F">
        <w:rPr>
          <w:lang w:eastAsia="en-US"/>
        </w:rPr>
        <w:t xml:space="preserve">to </w:t>
      </w:r>
      <w:r w:rsidR="00C23E5F">
        <w:rPr>
          <w:lang w:eastAsia="en-US"/>
        </w:rPr>
        <w:t>access an affordable home broadband internet service.</w:t>
      </w:r>
      <w:r w:rsidR="00EB3ED7">
        <w:rPr>
          <w:rStyle w:val="FootnoteReference"/>
          <w:lang w:eastAsia="en-US"/>
        </w:rPr>
        <w:footnoteReference w:id="20"/>
      </w:r>
      <w:r w:rsidR="00C23E5F">
        <w:rPr>
          <w:lang w:eastAsia="en-US"/>
        </w:rPr>
        <w:t xml:space="preserve"> </w:t>
      </w:r>
      <w:r w:rsidR="000E3D19">
        <w:rPr>
          <w:lang w:eastAsia="en-US"/>
        </w:rPr>
        <w:t>Offering a concessional broadband service at a wholesale level</w:t>
      </w:r>
      <w:r w:rsidR="00900952">
        <w:rPr>
          <w:lang w:eastAsia="en-US"/>
        </w:rPr>
        <w:t xml:space="preserve"> </w:t>
      </w:r>
      <w:r w:rsidRPr="00900952" w:rsidR="00900952">
        <w:rPr>
          <w:lang w:eastAsia="en-US"/>
        </w:rPr>
        <w:t xml:space="preserve">will enable retail service providers to make competitive offerings available to </w:t>
      </w:r>
      <w:r w:rsidRPr="00900952" w:rsidR="00C57172">
        <w:rPr>
          <w:lang w:eastAsia="en-US"/>
        </w:rPr>
        <w:t>low-income</w:t>
      </w:r>
      <w:r w:rsidRPr="00900952" w:rsidR="00900952">
        <w:rPr>
          <w:lang w:eastAsia="en-US"/>
        </w:rPr>
        <w:t xml:space="preserve"> consumers and</w:t>
      </w:r>
      <w:r w:rsidR="00D3101E">
        <w:rPr>
          <w:lang w:eastAsia="en-US"/>
        </w:rPr>
        <w:t xml:space="preserve"> improve consumers</w:t>
      </w:r>
      <w:r w:rsidR="000C08BD">
        <w:rPr>
          <w:lang w:eastAsia="en-US"/>
        </w:rPr>
        <w:t>’</w:t>
      </w:r>
      <w:r w:rsidR="00D3101E">
        <w:rPr>
          <w:lang w:eastAsia="en-US"/>
        </w:rPr>
        <w:t xml:space="preserve"> ability to </w:t>
      </w:r>
      <w:r w:rsidRPr="00900952" w:rsidR="00900952">
        <w:rPr>
          <w:lang w:eastAsia="en-US"/>
        </w:rPr>
        <w:t>shop around for the best offer to suit their needs</w:t>
      </w:r>
      <w:r w:rsidR="00900952">
        <w:rPr>
          <w:lang w:eastAsia="en-US"/>
        </w:rPr>
        <w:t>.</w:t>
      </w:r>
      <w:r w:rsidR="00900952">
        <w:rPr>
          <w:rStyle w:val="FootnoteReference"/>
          <w:lang w:eastAsia="en-US"/>
        </w:rPr>
        <w:footnoteReference w:id="21"/>
      </w:r>
      <w:r w:rsidR="00A93A49">
        <w:rPr>
          <w:lang w:eastAsia="en-US"/>
        </w:rPr>
        <w:t xml:space="preserve"> </w:t>
      </w:r>
      <w:r w:rsidR="001C60BA">
        <w:rPr>
          <w:lang w:eastAsia="en-US"/>
        </w:rPr>
        <w:t>T</w:t>
      </w:r>
      <w:r w:rsidR="00C57172">
        <w:rPr>
          <w:lang w:eastAsia="en-US"/>
        </w:rPr>
        <w:t xml:space="preserve">his </w:t>
      </w:r>
      <w:r w:rsidR="001C60BA">
        <w:rPr>
          <w:lang w:eastAsia="en-US"/>
        </w:rPr>
        <w:t xml:space="preserve">proposed service </w:t>
      </w:r>
      <w:r w:rsidR="00DA7562">
        <w:rPr>
          <w:lang w:eastAsia="en-US"/>
        </w:rPr>
        <w:t>c</w:t>
      </w:r>
      <w:r w:rsidR="00C57172">
        <w:rPr>
          <w:lang w:eastAsia="en-US"/>
        </w:rPr>
        <w:t xml:space="preserve">ould provide support </w:t>
      </w:r>
      <w:r w:rsidR="001C60BA">
        <w:rPr>
          <w:lang w:eastAsia="en-US"/>
        </w:rPr>
        <w:t xml:space="preserve">for </w:t>
      </w:r>
      <w:r w:rsidR="00DA7562">
        <w:rPr>
          <w:lang w:eastAsia="en-US"/>
        </w:rPr>
        <w:t>up to</w:t>
      </w:r>
      <w:r w:rsidR="00C57172">
        <w:rPr>
          <w:lang w:eastAsia="en-US"/>
        </w:rPr>
        <w:t xml:space="preserve"> </w:t>
      </w:r>
      <w:r w:rsidR="00CC3338">
        <w:rPr>
          <w:lang w:eastAsia="en-US"/>
        </w:rPr>
        <w:t>two</w:t>
      </w:r>
      <w:r w:rsidR="00C57172">
        <w:rPr>
          <w:lang w:eastAsia="en-US"/>
        </w:rPr>
        <w:t xml:space="preserve"> million households</w:t>
      </w:r>
      <w:r w:rsidR="001C60BA">
        <w:rPr>
          <w:lang w:eastAsia="en-US"/>
        </w:rPr>
        <w:t xml:space="preserve">, </w:t>
      </w:r>
      <w:r w:rsidR="003F228B">
        <w:rPr>
          <w:lang w:eastAsia="en-US"/>
        </w:rPr>
        <w:t>including consumers who are living in public housing, seniors</w:t>
      </w:r>
      <w:r w:rsidR="00994257">
        <w:rPr>
          <w:lang w:eastAsia="en-US"/>
        </w:rPr>
        <w:t>,</w:t>
      </w:r>
      <w:r w:rsidR="003F228B">
        <w:rPr>
          <w:lang w:eastAsia="en-US"/>
        </w:rPr>
        <w:t xml:space="preserve"> and </w:t>
      </w:r>
      <w:r w:rsidR="00DA7562">
        <w:rPr>
          <w:lang w:eastAsia="en-US"/>
        </w:rPr>
        <w:t xml:space="preserve">those </w:t>
      </w:r>
      <w:r w:rsidR="003F228B">
        <w:rPr>
          <w:lang w:eastAsia="en-US"/>
        </w:rPr>
        <w:t>receiving government assistance.</w:t>
      </w:r>
      <w:r w:rsidR="003F228B">
        <w:rPr>
          <w:rStyle w:val="FootnoteReference"/>
          <w:lang w:eastAsia="en-US"/>
        </w:rPr>
        <w:footnoteReference w:id="22"/>
      </w:r>
      <w:r w:rsidR="0006411F">
        <w:rPr>
          <w:lang w:eastAsia="en-US"/>
        </w:rPr>
        <w:t xml:space="preserve"> </w:t>
      </w:r>
    </w:p>
    <w:p w:rsidR="009134F0" w:rsidP="00E763F3" w:rsidRDefault="000A3ACA" w14:paraId="1F22ECA3" w14:textId="75E0B38C">
      <w:pPr>
        <w:rPr>
          <w:lang w:eastAsia="en-US"/>
        </w:rPr>
      </w:pPr>
      <w:r>
        <w:rPr>
          <w:lang w:eastAsia="en-US"/>
        </w:rPr>
        <w:t xml:space="preserve">ACCAN considers that providing this concessional service </w:t>
      </w:r>
      <w:r w:rsidR="00A3100A">
        <w:rPr>
          <w:lang w:eastAsia="en-US"/>
        </w:rPr>
        <w:t xml:space="preserve">will </w:t>
      </w:r>
      <w:r w:rsidR="00342356">
        <w:rPr>
          <w:lang w:eastAsia="en-US"/>
        </w:rPr>
        <w:t xml:space="preserve">enable consumers to </w:t>
      </w:r>
      <w:r w:rsidR="0006411F">
        <w:rPr>
          <w:lang w:eastAsia="en-US"/>
        </w:rPr>
        <w:t>access the NBN without putting themselves into financial hardship.</w:t>
      </w:r>
      <w:r w:rsidR="00CF11FD">
        <w:rPr>
          <w:lang w:eastAsia="en-US"/>
        </w:rPr>
        <w:t xml:space="preserve"> A</w:t>
      </w:r>
      <w:r w:rsidR="009134F0">
        <w:rPr>
          <w:lang w:eastAsia="en-US"/>
        </w:rPr>
        <w:t xml:space="preserve"> concessional broadband service has the potential to place downward pressure on the communications costs faced by low-income households</w:t>
      </w:r>
      <w:r w:rsidR="004222EB">
        <w:rPr>
          <w:lang w:eastAsia="en-US"/>
        </w:rPr>
        <w:t xml:space="preserve"> by</w:t>
      </w:r>
      <w:r w:rsidR="009C20E4">
        <w:rPr>
          <w:lang w:eastAsia="en-US"/>
        </w:rPr>
        <w:t xml:space="preserve"> </w:t>
      </w:r>
      <w:r w:rsidR="00740FDC">
        <w:rPr>
          <w:lang w:eastAsia="en-US"/>
        </w:rPr>
        <w:t xml:space="preserve">promoting competition among </w:t>
      </w:r>
      <w:r w:rsidR="0051506D">
        <w:rPr>
          <w:lang w:eastAsia="en-US"/>
        </w:rPr>
        <w:t>network providers.</w:t>
      </w:r>
      <w:r w:rsidR="00621DD8">
        <w:rPr>
          <w:lang w:eastAsia="en-US"/>
        </w:rPr>
        <w:t xml:space="preserve"> </w:t>
      </w:r>
      <w:r w:rsidR="009134F0">
        <w:rPr>
          <w:lang w:eastAsia="en-US"/>
        </w:rPr>
        <w:t xml:space="preserve">Moreover, the introduction of a concessional service is likely </w:t>
      </w:r>
      <w:r w:rsidR="00621DD8">
        <w:rPr>
          <w:lang w:eastAsia="en-US"/>
        </w:rPr>
        <w:t xml:space="preserve">be </w:t>
      </w:r>
      <w:r w:rsidR="00163DA5">
        <w:rPr>
          <w:lang w:eastAsia="en-US"/>
        </w:rPr>
        <w:t xml:space="preserve">an effective way to increase the </w:t>
      </w:r>
      <w:r w:rsidR="00D22CB2">
        <w:rPr>
          <w:lang w:eastAsia="en-US"/>
        </w:rPr>
        <w:t>earning capacity</w:t>
      </w:r>
      <w:r w:rsidR="00163DA5">
        <w:rPr>
          <w:lang w:eastAsia="en-US"/>
        </w:rPr>
        <w:t xml:space="preserve"> of </w:t>
      </w:r>
      <w:r w:rsidR="00D63DC9">
        <w:rPr>
          <w:lang w:eastAsia="en-US"/>
        </w:rPr>
        <w:t xml:space="preserve">low-income and vulnerable groups </w:t>
      </w:r>
      <w:r w:rsidR="00B41805">
        <w:rPr>
          <w:lang w:eastAsia="en-US"/>
        </w:rPr>
        <w:t xml:space="preserve">with low-inflationary impact. </w:t>
      </w:r>
    </w:p>
    <w:p w:rsidR="00CE6D41" w:rsidP="00C92884" w:rsidRDefault="00CE6D41" w14:paraId="09190851" w14:textId="226C5782">
      <w:pPr>
        <w:pStyle w:val="Recommendation"/>
        <w:numPr>
          <w:ilvl w:val="0"/>
          <w:numId w:val="28"/>
        </w:numPr>
      </w:pPr>
      <w:r>
        <w:t xml:space="preserve">That the </w:t>
      </w:r>
      <w:r w:rsidR="00A15706">
        <w:t xml:space="preserve">Federal Government </w:t>
      </w:r>
      <w:r w:rsidR="00014FAE">
        <w:t>allocates funding to NBN Co to offer a 50</w:t>
      </w:r>
      <w:r w:rsidR="002E0151">
        <w:t xml:space="preserve"> </w:t>
      </w:r>
      <w:r w:rsidR="002B021F">
        <w:t>M</w:t>
      </w:r>
      <w:r w:rsidR="00014FAE">
        <w:t>bps service at a concession of $20 per month to households receiving Commonwealth financial support.</w:t>
      </w:r>
    </w:p>
    <w:p w:rsidRPr="000A6F54" w:rsidR="00961939" w:rsidP="00E763F3" w:rsidRDefault="005D0931" w14:paraId="1FE3451B" w14:textId="7307C5C0">
      <w:pPr>
        <w:pStyle w:val="Heading2"/>
        <w:rPr>
          <w:lang w:eastAsia="en-US"/>
        </w:rPr>
      </w:pPr>
      <w:r>
        <w:rPr>
          <w:lang w:eastAsia="en-US"/>
        </w:rPr>
        <w:t xml:space="preserve">An </w:t>
      </w:r>
      <w:r w:rsidRPr="000A6F54" w:rsidR="007C2FE9">
        <w:rPr>
          <w:lang w:eastAsia="en-US"/>
        </w:rPr>
        <w:t>Independent Plan Comparison Tool</w:t>
      </w:r>
      <w:r>
        <w:rPr>
          <w:lang w:eastAsia="en-US"/>
        </w:rPr>
        <w:t xml:space="preserve"> may assist in improving value for </w:t>
      </w:r>
      <w:proofErr w:type="gramStart"/>
      <w:r>
        <w:rPr>
          <w:lang w:eastAsia="en-US"/>
        </w:rPr>
        <w:t>money</w:t>
      </w:r>
      <w:proofErr w:type="gramEnd"/>
    </w:p>
    <w:p w:rsidR="001511C2" w:rsidP="00E763F3" w:rsidRDefault="00052C51" w14:paraId="39D251AD" w14:textId="3B9CC0C6">
      <w:pPr>
        <w:rPr>
          <w:lang w:eastAsia="en-US"/>
        </w:rPr>
      </w:pPr>
      <w:r>
        <w:rPr>
          <w:lang w:eastAsia="en-US"/>
        </w:rPr>
        <w:t xml:space="preserve">Despite the competitive nature of the Australian telecommunications market, many consumers </w:t>
      </w:r>
      <w:r w:rsidR="00262A1D">
        <w:rPr>
          <w:lang w:eastAsia="en-US"/>
        </w:rPr>
        <w:t xml:space="preserve">face </w:t>
      </w:r>
      <w:r>
        <w:rPr>
          <w:lang w:eastAsia="en-US"/>
        </w:rPr>
        <w:t xml:space="preserve">information asymmetries when </w:t>
      </w:r>
      <w:r w:rsidR="00D94F16">
        <w:rPr>
          <w:lang w:eastAsia="en-US"/>
        </w:rPr>
        <w:t xml:space="preserve">searching for the right telecommunications plans to suit their needs. </w:t>
      </w:r>
      <w:r w:rsidRPr="00E63CDF" w:rsidR="00D94F16">
        <w:rPr>
          <w:lang w:eastAsia="en-US"/>
        </w:rPr>
        <w:t>This has the effect of consumers being unaware of the products and services offered by some providers in the telecommunications market, leading to som</w:t>
      </w:r>
      <w:r w:rsidRPr="00E63CDF" w:rsidR="00A631AF">
        <w:rPr>
          <w:lang w:eastAsia="en-US"/>
        </w:rPr>
        <w:t>e consumers having difficulty finding telecommunications products to suit their needs</w:t>
      </w:r>
      <w:r w:rsidRPr="00EA23E3" w:rsidR="00262A1D">
        <w:rPr>
          <w:lang w:eastAsia="en-US"/>
        </w:rPr>
        <w:t xml:space="preserve"> and paying more than they otherwise would were they informed</w:t>
      </w:r>
      <w:r w:rsidRPr="00E63CDF" w:rsidR="00A631AF">
        <w:rPr>
          <w:lang w:eastAsia="en-US"/>
        </w:rPr>
        <w:t>.</w:t>
      </w:r>
      <w:r w:rsidR="00A631AF">
        <w:rPr>
          <w:lang w:eastAsia="en-US"/>
        </w:rPr>
        <w:t xml:space="preserve"> </w:t>
      </w:r>
    </w:p>
    <w:p w:rsidR="00F229E0" w:rsidP="00E763F3" w:rsidRDefault="00F229E0" w14:paraId="0741F28D" w14:textId="7DBC0566">
      <w:r w:rsidRPr="00090625">
        <w:rPr>
          <w:lang w:eastAsia="en-US"/>
        </w:rPr>
        <w:t>Consumers overwhelmingly agree that it should be easier to find and compare information about phone and internet plans</w:t>
      </w:r>
      <w:r>
        <w:rPr>
          <w:lang w:eastAsia="en-US"/>
        </w:rPr>
        <w:t>.</w:t>
      </w:r>
      <w:r>
        <w:rPr>
          <w:rStyle w:val="FootnoteReference"/>
          <w:lang w:eastAsia="en-US"/>
        </w:rPr>
        <w:footnoteReference w:id="23"/>
      </w:r>
      <w:r>
        <w:rPr>
          <w:lang w:eastAsia="en-US"/>
        </w:rPr>
        <w:t xml:space="preserve"> </w:t>
      </w:r>
      <w:r>
        <w:t>Research by Finder noted that ‘consumers are most commonly motivated by price when it comes to switching providers’.</w:t>
      </w:r>
      <w:r>
        <w:rPr>
          <w:rStyle w:val="FootnoteReference"/>
        </w:rPr>
        <w:footnoteReference w:id="24"/>
      </w:r>
      <w:r>
        <w:t xml:space="preserve"> Additionally, 50 percent of Australians surveyed had not switched their telecommunications provider in the last 5 years with almost 68 percent of consumers surveyed not having switched their provider in the last 3 years.</w:t>
      </w:r>
      <w:r>
        <w:rPr>
          <w:rStyle w:val="FootnoteReference"/>
        </w:rPr>
        <w:footnoteReference w:id="25"/>
      </w:r>
      <w:r>
        <w:t xml:space="preserve"> </w:t>
      </w:r>
      <w:r w:rsidR="00122672">
        <w:t>The ACCC’s 2023 internet activity report noted that consumers are currently using on average, 24.4GB of mobile data per month.</w:t>
      </w:r>
      <w:r w:rsidR="00122672">
        <w:rPr>
          <w:rStyle w:val="FootnoteReference"/>
        </w:rPr>
        <w:footnoteReference w:id="26"/>
      </w:r>
      <w:r w:rsidR="00122672">
        <w:t xml:space="preserve"> </w:t>
      </w:r>
      <w:r>
        <w:t xml:space="preserve">This demonstrates that many consumers may benefit from a more effective </w:t>
      </w:r>
      <w:r w:rsidR="002A2B61">
        <w:t xml:space="preserve">search tool </w:t>
      </w:r>
      <w:r>
        <w:t xml:space="preserve">to assist them in changing telecommunications providers, </w:t>
      </w:r>
      <w:r w:rsidR="00EE0802">
        <w:t xml:space="preserve">improving their own consumer outcomes and promoting greater competition within the market. </w:t>
      </w:r>
    </w:p>
    <w:p w:rsidR="00122672" w:rsidP="00E763F3" w:rsidRDefault="006101D9" w14:paraId="4BE23A13" w14:textId="47CA9677">
      <w:r>
        <w:t>E</w:t>
      </w:r>
      <w:r w:rsidR="0001315A">
        <w:t>xisting p</w:t>
      </w:r>
      <w:r w:rsidR="00122672">
        <w:t xml:space="preserve">rivate comparison tools do not necessarily put consumers’ interests first and may: </w:t>
      </w:r>
    </w:p>
    <w:p w:rsidR="00122672" w:rsidP="00E763F3" w:rsidRDefault="00122672" w14:paraId="40DAD00E" w14:textId="77777777">
      <w:pPr>
        <w:pStyle w:val="ListParagraph"/>
        <w:numPr>
          <w:ilvl w:val="0"/>
          <w:numId w:val="10"/>
        </w:numPr>
      </w:pPr>
      <w:r>
        <w:t>Present consumers with incomplete information on the options available to them.</w:t>
      </w:r>
    </w:p>
    <w:p w:rsidR="00122672" w:rsidP="00E763F3" w:rsidRDefault="00122672" w14:paraId="256C8B2B" w14:textId="77777777">
      <w:pPr>
        <w:pStyle w:val="ListParagraph"/>
        <w:numPr>
          <w:ilvl w:val="0"/>
          <w:numId w:val="10"/>
        </w:numPr>
      </w:pPr>
      <w:r>
        <w:t xml:space="preserve">Have hidden commercial relationships with the providers they list on their site. </w:t>
      </w:r>
    </w:p>
    <w:p w:rsidR="00122672" w:rsidP="00E763F3" w:rsidRDefault="00122672" w14:paraId="5023C18B" w14:textId="77777777">
      <w:pPr>
        <w:pStyle w:val="ListParagraph"/>
        <w:numPr>
          <w:ilvl w:val="0"/>
          <w:numId w:val="10"/>
        </w:numPr>
      </w:pPr>
      <w:r>
        <w:t>Provide limited or no information on accessible options for people with disability.</w:t>
      </w:r>
      <w:r>
        <w:rPr>
          <w:rStyle w:val="FootnoteReference"/>
        </w:rPr>
        <w:footnoteReference w:id="27"/>
      </w:r>
    </w:p>
    <w:p w:rsidR="00703003" w:rsidP="00E763F3" w:rsidRDefault="00C6116F" w14:paraId="5A7E2FF3" w14:textId="69AB0AD9">
      <w:r>
        <w:t xml:space="preserve">Therefore, </w:t>
      </w:r>
      <w:r w:rsidR="00703003">
        <w:t xml:space="preserve">consumers </w:t>
      </w:r>
      <w:r w:rsidR="00231CAF">
        <w:t xml:space="preserve">would better </w:t>
      </w:r>
      <w:r w:rsidR="00703003">
        <w:t>benefit from a</w:t>
      </w:r>
      <w:r w:rsidR="00D93ED2">
        <w:t xml:space="preserve"> more independent source of information </w:t>
      </w:r>
      <w:r w:rsidR="00703003">
        <w:t>to assist them in switching to a cheaper telecommunications provider which may better suit their needs</w:t>
      </w:r>
      <w:r w:rsidR="00231CAF">
        <w:t>.</w:t>
      </w:r>
      <w:r w:rsidR="00F61161">
        <w:t xml:space="preserve"> </w:t>
      </w:r>
    </w:p>
    <w:p w:rsidR="00035D70" w:rsidP="00E763F3" w:rsidRDefault="00901524" w14:paraId="3DAB7C13" w14:textId="0C4DE154">
      <w:pPr>
        <w:rPr>
          <w:lang w:eastAsia="en-US"/>
        </w:rPr>
      </w:pPr>
      <w:r>
        <w:rPr>
          <w:lang w:eastAsia="en-US"/>
        </w:rPr>
        <w:t>In response to these factors and the</w:t>
      </w:r>
      <w:r w:rsidR="00AD4A78">
        <w:rPr>
          <w:lang w:eastAsia="en-US"/>
        </w:rPr>
        <w:t xml:space="preserve"> affordability barriers experienced by telecommunications consumers noted above, t</w:t>
      </w:r>
      <w:r w:rsidR="00891CB6">
        <w:rPr>
          <w:lang w:eastAsia="en-US"/>
        </w:rPr>
        <w:t>he</w:t>
      </w:r>
      <w:r w:rsidR="00090625">
        <w:rPr>
          <w:lang w:eastAsia="en-US"/>
        </w:rPr>
        <w:t xml:space="preserve"> </w:t>
      </w:r>
      <w:r w:rsidR="00AD4A78">
        <w:rPr>
          <w:lang w:eastAsia="en-US"/>
        </w:rPr>
        <w:t>F</w:t>
      </w:r>
      <w:r w:rsidR="00090625">
        <w:rPr>
          <w:lang w:eastAsia="en-US"/>
        </w:rPr>
        <w:t xml:space="preserve">ederal </w:t>
      </w:r>
      <w:r w:rsidR="00AD4A78">
        <w:rPr>
          <w:lang w:eastAsia="en-US"/>
        </w:rPr>
        <w:t>G</w:t>
      </w:r>
      <w:r w:rsidR="00090625">
        <w:rPr>
          <w:lang w:eastAsia="en-US"/>
        </w:rPr>
        <w:t xml:space="preserve">overnment should develop an </w:t>
      </w:r>
      <w:r w:rsidR="00D93ED2">
        <w:t>independent plan comparison tool (</w:t>
      </w:r>
      <w:r w:rsidRPr="0052654D" w:rsidR="00D93ED2">
        <w:rPr>
          <w:b/>
          <w:bCs/>
        </w:rPr>
        <w:t>IPCT</w:t>
      </w:r>
      <w:r w:rsidR="00D93ED2">
        <w:t xml:space="preserve">) </w:t>
      </w:r>
      <w:r w:rsidR="00090625">
        <w:rPr>
          <w:lang w:eastAsia="en-US"/>
        </w:rPr>
        <w:t xml:space="preserve">for the telecommunications sector. </w:t>
      </w:r>
      <w:r w:rsidRPr="00035D70" w:rsidR="00035D70">
        <w:rPr>
          <w:lang w:eastAsia="en-US"/>
        </w:rPr>
        <w:t>An IPCT would provide several benefits</w:t>
      </w:r>
      <w:r w:rsidR="00D93ED2">
        <w:rPr>
          <w:lang w:eastAsia="en-US"/>
        </w:rPr>
        <w:t xml:space="preserve">, including: </w:t>
      </w:r>
    </w:p>
    <w:p w:rsidR="00035D70" w:rsidP="00E763F3" w:rsidRDefault="00035D70" w14:paraId="22D13B06" w14:textId="77777777">
      <w:pPr>
        <w:pStyle w:val="ListParagraph"/>
        <w:numPr>
          <w:ilvl w:val="0"/>
          <w:numId w:val="9"/>
        </w:numPr>
        <w:rPr>
          <w:lang w:eastAsia="en-US"/>
        </w:rPr>
      </w:pPr>
      <w:r w:rsidRPr="00035D70">
        <w:rPr>
          <w:lang w:eastAsia="en-US"/>
        </w:rPr>
        <w:t>Providing unbiased prominence to offers in the market.</w:t>
      </w:r>
    </w:p>
    <w:p w:rsidR="00035D70" w:rsidP="00E763F3" w:rsidRDefault="00035D70" w14:paraId="1B856026" w14:textId="1A7F92DC">
      <w:pPr>
        <w:pStyle w:val="ListParagraph"/>
        <w:numPr>
          <w:ilvl w:val="0"/>
          <w:numId w:val="9"/>
        </w:numPr>
        <w:rPr>
          <w:lang w:eastAsia="en-US"/>
        </w:rPr>
      </w:pPr>
      <w:r w:rsidRPr="00035D70">
        <w:rPr>
          <w:lang w:eastAsia="en-US"/>
        </w:rPr>
        <w:t>Allowing consumers to place greater trust in the tool’s operation.</w:t>
      </w:r>
    </w:p>
    <w:p w:rsidR="00035D70" w:rsidP="00E763F3" w:rsidRDefault="00035D70" w14:paraId="3AC14C15" w14:textId="77777777">
      <w:pPr>
        <w:pStyle w:val="ListParagraph"/>
        <w:numPr>
          <w:ilvl w:val="0"/>
          <w:numId w:val="9"/>
        </w:numPr>
        <w:rPr>
          <w:lang w:eastAsia="en-US"/>
        </w:rPr>
      </w:pPr>
      <w:r w:rsidRPr="00035D70">
        <w:rPr>
          <w:lang w:eastAsia="en-US"/>
        </w:rPr>
        <w:t>Reducing the search costs and information asymmetries faced by consumers.</w:t>
      </w:r>
    </w:p>
    <w:p w:rsidR="00090625" w:rsidP="00E763F3" w:rsidRDefault="00035D70" w14:paraId="3BDBFE84" w14:textId="40790DB8">
      <w:pPr>
        <w:pStyle w:val="ListParagraph"/>
        <w:numPr>
          <w:ilvl w:val="0"/>
          <w:numId w:val="9"/>
        </w:numPr>
        <w:rPr>
          <w:lang w:eastAsia="en-US"/>
        </w:rPr>
      </w:pPr>
      <w:r w:rsidRPr="00035D70">
        <w:rPr>
          <w:lang w:eastAsia="en-US"/>
        </w:rPr>
        <w:t>Promoting competition by reducing barriers to entry and enhancing the discoverability of smaller providers.</w:t>
      </w:r>
      <w:r w:rsidR="00891CB6">
        <w:rPr>
          <w:rStyle w:val="FootnoteReference"/>
          <w:lang w:eastAsia="en-US"/>
        </w:rPr>
        <w:footnoteReference w:id="28"/>
      </w:r>
    </w:p>
    <w:p w:rsidR="006005AF" w:rsidP="00E763F3" w:rsidRDefault="000A6F54" w14:paraId="69FC1507" w14:textId="2E04A585">
      <w:r>
        <w:t>Carriage Service Providers are required to provide consumers with a free summary of each of their offers upon request through a Critical Information Summary (</w:t>
      </w:r>
      <w:r w:rsidRPr="00195B25">
        <w:rPr>
          <w:b/>
          <w:bCs/>
        </w:rPr>
        <w:t>CIS</w:t>
      </w:r>
      <w:r>
        <w:t>). However, this information is not in a format that is readily comparable for consumers. Existing CIS documentation or Consumer Data Right product information could be standardised and uploaded to the IPCT.</w:t>
      </w:r>
      <w:r w:rsidR="009865B7">
        <w:rPr>
          <w:rStyle w:val="FootnoteReference"/>
        </w:rPr>
        <w:footnoteReference w:id="29"/>
      </w:r>
      <w:r>
        <w:t xml:space="preserve"> An example of this approach is the Australian Energy Regulator pricing guidelines, which is used by Energy Made Easy (</w:t>
      </w:r>
      <w:r w:rsidRPr="00990D60">
        <w:rPr>
          <w:b/>
          <w:bCs/>
        </w:rPr>
        <w:t>EME</w:t>
      </w:r>
      <w:r>
        <w:t>) and could be adapted to the telecommunications sector. In the energy sector, providers submit data to EME which accompanies their energy plans on the market.</w:t>
      </w:r>
      <w:r w:rsidR="006F77D2">
        <w:rPr>
          <w:rStyle w:val="FootnoteReference"/>
        </w:rPr>
        <w:footnoteReference w:id="30"/>
      </w:r>
    </w:p>
    <w:p w:rsidR="004B2A55" w:rsidP="00E763F3" w:rsidRDefault="00245E25" w14:paraId="2DDF5555" w14:textId="77777777">
      <w:r>
        <w:t>Since 2021, EME has facilitated approximately 1 million website searches per year and more than 60,000 consumers per year have switched their energy retailer after having completed a search using EME.</w:t>
      </w:r>
      <w:r>
        <w:rPr>
          <w:rStyle w:val="FootnoteReference"/>
        </w:rPr>
        <w:footnoteReference w:id="31"/>
      </w:r>
      <w:r>
        <w:t xml:space="preserve"> Should an IPCT be developed and resourced to an appropriate extent compared to EME, many consumers will be facilitated to make savings on their telecommunications bills.</w:t>
      </w:r>
      <w:r>
        <w:rPr>
          <w:rStyle w:val="FootnoteReference"/>
        </w:rPr>
        <w:footnoteReference w:id="32"/>
      </w:r>
      <w:r w:rsidR="00F9078B">
        <w:t xml:space="preserve"> </w:t>
      </w:r>
    </w:p>
    <w:p w:rsidR="00B810B1" w:rsidP="00E763F3" w:rsidRDefault="00B810B1" w14:paraId="19B0F1DE" w14:textId="77777777">
      <w:r>
        <w:t xml:space="preserve">An IPCT would help reduce existing information asymmetries by empowering consumers with reliable and impartial information about which plan would best suit their needs. It would encourage consumers to more frequently change providers, preventing the build-up of incumbency bias and rewarding providers who compete on price. It would offer consumers an effective way to reduce the </w:t>
      </w:r>
      <w:r>
        <w:t>cost of telecommunications plans, encourage service providers to offer more affordable plans, and help reduce inflationary pressures by lowering the economic costs of connectivity.</w:t>
      </w:r>
    </w:p>
    <w:p w:rsidR="001B09D4" w:rsidP="00E763F3" w:rsidRDefault="001B09D4" w14:paraId="508A275E" w14:textId="138CFCD8">
      <w:pPr>
        <w:pStyle w:val="Recommendation"/>
      </w:pPr>
      <w:r>
        <w:t xml:space="preserve">That the </w:t>
      </w:r>
      <w:r w:rsidR="00340B15">
        <w:t xml:space="preserve">Federal </w:t>
      </w:r>
      <w:r>
        <w:t>Government invests in a trusted, independent online plan comparison tool for phone and internet services, to give greater choice to consumers.</w:t>
      </w:r>
      <w:r w:rsidR="00F248B8">
        <w:t xml:space="preserve"> </w:t>
      </w:r>
      <w:r w:rsidR="00380DB3">
        <w:t xml:space="preserve">Existing government comparison tools should be analysed to establish the most effective methods to develop, fund and promote the IPCT. </w:t>
      </w:r>
    </w:p>
    <w:p w:rsidR="00A7157E" w:rsidP="00E763F3" w:rsidRDefault="00A7157E" w14:paraId="47C2954C" w14:textId="77D1A7F0">
      <w:pPr>
        <w:pStyle w:val="Heading2"/>
        <w:rPr>
          <w:lang w:eastAsia="en-US"/>
        </w:rPr>
      </w:pPr>
      <w:r>
        <w:rPr>
          <w:lang w:eastAsia="en-US"/>
        </w:rPr>
        <w:t xml:space="preserve">Affordable </w:t>
      </w:r>
      <w:r w:rsidR="00504430">
        <w:rPr>
          <w:lang w:eastAsia="en-US"/>
        </w:rPr>
        <w:t xml:space="preserve">internet device access is critical to ensuring quality </w:t>
      </w:r>
      <w:proofErr w:type="gramStart"/>
      <w:r w:rsidR="00504430">
        <w:rPr>
          <w:lang w:eastAsia="en-US"/>
        </w:rPr>
        <w:t>connectivity</w:t>
      </w:r>
      <w:proofErr w:type="gramEnd"/>
    </w:p>
    <w:p w:rsidRPr="00DC5FF6" w:rsidR="00DC5FF6" w:rsidP="008515B4" w:rsidRDefault="008C5E3C" w14:paraId="7516CB0E" w14:textId="391FE98A">
      <w:r>
        <w:t xml:space="preserve">Many consumer and community stakeholders have noted that the affordability, accessibility and </w:t>
      </w:r>
      <w:r w:rsidR="003F12F9">
        <w:t>repairability of internet communication devices continues to be an issue for consumers.</w:t>
      </w:r>
      <w:r w:rsidRPr="00B517AD" w:rsidR="00B517AD">
        <w:t xml:space="preserve"> </w:t>
      </w:r>
      <w:r w:rsidRPr="00D4253B" w:rsidR="00B517AD">
        <w:t>16% of respondents reported struggling to afford a device such as a mobile, tablet or laptop</w:t>
      </w:r>
      <w:r w:rsidR="00B517AD">
        <w:t>.</w:t>
      </w:r>
      <w:r w:rsidR="00B517AD">
        <w:rPr>
          <w:rStyle w:val="FootnoteReference"/>
        </w:rPr>
        <w:footnoteReference w:id="33"/>
      </w:r>
      <w:r w:rsidR="00B517AD">
        <w:t xml:space="preserve"> This research noted that supports targeting the affordability of devices would assist </w:t>
      </w:r>
      <w:r w:rsidR="004B39A0">
        <w:t>consumers on low incomes</w:t>
      </w:r>
      <w:r w:rsidR="00B517AD">
        <w:t>.</w:t>
      </w:r>
      <w:r w:rsidR="00B517AD">
        <w:rPr>
          <w:rStyle w:val="FootnoteReference"/>
        </w:rPr>
        <w:footnoteReference w:id="34"/>
      </w:r>
      <w:r w:rsidR="00B517AD">
        <w:t xml:space="preserve"> To assist consumers in attaining affordable mobile phones, ACCAN considers that a </w:t>
      </w:r>
      <w:r w:rsidRPr="00BB1833" w:rsidR="00B517AD">
        <w:t>long-term device supply and replacement program</w:t>
      </w:r>
      <w:r w:rsidR="00075F6C">
        <w:t xml:space="preserve"> be implemented</w:t>
      </w:r>
      <w:r w:rsidRPr="00BB1833" w:rsidR="00B517AD">
        <w:t xml:space="preserve"> at a national leve</w:t>
      </w:r>
      <w:r w:rsidR="00B517AD">
        <w:t xml:space="preserve">l. </w:t>
      </w:r>
    </w:p>
    <w:p w:rsidR="00D1635B" w:rsidP="008515B4" w:rsidRDefault="00E5031A" w14:paraId="1971D024" w14:textId="29772A60">
      <w:pPr>
        <w:autoSpaceDN/>
        <w:contextualSpacing/>
      </w:pPr>
      <w:r>
        <w:t xml:space="preserve">ACCAN notes that research from Finder </w:t>
      </w:r>
      <w:r w:rsidR="007A67A3">
        <w:t xml:space="preserve">in 2022 </w:t>
      </w:r>
      <w:r>
        <w:t xml:space="preserve">noted that </w:t>
      </w:r>
      <w:r w:rsidRPr="00DA1F1B">
        <w:t>49%</w:t>
      </w:r>
      <w:r w:rsidR="007409B4">
        <w:t xml:space="preserve"> of parents with children under 12</w:t>
      </w:r>
      <w:r w:rsidR="007A67A3">
        <w:t xml:space="preserve"> were unable to </w:t>
      </w:r>
      <w:r w:rsidRPr="00DA1F1B">
        <w:t>provide regular access to devices required for their children's education</w:t>
      </w:r>
      <w:r>
        <w:t>.</w:t>
      </w:r>
      <w:r>
        <w:rPr>
          <w:rStyle w:val="FootnoteReference"/>
        </w:rPr>
        <w:footnoteReference w:id="35"/>
      </w:r>
      <w:r>
        <w:t xml:space="preserve"> </w:t>
      </w:r>
      <w:r w:rsidR="00B517AD">
        <w:t xml:space="preserve">ACCAN considers that the government should consider </w:t>
      </w:r>
      <w:r w:rsidR="00FB7A95">
        <w:t>a</w:t>
      </w:r>
      <w:r w:rsidR="00B517AD">
        <w:t xml:space="preserve"> formalised pathway to ensure that the internet devices that are </w:t>
      </w:r>
      <w:r w:rsidR="00E17660">
        <w:t xml:space="preserve">used </w:t>
      </w:r>
      <w:r w:rsidR="00B517AD">
        <w:t>and replaced through large corporate entities and governments are refurbished and provided to low-income consumer</w:t>
      </w:r>
      <w:r w:rsidR="00D53C83">
        <w:t>s</w:t>
      </w:r>
      <w:r w:rsidR="00B517AD">
        <w:t xml:space="preserve">. ACCAN considers that the provision of these devices should be accompanied by digital inclusion-based support through resourced, reputable community organisations. This formalised pathway may be established through a </w:t>
      </w:r>
      <w:r w:rsidR="009A5864">
        <w:t xml:space="preserve">legislated </w:t>
      </w:r>
      <w:r w:rsidR="00B517AD">
        <w:t xml:space="preserve">stewardship scheme </w:t>
      </w:r>
      <w:r w:rsidR="009A5864">
        <w:t xml:space="preserve">or </w:t>
      </w:r>
      <w:r w:rsidR="00C0567A">
        <w:t xml:space="preserve">an </w:t>
      </w:r>
      <w:r w:rsidR="009A5864">
        <w:t>equivalent</w:t>
      </w:r>
      <w:r w:rsidR="00B517AD">
        <w:t>. This scheme should:</w:t>
      </w:r>
    </w:p>
    <w:p w:rsidR="00183803" w:rsidP="008515B4" w:rsidRDefault="009E1E48" w14:paraId="7F6ED992" w14:textId="38735925">
      <w:pPr>
        <w:pStyle w:val="ListParagraph"/>
        <w:numPr>
          <w:ilvl w:val="0"/>
          <w:numId w:val="13"/>
        </w:numPr>
        <w:autoSpaceDN/>
      </w:pPr>
      <w:r>
        <w:t xml:space="preserve">Ensure that low-income people without </w:t>
      </w:r>
      <w:r w:rsidR="00463A3F">
        <w:t xml:space="preserve">consistent access to internet </w:t>
      </w:r>
      <w:r>
        <w:t xml:space="preserve">devices receive the devices and digital inclusion support they require to enhance their economic participation and social wellbeing. </w:t>
      </w:r>
    </w:p>
    <w:p w:rsidR="00B517AD" w:rsidP="008515B4" w:rsidRDefault="00B517AD" w14:paraId="3AB86FBC" w14:textId="142FA97B">
      <w:pPr>
        <w:pStyle w:val="ListParagraph"/>
        <w:numPr>
          <w:ilvl w:val="0"/>
          <w:numId w:val="13"/>
        </w:numPr>
        <w:autoSpaceDN/>
      </w:pPr>
      <w:r>
        <w:t>Require that</w:t>
      </w:r>
      <w:r w:rsidRPr="008C57CA">
        <w:t xml:space="preserve"> </w:t>
      </w:r>
      <w:r w:rsidR="00D1635B">
        <w:t>organisations or businesses</w:t>
      </w:r>
      <w:r w:rsidRPr="008C57CA">
        <w:t xml:space="preserve"> </w:t>
      </w:r>
      <w:r>
        <w:t>who</w:t>
      </w:r>
      <w:r w:rsidRPr="008C57CA">
        <w:t xml:space="preserve"> import</w:t>
      </w:r>
      <w:r w:rsidR="009E1E48">
        <w:t xml:space="preserve"> or utilise</w:t>
      </w:r>
      <w:r w:rsidRPr="008C57CA">
        <w:t xml:space="preserve"> a </w:t>
      </w:r>
      <w:r w:rsidR="009E1E48">
        <w:t>large</w:t>
      </w:r>
      <w:r w:rsidRPr="008C57CA">
        <w:t xml:space="preserve"> number of devices contribute to </w:t>
      </w:r>
      <w:r w:rsidR="00D1635B">
        <w:t xml:space="preserve">the funding of </w:t>
      </w:r>
      <w:r w:rsidR="009E1E48">
        <w:t xml:space="preserve">this formalised pathway. </w:t>
      </w:r>
    </w:p>
    <w:p w:rsidR="009E1E48" w:rsidP="008515B4" w:rsidRDefault="00BD3E91" w14:paraId="77D15DB9" w14:textId="46D13CF0">
      <w:pPr>
        <w:pStyle w:val="ListParagraph"/>
        <w:numPr>
          <w:ilvl w:val="0"/>
          <w:numId w:val="13"/>
        </w:numPr>
        <w:autoSpaceDN/>
      </w:pPr>
      <w:r>
        <w:t xml:space="preserve">Ensure that reputable and effective community services and organisations are utilised to disseminate these devices. </w:t>
      </w:r>
    </w:p>
    <w:p w:rsidR="00B517AD" w:rsidP="008515B4" w:rsidRDefault="00B517AD" w14:paraId="118B5274" w14:textId="0D0D1B1D">
      <w:pPr>
        <w:pStyle w:val="ListParagraph"/>
        <w:numPr>
          <w:ilvl w:val="0"/>
          <w:numId w:val="13"/>
        </w:numPr>
        <w:autoSpaceDN/>
      </w:pPr>
      <w:r>
        <w:t xml:space="preserve">Include resourcing for ongoing digital inclusion supports to consumers receiving these goods, provided to organisations who distribute internet devices. </w:t>
      </w:r>
    </w:p>
    <w:p w:rsidR="00896352" w:rsidP="008515B4" w:rsidRDefault="000C4FB9" w14:paraId="30405C5D" w14:textId="748A0F57">
      <w:pPr>
        <w:autoSpaceDN/>
      </w:pPr>
      <w:r>
        <w:t xml:space="preserve">Research by </w:t>
      </w:r>
      <w:proofErr w:type="spellStart"/>
      <w:r>
        <w:t>Work</w:t>
      </w:r>
      <w:r w:rsidR="00517A79">
        <w:t>V</w:t>
      </w:r>
      <w:r>
        <w:t>entures</w:t>
      </w:r>
      <w:proofErr w:type="spellEnd"/>
      <w:r>
        <w:t xml:space="preserve"> </w:t>
      </w:r>
      <w:r w:rsidR="00FD75CF">
        <w:t>noted that ‘</w:t>
      </w:r>
      <w:r w:rsidRPr="00B405A0" w:rsidR="00B405A0">
        <w:t>51.6% lower income families repor</w:t>
      </w:r>
      <w:r w:rsidR="00B405A0">
        <w:t>ted</w:t>
      </w:r>
      <w:r w:rsidRPr="00B405A0" w:rsidR="00B405A0">
        <w:t xml:space="preserve"> their children could miss out on the digital devices needed for schoolwork because they won’t be able to afford them</w:t>
      </w:r>
      <w:r w:rsidR="00B405A0">
        <w:t>’.</w:t>
      </w:r>
      <w:r w:rsidR="002F48FD">
        <w:rPr>
          <w:rStyle w:val="FootnoteReference"/>
        </w:rPr>
        <w:footnoteReference w:id="36"/>
      </w:r>
      <w:r w:rsidR="00660A16">
        <w:t xml:space="preserve"> This research also found that </w:t>
      </w:r>
      <w:r w:rsidR="00897A43">
        <w:t>‘</w:t>
      </w:r>
      <w:r w:rsidRPr="00897A43" w:rsidR="00897A43">
        <w:t xml:space="preserve">84% students with inadequate access to a computer had trouble </w:t>
      </w:r>
      <w:r w:rsidRPr="00897A43" w:rsidR="00897A43">
        <w:t>finishing class work and assignments</w:t>
      </w:r>
      <w:r w:rsidR="00897A43">
        <w:t>’</w:t>
      </w:r>
      <w:r w:rsidRPr="00897A43" w:rsidR="00897A43">
        <w:t>.</w:t>
      </w:r>
      <w:r w:rsidR="00311E9C">
        <w:rPr>
          <w:rStyle w:val="FootnoteReference"/>
        </w:rPr>
        <w:footnoteReference w:id="37"/>
      </w:r>
      <w:r w:rsidR="000E7254">
        <w:t xml:space="preserve"> Being able to access a </w:t>
      </w:r>
      <w:r w:rsidR="00B3575A">
        <w:t>suitable digital device has substantial benefits</w:t>
      </w:r>
      <w:r w:rsidR="00051C07">
        <w:t xml:space="preserve">, </w:t>
      </w:r>
      <w:r w:rsidR="004A7E94">
        <w:t>‘</w:t>
      </w:r>
      <w:r w:rsidRPr="004A7E94" w:rsidR="004A7E94">
        <w:rPr>
          <w:lang w:val="en-US"/>
        </w:rPr>
        <w:t xml:space="preserve">83% of surveyed students </w:t>
      </w:r>
      <w:r w:rsidR="00517A79">
        <w:rPr>
          <w:lang w:val="en-US"/>
        </w:rPr>
        <w:t>e</w:t>
      </w:r>
      <w:r w:rsidR="004A7E94">
        <w:rPr>
          <w:lang w:val="en-US"/>
        </w:rPr>
        <w:t>xperienced</w:t>
      </w:r>
      <w:r w:rsidRPr="004A7E94" w:rsidR="004A7E94">
        <w:rPr>
          <w:lang w:val="en-US"/>
        </w:rPr>
        <w:t xml:space="preserve"> improvement in their grades, and the majority (97%) indicating that their new laptop supported them in completing their homework and assignments</w:t>
      </w:r>
      <w:r w:rsidR="004A7E94">
        <w:rPr>
          <w:lang w:val="en-US"/>
        </w:rPr>
        <w:t>’</w:t>
      </w:r>
      <w:r w:rsidRPr="004A7E94" w:rsidR="004A7E94">
        <w:rPr>
          <w:lang w:val="en-US"/>
        </w:rPr>
        <w:t>.</w:t>
      </w:r>
      <w:r w:rsidR="00311E9C">
        <w:rPr>
          <w:rStyle w:val="FootnoteReference"/>
          <w:lang w:val="en-US"/>
        </w:rPr>
        <w:footnoteReference w:id="38"/>
      </w:r>
      <w:r w:rsidR="004A7E94">
        <w:rPr>
          <w:lang w:val="en-US"/>
        </w:rPr>
        <w:t xml:space="preserve"> ACC</w:t>
      </w:r>
      <w:r w:rsidR="00B703EA">
        <w:rPr>
          <w:lang w:val="en-US"/>
        </w:rPr>
        <w:t xml:space="preserve">AN supports </w:t>
      </w:r>
      <w:proofErr w:type="spellStart"/>
      <w:r w:rsidR="00B703EA">
        <w:rPr>
          <w:lang w:val="en-US"/>
        </w:rPr>
        <w:t>Work</w:t>
      </w:r>
      <w:r w:rsidR="007E1C6B">
        <w:rPr>
          <w:lang w:val="en-US"/>
        </w:rPr>
        <w:t>V</w:t>
      </w:r>
      <w:r w:rsidR="00B703EA">
        <w:rPr>
          <w:lang w:val="en-US"/>
        </w:rPr>
        <w:t>entures</w:t>
      </w:r>
      <w:proofErr w:type="spellEnd"/>
      <w:r w:rsidR="00517A79">
        <w:rPr>
          <w:lang w:val="en-US"/>
        </w:rPr>
        <w:t>’ calls for the establishment of</w:t>
      </w:r>
      <w:r w:rsidR="00584DC6">
        <w:rPr>
          <w:lang w:val="en-US"/>
        </w:rPr>
        <w:t xml:space="preserve"> a </w:t>
      </w:r>
      <w:r w:rsidR="00222B4A">
        <w:rPr>
          <w:lang w:val="en-US"/>
        </w:rPr>
        <w:t>N</w:t>
      </w:r>
      <w:r w:rsidR="00584DC6">
        <w:rPr>
          <w:lang w:val="en-US"/>
        </w:rPr>
        <w:t xml:space="preserve">ational </w:t>
      </w:r>
      <w:r w:rsidR="00222B4A">
        <w:rPr>
          <w:lang w:val="en-US"/>
        </w:rPr>
        <w:t>D</w:t>
      </w:r>
      <w:r w:rsidR="00584DC6">
        <w:rPr>
          <w:lang w:val="en-US"/>
        </w:rPr>
        <w:t xml:space="preserve">evice </w:t>
      </w:r>
      <w:r w:rsidR="00222B4A">
        <w:rPr>
          <w:lang w:val="en-US"/>
        </w:rPr>
        <w:t>B</w:t>
      </w:r>
      <w:r w:rsidR="00584DC6">
        <w:rPr>
          <w:lang w:val="en-US"/>
        </w:rPr>
        <w:t>ank</w:t>
      </w:r>
      <w:r w:rsidR="0054757D">
        <w:rPr>
          <w:lang w:val="en-US"/>
        </w:rPr>
        <w:t>.</w:t>
      </w:r>
    </w:p>
    <w:p w:rsidR="00B517AD" w:rsidP="008515B4" w:rsidRDefault="00B517AD" w14:paraId="2D3ED3E7" w14:textId="07BCDBC3">
      <w:pPr>
        <w:autoSpaceDN/>
      </w:pPr>
      <w:r>
        <w:t xml:space="preserve">ACCAN has been made aware that some </w:t>
      </w:r>
      <w:r w:rsidR="009711FA">
        <w:t>F</w:t>
      </w:r>
      <w:r>
        <w:t xml:space="preserve">irst </w:t>
      </w:r>
      <w:r w:rsidR="009711FA">
        <w:t xml:space="preserve">Nations </w:t>
      </w:r>
      <w:r>
        <w:t xml:space="preserve">consumers in remote areas experience consistent difficulty </w:t>
      </w:r>
      <w:r w:rsidR="00C855F0">
        <w:t xml:space="preserve">in </w:t>
      </w:r>
      <w:r>
        <w:t xml:space="preserve">attaining affordable internet devices and device repairs when their devices are no longer operational. ACCAN considers that government and telecommunications providers should take into account these concerns and address </w:t>
      </w:r>
      <w:r w:rsidR="00427D5A">
        <w:t>them due to the</w:t>
      </w:r>
      <w:r>
        <w:t xml:space="preserve"> critical implications </w:t>
      </w:r>
      <w:r w:rsidR="009A6CE5">
        <w:t xml:space="preserve">of reliable communications devices </w:t>
      </w:r>
      <w:r>
        <w:t xml:space="preserve">for community members in rural, regional and remote areas. </w:t>
      </w:r>
    </w:p>
    <w:p w:rsidR="00835C40" w:rsidP="00E763F3" w:rsidRDefault="00835C40" w14:paraId="35C0091C" w14:textId="1AD96700">
      <w:pPr>
        <w:pStyle w:val="Recommendation"/>
      </w:pPr>
      <w:r>
        <w:t xml:space="preserve">That the </w:t>
      </w:r>
      <w:r w:rsidR="00A15706">
        <w:t xml:space="preserve">Federal Government </w:t>
      </w:r>
      <w:r w:rsidRPr="00DA5B3B" w:rsidR="00DA5B3B">
        <w:t xml:space="preserve">funds and allocates accessible and affordable devices to people on low incomes without </w:t>
      </w:r>
      <w:r w:rsidR="00A717D7">
        <w:t xml:space="preserve">consistent access to internet </w:t>
      </w:r>
      <w:r w:rsidRPr="00DA5B3B" w:rsidR="00DA5B3B">
        <w:t>devices.</w:t>
      </w:r>
      <w:r w:rsidR="00DA5B3B">
        <w:t xml:space="preserve"> This should take the form of a formalised pathway </w:t>
      </w:r>
      <w:r w:rsidR="00BE756E">
        <w:t xml:space="preserve">which ensures that large purchasers of internet devices </w:t>
      </w:r>
      <w:r w:rsidR="00735F4F">
        <w:t xml:space="preserve">cooperate with government to achieve this aim. </w:t>
      </w:r>
    </w:p>
    <w:p w:rsidR="00735F4F" w:rsidP="00E763F3" w:rsidRDefault="00735F4F" w14:paraId="74F4CA2C" w14:textId="1C53B926">
      <w:pPr>
        <w:pStyle w:val="Recommendation"/>
      </w:pPr>
      <w:r>
        <w:t xml:space="preserve">That the </w:t>
      </w:r>
      <w:r w:rsidR="00A15706">
        <w:t xml:space="preserve">Federal Government </w:t>
      </w:r>
      <w:r>
        <w:t xml:space="preserve">and telecommunications providers take steps to address the device </w:t>
      </w:r>
      <w:r w:rsidR="00E94354">
        <w:t xml:space="preserve">availability and </w:t>
      </w:r>
      <w:r>
        <w:t xml:space="preserve">repairability concerns of consumers in </w:t>
      </w:r>
      <w:r w:rsidR="009711FA">
        <w:t>F</w:t>
      </w:r>
      <w:r>
        <w:t xml:space="preserve">irst </w:t>
      </w:r>
      <w:r w:rsidR="009711FA">
        <w:t xml:space="preserve">Nations </w:t>
      </w:r>
      <w:r>
        <w:t>communities</w:t>
      </w:r>
      <w:r w:rsidR="00274342">
        <w:t>,</w:t>
      </w:r>
      <w:r w:rsidR="00E94354">
        <w:t xml:space="preserve"> noting the criticality of </w:t>
      </w:r>
      <w:r w:rsidR="001C395E">
        <w:t xml:space="preserve">internet </w:t>
      </w:r>
      <w:r w:rsidR="00E94354">
        <w:t xml:space="preserve">device access and connectivity in </w:t>
      </w:r>
      <w:r w:rsidR="0084311C">
        <w:t xml:space="preserve">these communities. </w:t>
      </w:r>
    </w:p>
    <w:p w:rsidR="00504430" w:rsidP="00E763F3" w:rsidRDefault="00182312" w14:paraId="3167E8CC" w14:textId="2E24FDC0">
      <w:pPr>
        <w:pStyle w:val="Heading2"/>
      </w:pPr>
      <w:r>
        <w:t>Affordable</w:t>
      </w:r>
      <w:r w:rsidR="00504430">
        <w:t xml:space="preserve"> </w:t>
      </w:r>
      <w:r w:rsidR="003F2175">
        <w:t>communications d</w:t>
      </w:r>
      <w:r w:rsidR="00504430">
        <w:t xml:space="preserve">evice </w:t>
      </w:r>
      <w:r w:rsidR="003F2175">
        <w:t>r</w:t>
      </w:r>
      <w:r w:rsidR="00504430">
        <w:t xml:space="preserve">epair </w:t>
      </w:r>
      <w:r w:rsidR="003F2175">
        <w:t xml:space="preserve">is critical for consumers experiencing low income or </w:t>
      </w:r>
      <w:proofErr w:type="gramStart"/>
      <w:r w:rsidR="003F2175">
        <w:t>vulnerability</w:t>
      </w:r>
      <w:proofErr w:type="gramEnd"/>
    </w:p>
    <w:p w:rsidRPr="00AD3CE2" w:rsidR="00AD3CE2" w:rsidP="008515B4" w:rsidRDefault="00AD3CE2" w14:paraId="29F58DFB" w14:textId="52F29D47">
      <w:pPr>
        <w:autoSpaceDN/>
      </w:pPr>
      <w:r w:rsidRPr="00AD3CE2">
        <w:t xml:space="preserve">ACCAN notes that laptops and phones have a low effective life as </w:t>
      </w:r>
      <w:r w:rsidR="009B0AB5">
        <w:t>defined</w:t>
      </w:r>
      <w:r w:rsidRPr="00AD3CE2" w:rsidR="009B0AB5">
        <w:t xml:space="preserve"> </w:t>
      </w:r>
      <w:r w:rsidRPr="00AD3CE2">
        <w:t>by the Australian Tax Office (</w:t>
      </w:r>
      <w:r w:rsidRPr="00AD3CE2">
        <w:rPr>
          <w:b/>
          <w:bCs/>
        </w:rPr>
        <w:t>ATO</w:t>
      </w:r>
      <w:r w:rsidRPr="00AD3CE2">
        <w:t>). The ATO notes that:</w:t>
      </w:r>
    </w:p>
    <w:p w:rsidRPr="00AD3CE2" w:rsidR="00AD3CE2" w:rsidP="008515B4" w:rsidRDefault="00AD3CE2" w14:paraId="4C54902D" w14:textId="77777777">
      <w:pPr>
        <w:numPr>
          <w:ilvl w:val="0"/>
          <w:numId w:val="12"/>
        </w:numPr>
        <w:autoSpaceDN/>
        <w:contextualSpacing/>
      </w:pPr>
      <w:r w:rsidRPr="00AD3CE2">
        <w:t>The effective life of mobile phones is three years.</w:t>
      </w:r>
      <w:r w:rsidRPr="00AD3CE2">
        <w:rPr>
          <w:vertAlign w:val="superscript"/>
        </w:rPr>
        <w:footnoteReference w:id="39"/>
      </w:r>
    </w:p>
    <w:p w:rsidRPr="00AD3CE2" w:rsidR="00AD3CE2" w:rsidP="008515B4" w:rsidRDefault="00AD3CE2" w14:paraId="632BFED0" w14:textId="77777777">
      <w:pPr>
        <w:numPr>
          <w:ilvl w:val="0"/>
          <w:numId w:val="12"/>
        </w:numPr>
        <w:autoSpaceDN/>
        <w:contextualSpacing/>
      </w:pPr>
      <w:r w:rsidRPr="00AD3CE2">
        <w:t>The effective life of ‘Mobile/portable computers (including laptops, tablets)’ is two years.</w:t>
      </w:r>
      <w:r w:rsidRPr="00AD3CE2">
        <w:rPr>
          <w:vertAlign w:val="superscript"/>
        </w:rPr>
        <w:footnoteReference w:id="40"/>
      </w:r>
    </w:p>
    <w:p w:rsidR="00AD3CE2" w:rsidP="008515B4" w:rsidRDefault="00AD3CE2" w14:paraId="29DB640E" w14:textId="77777777">
      <w:pPr>
        <w:numPr>
          <w:ilvl w:val="0"/>
          <w:numId w:val="12"/>
        </w:numPr>
        <w:autoSpaceDN/>
        <w:contextualSpacing/>
      </w:pPr>
      <w:r w:rsidRPr="00AD3CE2">
        <w:t>The effective life of ‘Desktop computers (including personal computers)’ is four years.</w:t>
      </w:r>
      <w:r w:rsidRPr="00AD3CE2">
        <w:rPr>
          <w:vertAlign w:val="superscript"/>
        </w:rPr>
        <w:footnoteReference w:id="41"/>
      </w:r>
    </w:p>
    <w:p w:rsidRPr="00AD3CE2" w:rsidR="00AD3CE2" w:rsidP="008515B4" w:rsidRDefault="00AD3CE2" w14:paraId="48F8CD86" w14:textId="77777777">
      <w:pPr>
        <w:autoSpaceDN/>
        <w:contextualSpacing/>
      </w:pPr>
    </w:p>
    <w:p w:rsidRPr="00AD3CE2" w:rsidR="00AD3CE2" w:rsidP="008515B4" w:rsidRDefault="00AD3CE2" w14:paraId="609A358A" w14:textId="5823E7F3">
      <w:pPr>
        <w:autoSpaceDN/>
      </w:pPr>
      <w:r w:rsidRPr="00AD3CE2">
        <w:t>Th</w:t>
      </w:r>
      <w:r>
        <w:t xml:space="preserve">is is contrasted by the </w:t>
      </w:r>
      <w:r w:rsidRPr="00AD3CE2">
        <w:t>use patterns for these devices. The way consumers are using their mobile devices is changing and ‘consumers are using holding on to their phones for longer’.</w:t>
      </w:r>
      <w:r w:rsidRPr="00AD3CE2">
        <w:rPr>
          <w:vertAlign w:val="superscript"/>
        </w:rPr>
        <w:footnoteReference w:id="42"/>
      </w:r>
      <w:r w:rsidRPr="00AD3CE2">
        <w:t xml:space="preserve"> Mobile Muster research noted that:</w:t>
      </w:r>
    </w:p>
    <w:p w:rsidRPr="00AD3CE2" w:rsidR="00AD3CE2" w:rsidP="008515B4" w:rsidRDefault="00AD3CE2" w14:paraId="1704E1C7" w14:textId="77777777">
      <w:pPr>
        <w:numPr>
          <w:ilvl w:val="0"/>
          <w:numId w:val="11"/>
        </w:numPr>
        <w:autoSpaceDN/>
        <w:contextualSpacing/>
      </w:pPr>
      <w:r w:rsidRPr="00AD3CE2">
        <w:t>41% of consumers’ reason for upgrading their phone is because their existing phone has stopped working.</w:t>
      </w:r>
      <w:r w:rsidRPr="00AD3CE2">
        <w:rPr>
          <w:vertAlign w:val="superscript"/>
        </w:rPr>
        <w:footnoteReference w:id="43"/>
      </w:r>
    </w:p>
    <w:p w:rsidRPr="00AD3CE2" w:rsidR="00AD3CE2" w:rsidP="008515B4" w:rsidRDefault="00AD3CE2" w14:paraId="31563F53" w14:textId="77777777">
      <w:pPr>
        <w:numPr>
          <w:ilvl w:val="0"/>
          <w:numId w:val="11"/>
        </w:numPr>
        <w:autoSpaceDN/>
        <w:contextualSpacing/>
      </w:pPr>
      <w:r w:rsidRPr="00AD3CE2">
        <w:t>‘Australians are slower to upgrade their devices, which means mobile phones are being used for longer by the same owner’.</w:t>
      </w:r>
      <w:r w:rsidRPr="00AD3CE2">
        <w:rPr>
          <w:vertAlign w:val="superscript"/>
        </w:rPr>
        <w:footnoteReference w:id="44"/>
      </w:r>
    </w:p>
    <w:p w:rsidR="009D335F" w:rsidP="008515B4" w:rsidRDefault="00AD3CE2" w14:paraId="686D3D95" w14:textId="2D7F65F0">
      <w:pPr>
        <w:numPr>
          <w:ilvl w:val="0"/>
          <w:numId w:val="11"/>
        </w:numPr>
        <w:autoSpaceDN/>
        <w:contextualSpacing/>
      </w:pPr>
      <w:r w:rsidRPr="00AD3CE2">
        <w:t>‘72% of children receive their first phone as a hand-me down from their parents’.</w:t>
      </w:r>
      <w:r w:rsidRPr="00AD3CE2">
        <w:rPr>
          <w:vertAlign w:val="superscript"/>
        </w:rPr>
        <w:footnoteReference w:id="45"/>
      </w:r>
    </w:p>
    <w:p w:rsidR="00B517AD" w:rsidP="008515B4" w:rsidRDefault="00B517AD" w14:paraId="5AAC6C21" w14:textId="77777777">
      <w:pPr>
        <w:autoSpaceDN/>
        <w:ind w:left="720"/>
        <w:contextualSpacing/>
      </w:pPr>
    </w:p>
    <w:p w:rsidRPr="004C170E" w:rsidR="0020685A" w:rsidP="00E763F3" w:rsidRDefault="0020685A" w14:paraId="2A150488" w14:textId="408888A8">
      <w:pPr>
        <w:rPr>
          <w:lang w:val="en-US" w:eastAsia="en-US"/>
        </w:rPr>
      </w:pPr>
      <w:r>
        <w:rPr>
          <w:lang w:val="en-US" w:eastAsia="en-US"/>
        </w:rPr>
        <w:t xml:space="preserve">Many Australians choose to repair their digital devices. </w:t>
      </w:r>
      <w:r w:rsidRPr="00B63505">
        <w:rPr>
          <w:lang w:eastAsia="en-US"/>
        </w:rPr>
        <w:t>38% of Australians have repaired a mobile phone</w:t>
      </w:r>
      <w:r>
        <w:rPr>
          <w:lang w:eastAsia="en-US"/>
        </w:rPr>
        <w:t xml:space="preserve"> in 2020 with 60% of those who have used a repair service being between the ages of 16-24.</w:t>
      </w:r>
      <w:r>
        <w:rPr>
          <w:rStyle w:val="FootnoteReference"/>
          <w:lang w:eastAsia="en-US"/>
        </w:rPr>
        <w:footnoteReference w:id="46"/>
      </w:r>
      <w:r>
        <w:rPr>
          <w:lang w:eastAsia="en-US"/>
        </w:rPr>
        <w:t xml:space="preserve"> According to Mobile muster, 67% of surveyed consumers have had a mobile device repaired at an independent repair shop. Mobile </w:t>
      </w:r>
      <w:r w:rsidR="00F20B31">
        <w:rPr>
          <w:lang w:eastAsia="en-US"/>
        </w:rPr>
        <w:t>M</w:t>
      </w:r>
      <w:r>
        <w:rPr>
          <w:lang w:eastAsia="en-US"/>
        </w:rPr>
        <w:t>uster noted that independent repair services respond to local market gaps and provide convenient and affordable repairs with quick turnarounds.</w:t>
      </w:r>
      <w:r>
        <w:rPr>
          <w:rStyle w:val="FootnoteReference"/>
          <w:lang w:eastAsia="en-US"/>
        </w:rPr>
        <w:footnoteReference w:id="47"/>
      </w:r>
      <w:r>
        <w:rPr>
          <w:lang w:eastAsia="en-US"/>
        </w:rPr>
        <w:t xml:space="preserve"> </w:t>
      </w:r>
    </w:p>
    <w:p w:rsidRPr="003D15F3" w:rsidR="00CD3D2A" w:rsidP="00E763F3" w:rsidRDefault="00CD3D2A" w14:paraId="5647CBC1" w14:textId="462C1DEB">
      <w:r w:rsidRPr="00353CB1">
        <w:t>Independent Repair Technicians (</w:t>
      </w:r>
      <w:r w:rsidRPr="00353CB1">
        <w:rPr>
          <w:b/>
          <w:bCs/>
        </w:rPr>
        <w:t>IRTs</w:t>
      </w:r>
      <w:r w:rsidRPr="00353CB1">
        <w:t>)</w:t>
      </w:r>
      <w:r>
        <w:t xml:space="preserve"> </w:t>
      </w:r>
      <w:r w:rsidRPr="00353CB1">
        <w:t>face unnecessary barriers to repair</w:t>
      </w:r>
      <w:r>
        <w:t>ing internet devices</w:t>
      </w:r>
      <w:r w:rsidRPr="00353CB1">
        <w:t>, driving up costs</w:t>
      </w:r>
      <w:r>
        <w:t>, impeding their ability to offer more affordable repairs to consumers and impacting how IRTs conduct their business. The</w:t>
      </w:r>
      <w:r w:rsidR="003F2175">
        <w:t xml:space="preserve"> </w:t>
      </w:r>
      <w:r w:rsidR="00332B6D">
        <w:t>Productivity C</w:t>
      </w:r>
      <w:r w:rsidR="006E0803">
        <w:t>ommission</w:t>
      </w:r>
      <w:r w:rsidR="00332B6D">
        <w:t>’s</w:t>
      </w:r>
      <w:r>
        <w:t xml:space="preserve"> inquiry report </w:t>
      </w:r>
      <w:r w:rsidR="006E0803">
        <w:t>into the</w:t>
      </w:r>
      <w:r w:rsidR="003F2175">
        <w:t xml:space="preserve"> right to repair (</w:t>
      </w:r>
      <w:r w:rsidRPr="006E0803" w:rsidR="006E0803">
        <w:rPr>
          <w:b/>
          <w:bCs/>
        </w:rPr>
        <w:t>the inquiry report</w:t>
      </w:r>
      <w:r w:rsidR="006E0803">
        <w:t xml:space="preserve">) </w:t>
      </w:r>
      <w:r>
        <w:t>identified “significant and unnecessary barriers” to consumers’ right to repair and made a range of findings and recommendations.</w:t>
      </w:r>
      <w:r w:rsidRPr="00F707D8">
        <w:rPr>
          <w:vertAlign w:val="superscript"/>
        </w:rPr>
        <w:footnoteReference w:id="48"/>
      </w:r>
      <w:r>
        <w:t xml:space="preserve">  </w:t>
      </w:r>
    </w:p>
    <w:p w:rsidR="00CD3D2A" w:rsidP="00E763F3" w:rsidRDefault="00CD3D2A" w14:paraId="1B609451" w14:textId="77777777">
      <w:r>
        <w:t xml:space="preserve">The inquiry report found that: </w:t>
      </w:r>
    </w:p>
    <w:p w:rsidR="00CD3D2A" w:rsidP="008515B4" w:rsidRDefault="00CD3D2A" w14:paraId="63269BCD" w14:textId="77777777">
      <w:pPr>
        <w:pStyle w:val="ListParagraph"/>
        <w:numPr>
          <w:ilvl w:val="0"/>
          <w:numId w:val="14"/>
        </w:numPr>
        <w:autoSpaceDN/>
        <w:spacing w:after="160" w:line="259" w:lineRule="auto"/>
      </w:pPr>
      <w:r>
        <w:t>Consumers’ decision to repair or replace a broken product is primarily driven by price.</w:t>
      </w:r>
      <w:r>
        <w:rPr>
          <w:rStyle w:val="FootnoteReference"/>
        </w:rPr>
        <w:footnoteReference w:id="49"/>
      </w:r>
      <w:r>
        <w:t xml:space="preserve">    </w:t>
      </w:r>
    </w:p>
    <w:p w:rsidR="00CD3D2A" w:rsidP="008515B4" w:rsidRDefault="00CD3D2A" w14:paraId="5B33E009" w14:textId="25849F75">
      <w:pPr>
        <w:pStyle w:val="ListParagraph"/>
        <w:numPr>
          <w:ilvl w:val="0"/>
          <w:numId w:val="14"/>
        </w:numPr>
        <w:autoSpaceDN/>
        <w:spacing w:after="160" w:line="259" w:lineRule="auto"/>
      </w:pPr>
      <w:r>
        <w:t>Some manufacturers are limiting IRTs</w:t>
      </w:r>
      <w:r w:rsidR="00D304FA">
        <w:t>’</w:t>
      </w:r>
      <w:r>
        <w:t xml:space="preserve"> access to repair supplies.</w:t>
      </w:r>
      <w:r>
        <w:rPr>
          <w:rStyle w:val="FootnoteReference"/>
        </w:rPr>
        <w:footnoteReference w:id="50"/>
      </w:r>
    </w:p>
    <w:p w:rsidRPr="00801542" w:rsidR="00CD3D2A" w:rsidP="008515B4" w:rsidRDefault="00CD3D2A" w14:paraId="7026ADEE" w14:textId="77777777">
      <w:pPr>
        <w:pStyle w:val="ListParagraph"/>
        <w:numPr>
          <w:ilvl w:val="0"/>
          <w:numId w:val="14"/>
        </w:numPr>
        <w:autoSpaceDN/>
        <w:spacing w:after="160" w:line="259" w:lineRule="auto"/>
      </w:pPr>
      <w:r>
        <w:t>Manufacturer justifications for limiting the access of these resources are overstated.</w:t>
      </w:r>
      <w:r w:rsidRPr="00F707D8">
        <w:rPr>
          <w:vertAlign w:val="superscript"/>
        </w:rPr>
        <w:t xml:space="preserve"> </w:t>
      </w:r>
      <w:r w:rsidRPr="00F707D8">
        <w:rPr>
          <w:vertAlign w:val="superscript"/>
        </w:rPr>
        <w:footnoteReference w:id="51"/>
      </w:r>
    </w:p>
    <w:p w:rsidR="00CD3D2A" w:rsidP="00E763F3" w:rsidRDefault="00CD3D2A" w14:paraId="16EB7C8C" w14:textId="3B51F636">
      <w:r w:rsidRPr="00204A5F">
        <w:t>IRTs face significant barriers to their ability to repair devices.</w:t>
      </w:r>
      <w:r w:rsidR="00D73C09">
        <w:t xml:space="preserve"> ACCAN’s engagement with IR</w:t>
      </w:r>
      <w:r w:rsidR="0008647B">
        <w:t>Ts</w:t>
      </w:r>
      <w:r w:rsidR="006F3606">
        <w:t xml:space="preserve"> revealed concerns about a lack of official access to schematics and diagnostics of devices</w:t>
      </w:r>
      <w:r w:rsidR="000B6032">
        <w:t xml:space="preserve"> </w:t>
      </w:r>
      <w:r w:rsidR="00486839">
        <w:t>and component</w:t>
      </w:r>
      <w:r w:rsidR="006F3606">
        <w:t xml:space="preserve"> supply chains</w:t>
      </w:r>
      <w:r w:rsidR="000B6032">
        <w:t xml:space="preserve"> leading to IRTs </w:t>
      </w:r>
      <w:r w:rsidRPr="00204A5F">
        <w:t>rely</w:t>
      </w:r>
      <w:r>
        <w:t>ing</w:t>
      </w:r>
      <w:r w:rsidRPr="00204A5F">
        <w:t xml:space="preserve"> on third parties to access equivalent quality components</w:t>
      </w:r>
      <w:r>
        <w:t>. IRTs are impacted by the s</w:t>
      </w:r>
      <w:r w:rsidRPr="00204A5F">
        <w:t xml:space="preserve">erialisation of mobile devices </w:t>
      </w:r>
      <w:r>
        <w:t xml:space="preserve">which </w:t>
      </w:r>
      <w:r w:rsidRPr="00204A5F">
        <w:t>limit</w:t>
      </w:r>
      <w:r>
        <w:t>s</w:t>
      </w:r>
      <w:r w:rsidRPr="00204A5F">
        <w:t xml:space="preserve"> </w:t>
      </w:r>
      <w:r>
        <w:t xml:space="preserve">their </w:t>
      </w:r>
      <w:r w:rsidRPr="00204A5F">
        <w:t>ability to repair devices by using a digital signature given to individual components</w:t>
      </w:r>
      <w:r>
        <w:t>,</w:t>
      </w:r>
      <w:r w:rsidRPr="00204A5F">
        <w:t xml:space="preserve"> </w:t>
      </w:r>
      <w:r>
        <w:t>heavily incentivising consumers to only repair devices with their manufacturer or manufacturer</w:t>
      </w:r>
      <w:r w:rsidR="00CA1B28">
        <w:t>-</w:t>
      </w:r>
      <w:r>
        <w:t xml:space="preserve">authorised repair </w:t>
      </w:r>
      <w:r w:rsidR="00A02A6B">
        <w:t xml:space="preserve">service </w:t>
      </w:r>
      <w:r>
        <w:t xml:space="preserve">or else face </w:t>
      </w:r>
      <w:r w:rsidR="00A02A6B">
        <w:t xml:space="preserve">limitations to their device’s </w:t>
      </w:r>
      <w:r>
        <w:t xml:space="preserve">functionality. </w:t>
      </w:r>
    </w:p>
    <w:p w:rsidR="00CD3D2A" w:rsidP="00E763F3" w:rsidRDefault="00CD3D2A" w14:paraId="6315CEB7" w14:textId="5DB7A817">
      <w:r>
        <w:t xml:space="preserve">The increased difficulty of accessing </w:t>
      </w:r>
      <w:r w:rsidRPr="008D0FEC">
        <w:t>intellectual property required to repair electronics</w:t>
      </w:r>
      <w:r>
        <w:t xml:space="preserve"> has contributed to ‘decreasing opportunities for repair’.</w:t>
      </w:r>
      <w:r>
        <w:rPr>
          <w:rStyle w:val="FootnoteReference"/>
        </w:rPr>
        <w:footnoteReference w:id="52"/>
      </w:r>
      <w:r>
        <w:t xml:space="preserve">  Some larger IRTs cannot train repair skillsets in their staff due to the lack of certainty surrounding the volume of future repair work as a result of the decreased opportunities for repair.</w:t>
      </w:r>
      <w:r>
        <w:rPr>
          <w:rStyle w:val="FootnoteReference"/>
        </w:rPr>
        <w:footnoteReference w:id="53"/>
      </w:r>
      <w:r>
        <w:t xml:space="preserve"> These factors contribute to decreasing the availability of affordable internet device repairs for consumers who rely on them to stay connected. </w:t>
      </w:r>
    </w:p>
    <w:p w:rsidRPr="003655FA" w:rsidR="003655FA" w:rsidP="008515B4" w:rsidRDefault="003655FA" w14:paraId="626ADA40" w14:textId="77777777">
      <w:pPr>
        <w:autoSpaceDN/>
      </w:pPr>
      <w:r w:rsidRPr="003655FA">
        <w:t xml:space="preserve">Restrictive repair practices and increased repair costs disproportionately impact those least well placed to absorb these expenses. </w:t>
      </w:r>
    </w:p>
    <w:p w:rsidRPr="003655FA" w:rsidR="003655FA" w:rsidP="008515B4" w:rsidRDefault="003655FA" w14:paraId="3843B645" w14:textId="77777777">
      <w:pPr>
        <w:numPr>
          <w:ilvl w:val="0"/>
          <w:numId w:val="15"/>
        </w:numPr>
        <w:autoSpaceDN/>
        <w:contextualSpacing/>
      </w:pPr>
      <w:r w:rsidRPr="003655FA">
        <w:t>Nearly half of all consumers and 60% of 25–44-year-old consumers identify their smartphone as their main digital device.</w:t>
      </w:r>
      <w:r w:rsidRPr="003655FA">
        <w:rPr>
          <w:vertAlign w:val="superscript"/>
        </w:rPr>
        <w:footnoteReference w:id="54"/>
      </w:r>
    </w:p>
    <w:p w:rsidRPr="003655FA" w:rsidR="003655FA" w:rsidP="008515B4" w:rsidRDefault="003655FA" w14:paraId="18B459EC" w14:textId="77777777">
      <w:pPr>
        <w:numPr>
          <w:ilvl w:val="0"/>
          <w:numId w:val="15"/>
        </w:numPr>
        <w:autoSpaceDN/>
        <w:contextualSpacing/>
      </w:pPr>
      <w:r w:rsidRPr="003655FA">
        <w:t xml:space="preserve">People who live with a disability are likely to live on lower fixed incomes and have less money available for new device purchases if an older device breaks. </w:t>
      </w:r>
    </w:p>
    <w:p w:rsidRPr="003655FA" w:rsidR="003655FA" w:rsidP="008515B4" w:rsidRDefault="003655FA" w14:paraId="59EA78F1" w14:textId="525F3C6C">
      <w:pPr>
        <w:numPr>
          <w:ilvl w:val="0"/>
          <w:numId w:val="15"/>
        </w:numPr>
        <w:autoSpaceDN/>
        <w:spacing w:after="0"/>
        <w:contextualSpacing/>
      </w:pPr>
      <w:r w:rsidRPr="003655FA">
        <w:t xml:space="preserve">According </w:t>
      </w:r>
      <w:proofErr w:type="gramStart"/>
      <w:r w:rsidRPr="003655FA">
        <w:t>to CHOICE</w:t>
      </w:r>
      <w:proofErr w:type="gramEnd"/>
      <w:r w:rsidRPr="003655FA">
        <w:t>, consumers in regional areas face more prominent barriers to repair as they deal with limited repair options and longer wait times.</w:t>
      </w:r>
      <w:r w:rsidRPr="003655FA">
        <w:rPr>
          <w:vertAlign w:val="superscript"/>
        </w:rPr>
        <w:footnoteReference w:id="55"/>
      </w:r>
    </w:p>
    <w:p w:rsidRPr="008515B4" w:rsidR="003655FA" w:rsidP="008515B4" w:rsidRDefault="003655FA" w14:paraId="132E96F6" w14:textId="77777777">
      <w:pPr>
        <w:pStyle w:val="ListParagraph"/>
        <w:numPr>
          <w:ilvl w:val="0"/>
          <w:numId w:val="16"/>
        </w:numPr>
        <w:autoSpaceDN/>
        <w:rPr>
          <w:lang w:val="en-US" w:eastAsia="en-US"/>
        </w:rPr>
      </w:pPr>
      <w:r w:rsidRPr="008515B4">
        <w:rPr>
          <w:lang w:val="en-US" w:eastAsia="en-US"/>
        </w:rPr>
        <w:t>Mobile muster reported that 67% of surveyed consumers have had their mobile device repaired by an IRT and regional areas rely on IRTs for affordable and timely repairs.</w:t>
      </w:r>
      <w:r w:rsidRPr="00AD5ABA">
        <w:rPr>
          <w:vertAlign w:val="superscript"/>
        </w:rPr>
        <w:footnoteReference w:id="56"/>
      </w:r>
    </w:p>
    <w:p w:rsidRPr="008515B4" w:rsidR="008665CB" w:rsidP="008515B4" w:rsidRDefault="003655FA" w14:paraId="69DD1DD0" w14:textId="1BD49D63">
      <w:pPr>
        <w:pStyle w:val="ListParagraph"/>
        <w:numPr>
          <w:ilvl w:val="0"/>
          <w:numId w:val="16"/>
        </w:numPr>
        <w:autoSpaceDN/>
        <w:rPr>
          <w:lang w:val="en-US" w:eastAsia="en-US"/>
        </w:rPr>
      </w:pPr>
      <w:r w:rsidRPr="008515B4">
        <w:rPr>
          <w:lang w:val="en-US" w:eastAsia="en-US"/>
        </w:rPr>
        <w:t xml:space="preserve">Restrictive repair practices can increase the price of repair for many consumers and limit the options for affordable repair. </w:t>
      </w:r>
    </w:p>
    <w:p w:rsidR="008665CB" w:rsidP="00854116" w:rsidRDefault="008665CB" w14:paraId="6841DF9D" w14:textId="77777777">
      <w:pPr>
        <w:rPr>
          <w:lang w:val="en-US" w:eastAsia="en-US"/>
        </w:rPr>
      </w:pPr>
      <w:r>
        <w:rPr>
          <w:lang w:val="en-US" w:eastAsia="en-US"/>
        </w:rPr>
        <w:t>A legislated right to repair would benefit consumers and small businesses by:</w:t>
      </w:r>
    </w:p>
    <w:p w:rsidR="008665CB" w:rsidP="008515B4" w:rsidRDefault="008665CB" w14:paraId="422C8225" w14:textId="57ED6ABB">
      <w:pPr>
        <w:pStyle w:val="ListParagraph"/>
        <w:numPr>
          <w:ilvl w:val="0"/>
          <w:numId w:val="16"/>
        </w:numPr>
        <w:autoSpaceDN/>
        <w:rPr>
          <w:lang w:val="en-US" w:eastAsia="en-US"/>
        </w:rPr>
      </w:pPr>
      <w:r>
        <w:rPr>
          <w:lang w:val="en-US" w:eastAsia="en-US"/>
        </w:rPr>
        <w:t>Improving consumer</w:t>
      </w:r>
      <w:r w:rsidR="00F674D1">
        <w:rPr>
          <w:lang w:val="en-US" w:eastAsia="en-US"/>
        </w:rPr>
        <w:t>s’</w:t>
      </w:r>
      <w:r>
        <w:rPr>
          <w:lang w:val="en-US" w:eastAsia="en-US"/>
        </w:rPr>
        <w:t xml:space="preserve"> access to affordable repairs for their internet devices.</w:t>
      </w:r>
    </w:p>
    <w:p w:rsidR="008665CB" w:rsidP="008515B4" w:rsidRDefault="008665CB" w14:paraId="4089A5CD" w14:textId="77777777">
      <w:pPr>
        <w:pStyle w:val="ListParagraph"/>
        <w:numPr>
          <w:ilvl w:val="0"/>
          <w:numId w:val="16"/>
        </w:numPr>
        <w:autoSpaceDN/>
        <w:rPr>
          <w:lang w:val="en-US" w:eastAsia="en-US"/>
        </w:rPr>
      </w:pPr>
      <w:r>
        <w:rPr>
          <w:lang w:val="en-US" w:eastAsia="en-US"/>
        </w:rPr>
        <w:t xml:space="preserve">Improving consumers’ access to affordable secondhand devices through third party channels as more devices are sold or transferred between consumers. </w:t>
      </w:r>
    </w:p>
    <w:p w:rsidR="008665CB" w:rsidP="008515B4" w:rsidRDefault="008665CB" w14:paraId="7BAA7393" w14:textId="0CE33371">
      <w:pPr>
        <w:pStyle w:val="ListParagraph"/>
        <w:numPr>
          <w:ilvl w:val="0"/>
          <w:numId w:val="16"/>
        </w:numPr>
        <w:autoSpaceDN/>
        <w:rPr>
          <w:lang w:val="en-US" w:eastAsia="en-US"/>
        </w:rPr>
      </w:pPr>
      <w:r>
        <w:rPr>
          <w:lang w:val="en-US" w:eastAsia="en-US"/>
        </w:rPr>
        <w:t xml:space="preserve">Ensuring that IRTs can provide a wider range of repairs to consumers and are not inhibited in their ability to do so by device manufacturers. </w:t>
      </w:r>
    </w:p>
    <w:p w:rsidR="008665CB" w:rsidP="008515B4" w:rsidRDefault="008665CB" w14:paraId="5520C0E4" w14:textId="458A543A">
      <w:pPr>
        <w:pStyle w:val="ListParagraph"/>
        <w:numPr>
          <w:ilvl w:val="0"/>
          <w:numId w:val="16"/>
        </w:numPr>
        <w:autoSpaceDN/>
        <w:rPr>
          <w:lang w:val="en-US" w:eastAsia="en-US"/>
        </w:rPr>
      </w:pPr>
      <w:r>
        <w:rPr>
          <w:lang w:val="en-US" w:eastAsia="en-US"/>
        </w:rPr>
        <w:t xml:space="preserve">Ensuring that consumers retain their internet devices for longer, leading to consumer savings from replacing their devices less often. </w:t>
      </w:r>
    </w:p>
    <w:p w:rsidRPr="00D617D5" w:rsidR="008665CB" w:rsidP="008515B4" w:rsidRDefault="008665CB" w14:paraId="6494D9A5" w14:textId="3D34CA58">
      <w:pPr>
        <w:pStyle w:val="ListParagraph"/>
        <w:numPr>
          <w:ilvl w:val="0"/>
          <w:numId w:val="16"/>
        </w:numPr>
        <w:autoSpaceDN/>
        <w:rPr>
          <w:lang w:val="en-US" w:eastAsia="en-US"/>
        </w:rPr>
      </w:pPr>
      <w:r>
        <w:rPr>
          <w:lang w:val="en-US" w:eastAsia="en-US"/>
        </w:rPr>
        <w:t>Improving environmental outcomes from internet device recycling, leading to savings incurred due to decreased e-waste processing</w:t>
      </w:r>
      <w:r w:rsidR="00F20B31">
        <w:rPr>
          <w:lang w:val="en-US" w:eastAsia="en-US"/>
        </w:rPr>
        <w:t xml:space="preserve"> fees. </w:t>
      </w:r>
    </w:p>
    <w:p w:rsidR="00BA0244" w:rsidP="008515B4" w:rsidRDefault="0065793C" w14:paraId="41F19D77" w14:textId="38614F8E">
      <w:pPr>
        <w:autoSpaceDN/>
      </w:pPr>
      <w:r>
        <w:t xml:space="preserve">The </w:t>
      </w:r>
      <w:r w:rsidR="00A15706">
        <w:t>F</w:t>
      </w:r>
      <w:r>
        <w:t xml:space="preserve">ederal </w:t>
      </w:r>
      <w:r w:rsidR="00A15706">
        <w:t xml:space="preserve">Government </w:t>
      </w:r>
      <w:r>
        <w:t xml:space="preserve">should legislate a right to repair following the recommendations of the inquiry report. Doing so would decrease the barriers that </w:t>
      </w:r>
      <w:r w:rsidR="00E853B3">
        <w:t>IRTs</w:t>
      </w:r>
      <w:r>
        <w:t xml:space="preserve"> face in operating their businesses</w:t>
      </w:r>
      <w:r w:rsidR="00F20B31">
        <w:t xml:space="preserve"> and improve the affordability of devices and device repair for low-income consumers.</w:t>
      </w:r>
      <w:r w:rsidR="007A65D0">
        <w:t xml:space="preserve"> </w:t>
      </w:r>
    </w:p>
    <w:p w:rsidRPr="007A65D0" w:rsidR="007A65D0" w:rsidP="008515B4" w:rsidRDefault="00A971E8" w14:paraId="45B3EA4D" w14:textId="5D4A10AB">
      <w:pPr>
        <w:autoSpaceDN/>
      </w:pPr>
      <w:r w:rsidRPr="00A971E8">
        <w:t>ACCAN considers that Recommendation 6.1</w:t>
      </w:r>
      <w:r>
        <w:t xml:space="preserve"> of the inquiry report</w:t>
      </w:r>
      <w:r w:rsidRPr="00A971E8">
        <w:t xml:space="preserve"> should</w:t>
      </w:r>
      <w:r w:rsidR="00A702BC">
        <w:t xml:space="preserve"> take into account international </w:t>
      </w:r>
      <w:r w:rsidR="004C6910">
        <w:t>tr</w:t>
      </w:r>
      <w:r w:rsidR="00BD12B2">
        <w:t>ials</w:t>
      </w:r>
      <w:r w:rsidR="004C6910">
        <w:t xml:space="preserve"> of repairability labelling</w:t>
      </w:r>
      <w:r w:rsidRPr="00A971E8">
        <w:t>.</w:t>
      </w:r>
      <w:r w:rsidRPr="00A971E8">
        <w:rPr>
          <w:vertAlign w:val="superscript"/>
        </w:rPr>
        <w:footnoteReference w:id="57"/>
      </w:r>
      <w:r w:rsidRPr="00A971E8">
        <w:t xml:space="preserve"> An Australian adaptation of this scheme should include an independent labelling review body to avoid the conflict-of-interest present in manufacturers reviewing their own devices.</w:t>
      </w:r>
      <w:r w:rsidRPr="00A971E8">
        <w:rPr>
          <w:vertAlign w:val="superscript"/>
        </w:rPr>
        <w:footnoteReference w:id="58"/>
      </w:r>
      <w:r w:rsidRPr="00A971E8">
        <w:t xml:space="preserve"> The index should be improved over time and have its data placed on a public website.</w:t>
      </w:r>
      <w:r w:rsidRPr="00A971E8">
        <w:rPr>
          <w:vertAlign w:val="superscript"/>
        </w:rPr>
        <w:footnoteReference w:id="59"/>
      </w:r>
      <w:r w:rsidRPr="00A971E8">
        <w:t xml:space="preserve"> More than 85 percent of Australian consumers would value information on product lifespan, repairability and software support.</w:t>
      </w:r>
      <w:r w:rsidRPr="00A971E8">
        <w:rPr>
          <w:vertAlign w:val="superscript"/>
        </w:rPr>
        <w:footnoteReference w:id="60"/>
      </w:r>
    </w:p>
    <w:p w:rsidRPr="002D40CC" w:rsidR="002D40CC" w:rsidP="008515B4" w:rsidRDefault="00F20B31" w14:paraId="36D4207E" w14:textId="26363D0F">
      <w:pPr>
        <w:autoSpaceDN/>
      </w:pPr>
      <w:r>
        <w:t xml:space="preserve">A legislated right to repair may be achieved through the insertion of a new provision into the </w:t>
      </w:r>
      <w:r w:rsidRPr="008216FB">
        <w:rPr>
          <w:i/>
          <w:iCs/>
        </w:rPr>
        <w:t xml:space="preserve">Competition and Consumer Act 2010 </w:t>
      </w:r>
      <w:r>
        <w:t xml:space="preserve">(Cth). </w:t>
      </w:r>
      <w:r w:rsidRPr="002D40CC" w:rsidR="002D40CC">
        <w:t>A legislated right to repair should include provisions to:</w:t>
      </w:r>
    </w:p>
    <w:p w:rsidRPr="002D40CC" w:rsidR="002D40CC" w:rsidP="008515B4" w:rsidRDefault="002D40CC" w14:paraId="02EF4C08" w14:textId="77777777">
      <w:pPr>
        <w:numPr>
          <w:ilvl w:val="0"/>
          <w:numId w:val="17"/>
        </w:numPr>
        <w:autoSpaceDN/>
        <w:contextualSpacing/>
      </w:pPr>
      <w:r w:rsidRPr="002D40CC">
        <w:t>Enable consumers and small businesses to obtain accessible repair documentation including the schematics, diagnostics, semiconductor documentation datasheets, circuit diagrams, service manuals of consumer and businesses devices.</w:t>
      </w:r>
      <w:r w:rsidRPr="002D40CC">
        <w:rPr>
          <w:vertAlign w:val="superscript"/>
        </w:rPr>
        <w:footnoteReference w:id="61"/>
      </w:r>
    </w:p>
    <w:p w:rsidRPr="002D40CC" w:rsidR="002D40CC" w:rsidP="008515B4" w:rsidRDefault="002D40CC" w14:paraId="3144829C" w14:textId="0835DCD2">
      <w:pPr>
        <w:numPr>
          <w:ilvl w:val="0"/>
          <w:numId w:val="17"/>
        </w:numPr>
        <w:autoSpaceDN/>
        <w:spacing w:after="0"/>
        <w:contextualSpacing/>
      </w:pPr>
      <w:r w:rsidRPr="002D40CC">
        <w:t>Ensure that device manufacturers make specialised tools available to IRTs.</w:t>
      </w:r>
      <w:r w:rsidRPr="002D40CC">
        <w:rPr>
          <w:vertAlign w:val="superscript"/>
        </w:rPr>
        <w:footnoteReference w:id="62"/>
      </w:r>
    </w:p>
    <w:p w:rsidRPr="008515B4" w:rsidR="002D40CC" w:rsidP="008515B4" w:rsidRDefault="002D40CC" w14:paraId="2C535AE4" w14:textId="77777777">
      <w:pPr>
        <w:pStyle w:val="ListParagraph"/>
        <w:numPr>
          <w:ilvl w:val="0"/>
          <w:numId w:val="16"/>
        </w:numPr>
        <w:autoSpaceDN/>
        <w:spacing w:after="0"/>
        <w:rPr>
          <w:lang w:val="en-US" w:eastAsia="en-US"/>
        </w:rPr>
      </w:pPr>
      <w:r w:rsidRPr="008515B4">
        <w:rPr>
          <w:lang w:val="en-US" w:eastAsia="en-US"/>
        </w:rPr>
        <w:t xml:space="preserve">Establish an independent device repairability labelling review scheme to give Australians information on product lifespan, repairability and software support. </w:t>
      </w:r>
    </w:p>
    <w:p w:rsidRPr="008515B4" w:rsidR="00105AB5" w:rsidP="008515B4" w:rsidRDefault="002D40CC" w14:paraId="18630CB7" w14:textId="3069A071">
      <w:pPr>
        <w:pStyle w:val="ListParagraph"/>
        <w:numPr>
          <w:ilvl w:val="0"/>
          <w:numId w:val="16"/>
        </w:numPr>
        <w:autoSpaceDN/>
        <w:rPr>
          <w:lang w:val="en-US" w:eastAsia="en-US"/>
        </w:rPr>
      </w:pPr>
      <w:r w:rsidRPr="008515B4">
        <w:rPr>
          <w:lang w:val="en-US" w:eastAsia="en-US"/>
        </w:rPr>
        <w:t>Require that device manufacturers design repairable products.</w:t>
      </w:r>
      <w:r w:rsidRPr="00AD5ABA">
        <w:rPr>
          <w:vertAlign w:val="superscript"/>
        </w:rPr>
        <w:footnoteReference w:id="63"/>
      </w:r>
    </w:p>
    <w:p w:rsidR="00105AB5" w:rsidP="00E763F3" w:rsidRDefault="002A2866" w14:paraId="26B19B2B" w14:textId="0E203B26">
      <w:pPr>
        <w:pStyle w:val="Recommendation"/>
      </w:pPr>
      <w:r>
        <w:t>That t</w:t>
      </w:r>
      <w:r w:rsidR="00105AB5">
        <w:t xml:space="preserve">he </w:t>
      </w:r>
      <w:r w:rsidR="00910561">
        <w:t>F</w:t>
      </w:r>
      <w:r w:rsidR="00105AB5">
        <w:t xml:space="preserve">ederal </w:t>
      </w:r>
      <w:r w:rsidR="00910561">
        <w:t xml:space="preserve">Government </w:t>
      </w:r>
      <w:r w:rsidR="00105AB5">
        <w:t xml:space="preserve">should allocate funding to establish a legislated right to repair </w:t>
      </w:r>
      <w:r w:rsidR="00D4784F">
        <w:t xml:space="preserve">following the recommendations of the </w:t>
      </w:r>
      <w:r w:rsidR="001A5C78">
        <w:t>P</w:t>
      </w:r>
      <w:r w:rsidR="00D4784F">
        <w:t xml:space="preserve">roductivity </w:t>
      </w:r>
      <w:r w:rsidR="001A5C78">
        <w:t>C</w:t>
      </w:r>
      <w:r w:rsidR="00D4784F">
        <w:t>ommission</w:t>
      </w:r>
      <w:r w:rsidR="001E5519">
        <w:t>’</w:t>
      </w:r>
      <w:r w:rsidR="00D4784F">
        <w:t>s inquiry report into the right to repair.</w:t>
      </w:r>
    </w:p>
    <w:p w:rsidR="00FA1841" w:rsidP="00E763F3" w:rsidRDefault="002A2866" w14:paraId="7B2305FA" w14:textId="2108C11E">
      <w:pPr>
        <w:pStyle w:val="Recommendation"/>
      </w:pPr>
      <w:r>
        <w:t>That t</w:t>
      </w:r>
      <w:r w:rsidR="00451F05">
        <w:t xml:space="preserve">he </w:t>
      </w:r>
      <w:r w:rsidR="00910561">
        <w:t xml:space="preserve">Federal Government </w:t>
      </w:r>
      <w:r w:rsidR="00451F05">
        <w:t>should allocate funding to establish a</w:t>
      </w:r>
      <w:r w:rsidR="00965C85">
        <w:t>n independent device</w:t>
      </w:r>
      <w:r w:rsidR="00451F05">
        <w:t xml:space="preserve"> repairability index</w:t>
      </w:r>
      <w:r w:rsidR="00965C85">
        <w:t xml:space="preserve"> following </w:t>
      </w:r>
      <w:r w:rsidR="00CB48C1">
        <w:t xml:space="preserve">Recommendation </w:t>
      </w:r>
      <w:r w:rsidR="00965C85">
        <w:t xml:space="preserve">6.1 of the </w:t>
      </w:r>
      <w:r w:rsidR="001A5C78">
        <w:t>Productivity C</w:t>
      </w:r>
      <w:r w:rsidR="00965C85">
        <w:t>ommission</w:t>
      </w:r>
      <w:r w:rsidR="00FA010D">
        <w:t>’</w:t>
      </w:r>
      <w:r w:rsidR="00965C85">
        <w:t xml:space="preserve">s inquiry report into the right to repair. </w:t>
      </w:r>
      <w:r w:rsidR="00A971E8">
        <w:t>This independently reviewed index would provide consumers with valuable product information</w:t>
      </w:r>
      <w:r w:rsidR="006D0681">
        <w:t xml:space="preserve"> to inform their purchasing decisions. </w:t>
      </w:r>
    </w:p>
    <w:p w:rsidR="00A7157E" w:rsidP="00E763F3" w:rsidRDefault="00A7157E" w14:paraId="259DB9F9" w14:textId="21F6262B">
      <w:pPr>
        <w:pStyle w:val="Heading2"/>
        <w:rPr>
          <w:lang w:eastAsia="en-US"/>
        </w:rPr>
      </w:pPr>
      <w:r w:rsidRPr="00DF36C5">
        <w:rPr>
          <w:lang w:eastAsia="en-US"/>
        </w:rPr>
        <w:t xml:space="preserve">Affordable </w:t>
      </w:r>
      <w:r>
        <w:rPr>
          <w:lang w:eastAsia="en-US"/>
        </w:rPr>
        <w:t>V</w:t>
      </w:r>
      <w:r w:rsidRPr="00DF36C5">
        <w:rPr>
          <w:lang w:eastAsia="en-US"/>
        </w:rPr>
        <w:t xml:space="preserve">oice </w:t>
      </w:r>
      <w:r>
        <w:rPr>
          <w:lang w:eastAsia="en-US"/>
        </w:rPr>
        <w:t>S</w:t>
      </w:r>
      <w:r w:rsidRPr="00DF36C5">
        <w:rPr>
          <w:lang w:eastAsia="en-US"/>
        </w:rPr>
        <w:t>ervice</w:t>
      </w:r>
      <w:r>
        <w:rPr>
          <w:lang w:eastAsia="en-US"/>
        </w:rPr>
        <w:t>s</w:t>
      </w:r>
    </w:p>
    <w:p w:rsidR="00736711" w:rsidP="00E763F3" w:rsidRDefault="00EC07AD" w14:paraId="06B514CC" w14:textId="549CD648">
      <w:pPr>
        <w:rPr>
          <w:lang w:eastAsia="en-US"/>
        </w:rPr>
      </w:pPr>
      <w:r>
        <w:rPr>
          <w:lang w:eastAsia="en-US"/>
        </w:rPr>
        <w:t>While f</w:t>
      </w:r>
      <w:r w:rsidR="00741F68">
        <w:rPr>
          <w:lang w:eastAsia="en-US"/>
        </w:rPr>
        <w:t xml:space="preserve">ixed voice services have declined in use in </w:t>
      </w:r>
      <w:r w:rsidR="002B667D">
        <w:rPr>
          <w:lang w:eastAsia="en-US"/>
        </w:rPr>
        <w:t xml:space="preserve">Australia, </w:t>
      </w:r>
      <w:r>
        <w:rPr>
          <w:lang w:eastAsia="en-US"/>
        </w:rPr>
        <w:t>they remain</w:t>
      </w:r>
      <w:r w:rsidR="00741F68">
        <w:rPr>
          <w:lang w:eastAsia="en-US"/>
        </w:rPr>
        <w:t xml:space="preserve"> essential communications services for many Australians, including vulnerable consumers. </w:t>
      </w:r>
      <w:r w:rsidR="000C0570">
        <w:rPr>
          <w:lang w:eastAsia="en-US"/>
        </w:rPr>
        <w:t>The ACMA noted that around 1 in 4 Australians used fixed line voice services in 2022 and more than 3 in 5 Australians aged over 75 used a fixed line voice service in the first half of 2022.</w:t>
      </w:r>
      <w:r w:rsidR="000C0570">
        <w:rPr>
          <w:rStyle w:val="FootnoteReference"/>
          <w:lang w:eastAsia="en-US"/>
        </w:rPr>
        <w:footnoteReference w:id="64"/>
      </w:r>
      <w:r w:rsidR="000C0570">
        <w:rPr>
          <w:lang w:eastAsia="en-US"/>
        </w:rPr>
        <w:t xml:space="preserve"> ACCAN research noted that only 1 in 5 consumers pay for a landline connection.</w:t>
      </w:r>
      <w:r w:rsidR="000C0570">
        <w:rPr>
          <w:rStyle w:val="FootnoteReference"/>
          <w:lang w:eastAsia="en-US"/>
        </w:rPr>
        <w:footnoteReference w:id="65"/>
      </w:r>
      <w:r w:rsidR="002B667D">
        <w:rPr>
          <w:lang w:eastAsia="en-US"/>
        </w:rPr>
        <w:t xml:space="preserve"> </w:t>
      </w:r>
      <w:r w:rsidR="000B4798">
        <w:rPr>
          <w:lang w:eastAsia="en-US"/>
        </w:rPr>
        <w:t>ACCAN has previously noted that consumers of fixed line voice services pay a relatively high price for this service</w:t>
      </w:r>
      <w:r w:rsidR="006469A4">
        <w:rPr>
          <w:lang w:eastAsia="en-US"/>
        </w:rPr>
        <w:t>.</w:t>
      </w:r>
      <w:r w:rsidR="007B0800">
        <w:rPr>
          <w:rStyle w:val="FootnoteReference"/>
          <w:lang w:eastAsia="en-US"/>
        </w:rPr>
        <w:footnoteReference w:id="66"/>
      </w:r>
      <w:r w:rsidR="006469A4">
        <w:rPr>
          <w:lang w:eastAsia="en-US"/>
        </w:rPr>
        <w:t xml:space="preserve"> As fixed voice services are more</w:t>
      </w:r>
      <w:r w:rsidR="000B4798">
        <w:rPr>
          <w:lang w:eastAsia="en-US"/>
        </w:rPr>
        <w:t xml:space="preserve"> often used by </w:t>
      </w:r>
      <w:r w:rsidR="006469A4">
        <w:rPr>
          <w:lang w:eastAsia="en-US"/>
        </w:rPr>
        <w:t xml:space="preserve">older Australians and </w:t>
      </w:r>
      <w:r w:rsidR="000F3BF8">
        <w:rPr>
          <w:lang w:eastAsia="en-US"/>
        </w:rPr>
        <w:t xml:space="preserve">those </w:t>
      </w:r>
      <w:r w:rsidR="006469A4">
        <w:rPr>
          <w:lang w:eastAsia="en-US"/>
        </w:rPr>
        <w:t xml:space="preserve">located in regional, </w:t>
      </w:r>
      <w:r w:rsidR="007737E9">
        <w:rPr>
          <w:lang w:eastAsia="en-US"/>
        </w:rPr>
        <w:t>rural,</w:t>
      </w:r>
      <w:r w:rsidR="006469A4">
        <w:rPr>
          <w:lang w:eastAsia="en-US"/>
        </w:rPr>
        <w:t xml:space="preserve"> and remote areas, this pricing disproportionally impacts consumers with less ability to afford higher fixed voice connectivity costs. </w:t>
      </w:r>
      <w:r w:rsidR="00671474">
        <w:rPr>
          <w:lang w:eastAsia="en-US"/>
        </w:rPr>
        <w:t xml:space="preserve">Additionally, almost half </w:t>
      </w:r>
      <w:r w:rsidR="00870B26">
        <w:rPr>
          <w:lang w:eastAsia="en-US"/>
        </w:rPr>
        <w:t>of surveyed consumers noted that they experienced some difficulty paying for landline services.</w:t>
      </w:r>
      <w:r w:rsidR="00870B26">
        <w:rPr>
          <w:rStyle w:val="FootnoteReference"/>
          <w:lang w:eastAsia="en-US"/>
        </w:rPr>
        <w:footnoteReference w:id="67"/>
      </w:r>
      <w:r w:rsidR="007B0800">
        <w:rPr>
          <w:lang w:eastAsia="en-US"/>
        </w:rPr>
        <w:t xml:space="preserve"> </w:t>
      </w:r>
    </w:p>
    <w:p w:rsidR="00512F63" w:rsidP="00E763F3" w:rsidRDefault="007B0800" w14:paraId="20D7FBCF" w14:textId="58E95C20">
      <w:pPr>
        <w:rPr>
          <w:lang w:eastAsia="en-US"/>
        </w:rPr>
      </w:pPr>
      <w:r>
        <w:rPr>
          <w:lang w:eastAsia="en-US"/>
        </w:rPr>
        <w:t xml:space="preserve">Consumers who are least well placed to experience </w:t>
      </w:r>
      <w:r w:rsidR="00085E1D">
        <w:rPr>
          <w:lang w:eastAsia="en-US"/>
        </w:rPr>
        <w:t xml:space="preserve">higher connectivity costs should receive assistance to cover these costs, especially in instances where access to connectivity is critical. ACCAN believes that the </w:t>
      </w:r>
      <w:r w:rsidR="005D5580">
        <w:rPr>
          <w:lang w:eastAsia="en-US"/>
        </w:rPr>
        <w:t>F</w:t>
      </w:r>
      <w:r w:rsidR="00085E1D">
        <w:rPr>
          <w:lang w:eastAsia="en-US"/>
        </w:rPr>
        <w:t xml:space="preserve">ederal </w:t>
      </w:r>
      <w:r w:rsidR="005D5580">
        <w:rPr>
          <w:lang w:eastAsia="en-US"/>
        </w:rPr>
        <w:t xml:space="preserve">Government </w:t>
      </w:r>
      <w:r w:rsidR="00085E1D">
        <w:rPr>
          <w:lang w:eastAsia="en-US"/>
        </w:rPr>
        <w:t xml:space="preserve">should allocate funding to provide an affordable voice concession service to </w:t>
      </w:r>
      <w:r w:rsidRPr="0099796E" w:rsidR="0099796E">
        <w:rPr>
          <w:lang w:eastAsia="en-US"/>
        </w:rPr>
        <w:t xml:space="preserve">support Age Pension and Disability Support Pension recipients to access home </w:t>
      </w:r>
      <w:r w:rsidRPr="0099796E" w:rsidR="0099796E">
        <w:rPr>
          <w:lang w:eastAsia="en-US"/>
        </w:rPr>
        <w:t>phone services</w:t>
      </w:r>
      <w:r w:rsidR="0099796E">
        <w:rPr>
          <w:lang w:eastAsia="en-US"/>
        </w:rPr>
        <w:t>.</w:t>
      </w:r>
      <w:r w:rsidR="0099796E">
        <w:rPr>
          <w:rStyle w:val="FootnoteReference"/>
          <w:lang w:eastAsia="en-US"/>
        </w:rPr>
        <w:footnoteReference w:id="68"/>
      </w:r>
      <w:r w:rsidR="000E2E5F">
        <w:rPr>
          <w:lang w:eastAsia="en-US"/>
        </w:rPr>
        <w:t xml:space="preserve"> </w:t>
      </w:r>
      <w:r w:rsidR="00444349">
        <w:rPr>
          <w:lang w:eastAsia="en-US"/>
        </w:rPr>
        <w:t>ACCAN believes that the</w:t>
      </w:r>
      <w:r w:rsidR="000E2E5F">
        <w:rPr>
          <w:lang w:eastAsia="en-US"/>
        </w:rPr>
        <w:t xml:space="preserve"> government should give consideration to all forms of consumer vulnerability and the rising cost of living when determining the concession target. </w:t>
      </w:r>
    </w:p>
    <w:p w:rsidR="00000CED" w:rsidP="00411315" w:rsidRDefault="00000CED" w14:paraId="07D13372" w14:textId="1ADB6BFD">
      <w:pPr>
        <w:pStyle w:val="Recommendation"/>
      </w:pPr>
      <w:r>
        <w:t xml:space="preserve">That the </w:t>
      </w:r>
      <w:r w:rsidR="005D5580">
        <w:t xml:space="preserve">Federal Government </w:t>
      </w:r>
      <w:r w:rsidRPr="00C87CA2" w:rsidR="00C87CA2">
        <w:t>should allocate funding to provide an affordable voice concession service to support Age Pension and Disability Support Pension recipients to access home phone services.</w:t>
      </w:r>
    </w:p>
    <w:p w:rsidR="002A7AC2" w:rsidP="00E763F3" w:rsidRDefault="00762E3A" w14:paraId="43AF54FA" w14:textId="7D6E471C">
      <w:pPr>
        <w:pStyle w:val="Heading1"/>
        <w:rPr>
          <w:sz w:val="48"/>
          <w:szCs w:val="48"/>
          <w:lang w:val="en-US" w:eastAsia="en-US"/>
        </w:rPr>
      </w:pPr>
      <w:bookmarkStart w:name="_Toc157422870" w:id="12"/>
      <w:r w:rsidRPr="00762E3A">
        <w:rPr>
          <w:sz w:val="48"/>
          <w:szCs w:val="48"/>
          <w:lang w:val="en-US" w:eastAsia="en-US"/>
        </w:rPr>
        <w:t xml:space="preserve">Reliable, </w:t>
      </w:r>
      <w:r>
        <w:rPr>
          <w:sz w:val="48"/>
          <w:szCs w:val="48"/>
          <w:lang w:val="en-US" w:eastAsia="en-US"/>
        </w:rPr>
        <w:t>R</w:t>
      </w:r>
      <w:r w:rsidRPr="00762E3A">
        <w:rPr>
          <w:sz w:val="48"/>
          <w:szCs w:val="48"/>
          <w:lang w:val="en-US" w:eastAsia="en-US"/>
        </w:rPr>
        <w:t xml:space="preserve">esilient and </w:t>
      </w:r>
      <w:r>
        <w:rPr>
          <w:sz w:val="48"/>
          <w:szCs w:val="48"/>
          <w:lang w:val="en-US" w:eastAsia="en-US"/>
        </w:rPr>
        <w:t>R</w:t>
      </w:r>
      <w:r w:rsidRPr="00762E3A">
        <w:rPr>
          <w:sz w:val="48"/>
          <w:szCs w:val="48"/>
          <w:lang w:val="en-US" w:eastAsia="en-US"/>
        </w:rPr>
        <w:t xml:space="preserve">obust </w:t>
      </w:r>
      <w:r>
        <w:rPr>
          <w:sz w:val="48"/>
          <w:szCs w:val="48"/>
          <w:lang w:val="en-US" w:eastAsia="en-US"/>
        </w:rPr>
        <w:t>I</w:t>
      </w:r>
      <w:r w:rsidRPr="00762E3A">
        <w:rPr>
          <w:sz w:val="48"/>
          <w:szCs w:val="48"/>
          <w:lang w:val="en-US" w:eastAsia="en-US"/>
        </w:rPr>
        <w:t>nfrastructure</w:t>
      </w:r>
      <w:bookmarkEnd w:id="12"/>
    </w:p>
    <w:p w:rsidR="00531512" w:rsidP="00E763F3" w:rsidRDefault="00531512" w14:paraId="2EC009F9" w14:textId="5CD0E272">
      <w:pPr>
        <w:pStyle w:val="Heading2"/>
        <w:rPr>
          <w:lang w:eastAsia="en-US"/>
        </w:rPr>
      </w:pPr>
      <w:r w:rsidRPr="00531512">
        <w:rPr>
          <w:lang w:eastAsia="en-US"/>
        </w:rPr>
        <w:t>Mobile Black Spots and Regional Connectivity Programs</w:t>
      </w:r>
    </w:p>
    <w:p w:rsidR="002926F7" w:rsidP="00E763F3" w:rsidRDefault="00FB42A2" w14:paraId="340A4212" w14:textId="2A88A88F">
      <w:pPr>
        <w:rPr>
          <w:lang w:eastAsia="en-US"/>
        </w:rPr>
      </w:pPr>
      <w:r>
        <w:rPr>
          <w:lang w:eastAsia="en-US"/>
        </w:rPr>
        <w:t xml:space="preserve">ACCAN supports the announcements made </w:t>
      </w:r>
      <w:r w:rsidR="00440CC3">
        <w:rPr>
          <w:lang w:eastAsia="en-US"/>
        </w:rPr>
        <w:t>in the</w:t>
      </w:r>
      <w:r>
        <w:rPr>
          <w:lang w:eastAsia="en-US"/>
        </w:rPr>
        <w:t xml:space="preserve"> 2023</w:t>
      </w:r>
      <w:r w:rsidR="006F5D26">
        <w:rPr>
          <w:lang w:eastAsia="en-US"/>
        </w:rPr>
        <w:t xml:space="preserve">-2024 budget </w:t>
      </w:r>
      <w:r>
        <w:rPr>
          <w:lang w:eastAsia="en-US"/>
        </w:rPr>
        <w:t xml:space="preserve">with regard to the extension of and expansion of the </w:t>
      </w:r>
      <w:r w:rsidR="003C717D">
        <w:rPr>
          <w:lang w:eastAsia="en-US"/>
        </w:rPr>
        <w:t>Mobile Black Spot Program</w:t>
      </w:r>
      <w:r w:rsidR="006F5D26">
        <w:rPr>
          <w:lang w:eastAsia="en-US"/>
        </w:rPr>
        <w:t xml:space="preserve"> (</w:t>
      </w:r>
      <w:r w:rsidRPr="008515B4" w:rsidR="006F5D26">
        <w:rPr>
          <w:b/>
          <w:bCs/>
          <w:lang w:eastAsia="en-US"/>
        </w:rPr>
        <w:t>MB</w:t>
      </w:r>
      <w:r w:rsidR="00615A1A">
        <w:rPr>
          <w:b/>
          <w:bCs/>
          <w:lang w:eastAsia="en-US"/>
        </w:rPr>
        <w:t>S</w:t>
      </w:r>
      <w:r w:rsidRPr="008515B4" w:rsidR="006F5D26">
        <w:rPr>
          <w:b/>
          <w:bCs/>
          <w:lang w:eastAsia="en-US"/>
        </w:rPr>
        <w:t>P</w:t>
      </w:r>
      <w:r w:rsidR="006F5D26">
        <w:rPr>
          <w:lang w:eastAsia="en-US"/>
        </w:rPr>
        <w:t>)</w:t>
      </w:r>
      <w:r w:rsidR="003C717D">
        <w:rPr>
          <w:lang w:eastAsia="en-US"/>
        </w:rPr>
        <w:t xml:space="preserve">, </w:t>
      </w:r>
      <w:r w:rsidR="003A6F81">
        <w:rPr>
          <w:lang w:eastAsia="en-US"/>
        </w:rPr>
        <w:t>including</w:t>
      </w:r>
      <w:r w:rsidR="002926F7">
        <w:rPr>
          <w:lang w:eastAsia="en-US"/>
        </w:rPr>
        <w:t>:</w:t>
      </w:r>
    </w:p>
    <w:p w:rsidR="003C717D" w:rsidP="00E763F3" w:rsidRDefault="002926F7" w14:paraId="6913B004" w14:textId="57B7479F">
      <w:pPr>
        <w:pStyle w:val="ListParagraph"/>
        <w:numPr>
          <w:ilvl w:val="0"/>
          <w:numId w:val="24"/>
        </w:numPr>
        <w:rPr>
          <w:lang w:eastAsia="en-US"/>
        </w:rPr>
      </w:pPr>
      <w:r>
        <w:rPr>
          <w:lang w:eastAsia="en-US"/>
        </w:rPr>
        <w:t>The December 2023 announcement of a</w:t>
      </w:r>
      <w:r w:rsidR="0020234B">
        <w:rPr>
          <w:lang w:eastAsia="en-US"/>
        </w:rPr>
        <w:t xml:space="preserve"> total of $170.2 million of funding awarded to 136 mobile and broadband solutions across Australia with </w:t>
      </w:r>
      <w:r w:rsidR="003A6F81">
        <w:rPr>
          <w:lang w:eastAsia="en-US"/>
        </w:rPr>
        <w:t>$55 million delivered through Round 7 of the MB</w:t>
      </w:r>
      <w:r w:rsidR="00593351">
        <w:rPr>
          <w:lang w:eastAsia="en-US"/>
        </w:rPr>
        <w:t>SP</w:t>
      </w:r>
      <w:r w:rsidR="003A6F81">
        <w:rPr>
          <w:lang w:eastAsia="en-US"/>
        </w:rPr>
        <w:t>.</w:t>
      </w:r>
      <w:r w:rsidR="003A6F81">
        <w:rPr>
          <w:rStyle w:val="FootnoteReference"/>
          <w:lang w:eastAsia="en-US"/>
        </w:rPr>
        <w:footnoteReference w:id="69"/>
      </w:r>
    </w:p>
    <w:p w:rsidR="002926F7" w:rsidP="00E763F3" w:rsidRDefault="002926F7" w14:paraId="60824158" w14:textId="17177472">
      <w:pPr>
        <w:pStyle w:val="ListParagraph"/>
        <w:numPr>
          <w:ilvl w:val="0"/>
          <w:numId w:val="24"/>
        </w:numPr>
        <w:rPr>
          <w:lang w:eastAsia="en-US"/>
        </w:rPr>
      </w:pPr>
      <w:r>
        <w:rPr>
          <w:lang w:eastAsia="en-US"/>
        </w:rPr>
        <w:t xml:space="preserve">The October 2023 announcement of </w:t>
      </w:r>
      <w:r w:rsidR="00593351">
        <w:rPr>
          <w:lang w:eastAsia="en-US"/>
        </w:rPr>
        <w:t xml:space="preserve">$37.2 million through the Improving </w:t>
      </w:r>
      <w:r w:rsidR="002C2C3F">
        <w:rPr>
          <w:lang w:eastAsia="en-US"/>
        </w:rPr>
        <w:t xml:space="preserve">Mobile Coverage Round </w:t>
      </w:r>
      <w:r w:rsidR="00593351">
        <w:rPr>
          <w:lang w:eastAsia="en-US"/>
        </w:rPr>
        <w:t>of the MBSP.</w:t>
      </w:r>
      <w:r w:rsidR="00593351">
        <w:rPr>
          <w:rStyle w:val="FootnoteReference"/>
          <w:lang w:eastAsia="en-US"/>
        </w:rPr>
        <w:footnoteReference w:id="70"/>
      </w:r>
    </w:p>
    <w:p w:rsidR="008352B9" w:rsidP="00E763F3" w:rsidRDefault="008352B9" w14:paraId="51675640" w14:textId="355198EC">
      <w:pPr>
        <w:rPr>
          <w:lang w:eastAsia="en-US"/>
        </w:rPr>
      </w:pPr>
      <w:r>
        <w:rPr>
          <w:lang w:eastAsia="en-US"/>
        </w:rPr>
        <w:t xml:space="preserve">ACCAN considers that </w:t>
      </w:r>
      <w:r w:rsidR="002364F5">
        <w:rPr>
          <w:lang w:eastAsia="en-US"/>
        </w:rPr>
        <w:t xml:space="preserve">the </w:t>
      </w:r>
      <w:r w:rsidR="00066FCE">
        <w:rPr>
          <w:lang w:eastAsia="en-US"/>
        </w:rPr>
        <w:t>budget should</w:t>
      </w:r>
      <w:r w:rsidR="002364F5">
        <w:rPr>
          <w:lang w:eastAsia="en-US"/>
        </w:rPr>
        <w:t xml:space="preserve"> take account the recommendations of </w:t>
      </w:r>
      <w:r w:rsidR="00066FCE">
        <w:rPr>
          <w:lang w:eastAsia="en-US"/>
        </w:rPr>
        <w:t>the First</w:t>
      </w:r>
      <w:r w:rsidR="002364F5">
        <w:rPr>
          <w:lang w:eastAsia="en-US"/>
        </w:rPr>
        <w:t xml:space="preserve"> </w:t>
      </w:r>
      <w:r w:rsidR="00F435DA">
        <w:rPr>
          <w:lang w:eastAsia="en-US"/>
        </w:rPr>
        <w:t>N</w:t>
      </w:r>
      <w:r w:rsidR="002364F5">
        <w:rPr>
          <w:lang w:eastAsia="en-US"/>
        </w:rPr>
        <w:t xml:space="preserve">ations </w:t>
      </w:r>
      <w:r w:rsidR="00F435DA">
        <w:rPr>
          <w:lang w:eastAsia="en-US"/>
        </w:rPr>
        <w:t>D</w:t>
      </w:r>
      <w:r w:rsidR="002364F5">
        <w:rPr>
          <w:lang w:eastAsia="en-US"/>
        </w:rPr>
        <w:t xml:space="preserve">igital </w:t>
      </w:r>
      <w:r w:rsidR="00F435DA">
        <w:rPr>
          <w:lang w:eastAsia="en-US"/>
        </w:rPr>
        <w:t>I</w:t>
      </w:r>
      <w:r w:rsidR="002364F5">
        <w:rPr>
          <w:lang w:eastAsia="en-US"/>
        </w:rPr>
        <w:t xml:space="preserve">nclusion </w:t>
      </w:r>
      <w:r w:rsidR="00F435DA">
        <w:rPr>
          <w:lang w:eastAsia="en-US"/>
        </w:rPr>
        <w:t>A</w:t>
      </w:r>
      <w:r w:rsidR="002364F5">
        <w:rPr>
          <w:lang w:eastAsia="en-US"/>
        </w:rPr>
        <w:t xml:space="preserve">dvisory </w:t>
      </w:r>
      <w:r w:rsidR="00F435DA">
        <w:rPr>
          <w:lang w:eastAsia="en-US"/>
        </w:rPr>
        <w:t>G</w:t>
      </w:r>
      <w:r w:rsidR="002364F5">
        <w:rPr>
          <w:lang w:eastAsia="en-US"/>
        </w:rPr>
        <w:t>roup’s initial report</w:t>
      </w:r>
      <w:r w:rsidR="00F435DA">
        <w:rPr>
          <w:lang w:eastAsia="en-US"/>
        </w:rPr>
        <w:t xml:space="preserve"> (</w:t>
      </w:r>
      <w:r w:rsidRPr="008515B4" w:rsidR="00F435DA">
        <w:rPr>
          <w:b/>
          <w:bCs/>
          <w:lang w:eastAsia="en-US"/>
        </w:rPr>
        <w:t>the initial report</w:t>
      </w:r>
      <w:r w:rsidR="00F435DA">
        <w:rPr>
          <w:lang w:eastAsia="en-US"/>
        </w:rPr>
        <w:t>)</w:t>
      </w:r>
      <w:r w:rsidR="002364F5">
        <w:rPr>
          <w:lang w:eastAsia="en-US"/>
        </w:rPr>
        <w:t>.</w:t>
      </w:r>
      <w:r w:rsidR="00182945">
        <w:rPr>
          <w:rStyle w:val="FootnoteReference"/>
          <w:lang w:eastAsia="en-US"/>
        </w:rPr>
        <w:footnoteReference w:id="71"/>
      </w:r>
      <w:r w:rsidR="002364F5">
        <w:rPr>
          <w:lang w:eastAsia="en-US"/>
        </w:rPr>
        <w:t xml:space="preserve"> This includes: </w:t>
      </w:r>
    </w:p>
    <w:p w:rsidR="002364F5" w:rsidP="00E763F3" w:rsidRDefault="00C46C08" w14:paraId="61C41FA6" w14:textId="148AD3AC">
      <w:pPr>
        <w:pStyle w:val="ListParagraph"/>
        <w:numPr>
          <w:ilvl w:val="0"/>
          <w:numId w:val="24"/>
        </w:numPr>
        <w:rPr>
          <w:lang w:eastAsia="en-US"/>
        </w:rPr>
      </w:pPr>
      <w:r>
        <w:rPr>
          <w:lang w:eastAsia="en-US"/>
        </w:rPr>
        <w:t>‘</w:t>
      </w:r>
      <w:r w:rsidR="00D71956">
        <w:rPr>
          <w:lang w:eastAsia="en-US"/>
        </w:rPr>
        <w:t xml:space="preserve">That at least </w:t>
      </w:r>
      <w:r w:rsidR="00D71956">
        <w:t xml:space="preserve">10 per cent of available funding be provided to projects which benefit First Nations people and </w:t>
      </w:r>
      <w:proofErr w:type="gramStart"/>
      <w:r w:rsidR="00D71956">
        <w:t>communities</w:t>
      </w:r>
      <w:r>
        <w:t>’</w:t>
      </w:r>
      <w:proofErr w:type="gramEnd"/>
      <w:r w:rsidR="00D71956">
        <w:t>.</w:t>
      </w:r>
      <w:r w:rsidR="00D71956">
        <w:rPr>
          <w:rStyle w:val="FootnoteReference"/>
        </w:rPr>
        <w:footnoteReference w:id="72"/>
      </w:r>
      <w:r w:rsidR="00984A1C">
        <w:t xml:space="preserve"> </w:t>
      </w:r>
    </w:p>
    <w:p w:rsidR="00D71956" w:rsidP="00E763F3" w:rsidRDefault="00D71956" w14:paraId="1E522CF4" w14:textId="626AAE35">
      <w:pPr>
        <w:pStyle w:val="ListParagraph"/>
        <w:numPr>
          <w:ilvl w:val="0"/>
          <w:numId w:val="24"/>
        </w:numPr>
        <w:rPr>
          <w:lang w:eastAsia="en-US"/>
        </w:rPr>
      </w:pPr>
      <w:r>
        <w:t xml:space="preserve">That the </w:t>
      </w:r>
      <w:r w:rsidR="00162760">
        <w:t>F</w:t>
      </w:r>
      <w:r>
        <w:t xml:space="preserve">ederal </w:t>
      </w:r>
      <w:r w:rsidR="00162760">
        <w:t xml:space="preserve">Government </w:t>
      </w:r>
      <w:r w:rsidR="00E42EDC">
        <w:t xml:space="preserve">consider a </w:t>
      </w:r>
      <w:r w:rsidR="00C46C08">
        <w:t>‘</w:t>
      </w:r>
      <w:r w:rsidR="00E42EDC">
        <w:t xml:space="preserve">specific allocation of the </w:t>
      </w:r>
      <w:r w:rsidR="008D79C0">
        <w:t>R</w:t>
      </w:r>
      <w:r w:rsidR="00E42EDC">
        <w:t xml:space="preserve">egional </w:t>
      </w:r>
      <w:r w:rsidR="008D79C0">
        <w:t>C</w:t>
      </w:r>
      <w:r w:rsidR="00E42EDC">
        <w:t xml:space="preserve">onnectivity </w:t>
      </w:r>
      <w:r w:rsidR="008D79C0">
        <w:t>P</w:t>
      </w:r>
      <w:r w:rsidR="00E42EDC">
        <w:t xml:space="preserve">rogram </w:t>
      </w:r>
      <w:r w:rsidR="008D79C0">
        <w:t>(</w:t>
      </w:r>
      <w:r w:rsidRPr="008515B4" w:rsidR="008D79C0">
        <w:rPr>
          <w:b/>
          <w:bCs/>
        </w:rPr>
        <w:t>RCP</w:t>
      </w:r>
      <w:r w:rsidR="008D79C0">
        <w:t xml:space="preserve">) </w:t>
      </w:r>
      <w:r w:rsidR="00E42EDC">
        <w:t>to address the connectivity needs in the 670 remote First Nations homelands currently without any kind of coverage</w:t>
      </w:r>
      <w:r w:rsidR="00C46C08">
        <w:t>’</w:t>
      </w:r>
      <w:r w:rsidR="00E42EDC">
        <w:t>.</w:t>
      </w:r>
      <w:r w:rsidR="00E42EDC">
        <w:rPr>
          <w:rStyle w:val="FootnoteReference"/>
        </w:rPr>
        <w:footnoteReference w:id="73"/>
      </w:r>
    </w:p>
    <w:p w:rsidR="00984A1C" w:rsidP="00E763F3" w:rsidRDefault="00C46C08" w14:paraId="3B7EB6C6" w14:textId="18EBF600">
      <w:pPr>
        <w:pStyle w:val="ListParagraph"/>
        <w:numPr>
          <w:ilvl w:val="0"/>
          <w:numId w:val="24"/>
        </w:numPr>
        <w:rPr>
          <w:lang w:eastAsia="en-US"/>
        </w:rPr>
      </w:pPr>
      <w:r>
        <w:t>‘</w:t>
      </w:r>
      <w:r w:rsidR="006C5FD2">
        <w:t xml:space="preserve">Establishing a further round of </w:t>
      </w:r>
      <w:r w:rsidR="003674A6">
        <w:t xml:space="preserve">the MBSP to target remote communities who </w:t>
      </w:r>
      <w:r>
        <w:t>have been previously</w:t>
      </w:r>
      <w:r w:rsidR="003674A6">
        <w:t xml:space="preserve"> ineligible for funding due to lack of commercial interest and co-investment </w:t>
      </w:r>
      <w:proofErr w:type="gramStart"/>
      <w:r w:rsidR="003674A6">
        <w:t>limitations</w:t>
      </w:r>
      <w:r>
        <w:t>’</w:t>
      </w:r>
      <w:proofErr w:type="gramEnd"/>
      <w:r w:rsidR="003674A6">
        <w:t>.</w:t>
      </w:r>
      <w:r w:rsidR="003674A6">
        <w:rPr>
          <w:rStyle w:val="FootnoteReference"/>
        </w:rPr>
        <w:footnoteReference w:id="74"/>
      </w:r>
    </w:p>
    <w:p w:rsidR="00C46C08" w:rsidP="00E763F3" w:rsidRDefault="00C46C08" w14:paraId="389ADE0B" w14:textId="57E47AB1">
      <w:pPr>
        <w:pStyle w:val="ListParagraph"/>
        <w:numPr>
          <w:ilvl w:val="0"/>
          <w:numId w:val="24"/>
        </w:numPr>
        <w:rPr>
          <w:lang w:eastAsia="en-US"/>
        </w:rPr>
      </w:pPr>
      <w:r>
        <w:t xml:space="preserve">That the </w:t>
      </w:r>
      <w:r w:rsidR="00162760">
        <w:t>F</w:t>
      </w:r>
      <w:r>
        <w:t xml:space="preserve">ederal </w:t>
      </w:r>
      <w:r w:rsidR="00162760">
        <w:t xml:space="preserve">Government </w:t>
      </w:r>
      <w:r w:rsidR="009E7CCB">
        <w:t xml:space="preserve">alter the process for applying for grant funding to make it easier for smaller </w:t>
      </w:r>
      <w:r w:rsidR="001E6E0A">
        <w:t>F</w:t>
      </w:r>
      <w:r w:rsidR="009E7CCB">
        <w:t xml:space="preserve">irst </w:t>
      </w:r>
      <w:r w:rsidR="001E6E0A">
        <w:t xml:space="preserve">Nations </w:t>
      </w:r>
      <w:r w:rsidR="009E7CCB">
        <w:t xml:space="preserve">communities to </w:t>
      </w:r>
      <w:r w:rsidR="00227E8C">
        <w:t>attain fundin</w:t>
      </w:r>
      <w:r w:rsidR="00640000">
        <w:t xml:space="preserve">g and </w:t>
      </w:r>
      <w:r w:rsidR="00044EC9">
        <w:t>to receive robust feedback on their applications.</w:t>
      </w:r>
      <w:r w:rsidR="00C23BBD">
        <w:rPr>
          <w:rStyle w:val="FootnoteReference"/>
        </w:rPr>
        <w:footnoteReference w:id="75"/>
      </w:r>
    </w:p>
    <w:p w:rsidR="00C049E7" w:rsidP="00E763F3" w:rsidRDefault="00C049E7" w14:paraId="35BAB731" w14:textId="599C67DC">
      <w:pPr>
        <w:pStyle w:val="ListParagraph"/>
        <w:numPr>
          <w:ilvl w:val="0"/>
          <w:numId w:val="24"/>
        </w:numPr>
      </w:pPr>
      <w:r>
        <w:t xml:space="preserve">That the </w:t>
      </w:r>
      <w:r w:rsidR="00F34138">
        <w:t xml:space="preserve">National Indigenous Australians Agency’s </w:t>
      </w:r>
      <w:r w:rsidR="0037652E">
        <w:t>(</w:t>
      </w:r>
      <w:r w:rsidRPr="0037652E" w:rsidR="0037652E">
        <w:rPr>
          <w:b/>
          <w:bCs/>
        </w:rPr>
        <w:t>NIAA</w:t>
      </w:r>
      <w:r w:rsidR="0037652E">
        <w:t xml:space="preserve">) </w:t>
      </w:r>
      <w:r w:rsidRPr="0037652E" w:rsidR="00F34138">
        <w:t>stakeholders</w:t>
      </w:r>
      <w:r>
        <w:t xml:space="preserve"> have indicated that ‘</w:t>
      </w:r>
      <w:r w:rsidR="00317262">
        <w:t xml:space="preserve">First Nations communities are typically not aware of existing </w:t>
      </w:r>
      <w:r w:rsidR="00340B15">
        <w:t xml:space="preserve">Federal </w:t>
      </w:r>
      <w:r w:rsidR="00317262">
        <w:t xml:space="preserve">Government funding </w:t>
      </w:r>
      <w:r w:rsidR="00317262">
        <w:t xml:space="preserve">opportunities or do not have relationships or resources to partner with telecommunications carriers and other stakeholders to support the preparation of funding </w:t>
      </w:r>
      <w:proofErr w:type="gramStart"/>
      <w:r w:rsidR="00317262">
        <w:t>proposals</w:t>
      </w:r>
      <w:r w:rsidR="00976583">
        <w:t>’</w:t>
      </w:r>
      <w:proofErr w:type="gramEnd"/>
      <w:r w:rsidR="00317262">
        <w:t xml:space="preserve">. ACCAN considers that in response to this the </w:t>
      </w:r>
      <w:r w:rsidR="00FD0873">
        <w:t xml:space="preserve">Federal Government </w:t>
      </w:r>
      <w:r w:rsidR="00317262">
        <w:t>should develop</w:t>
      </w:r>
      <w:r w:rsidR="000B42D2">
        <w:t xml:space="preserve"> and improve upon</w:t>
      </w:r>
      <w:r w:rsidR="00317262">
        <w:t xml:space="preserve"> </w:t>
      </w:r>
      <w:r w:rsidR="000B42D2">
        <w:t>appropriate supports to facilitate knowledge of these programs.</w:t>
      </w:r>
      <w:r w:rsidR="000B42D2">
        <w:rPr>
          <w:rStyle w:val="FootnoteReference"/>
        </w:rPr>
        <w:footnoteReference w:id="76"/>
      </w:r>
    </w:p>
    <w:p w:rsidR="00933B61" w:rsidP="00E763F3" w:rsidRDefault="009B062A" w14:paraId="0B1B97D7" w14:textId="174F3266">
      <w:pPr>
        <w:rPr>
          <w:lang w:eastAsia="en-US"/>
        </w:rPr>
      </w:pPr>
      <w:r>
        <w:rPr>
          <w:lang w:eastAsia="en-US"/>
        </w:rPr>
        <w:t xml:space="preserve">ACCAN considers that the </w:t>
      </w:r>
      <w:r w:rsidR="004C77FC">
        <w:rPr>
          <w:lang w:eastAsia="en-US"/>
        </w:rPr>
        <w:t xml:space="preserve">Federal Government </w:t>
      </w:r>
      <w:r>
        <w:rPr>
          <w:lang w:eastAsia="en-US"/>
        </w:rPr>
        <w:t>taking steps t</w:t>
      </w:r>
      <w:r w:rsidR="00C743FC">
        <w:rPr>
          <w:lang w:eastAsia="en-US"/>
        </w:rPr>
        <w:t>owards the above recommendations would facilitate action on the priorities of the First Nations Digital Inclusion Plan 2023-2026.</w:t>
      </w:r>
      <w:r w:rsidR="00C743FC">
        <w:rPr>
          <w:rStyle w:val="FootnoteReference"/>
          <w:lang w:eastAsia="en-US"/>
        </w:rPr>
        <w:footnoteReference w:id="77"/>
      </w:r>
      <w:r w:rsidR="00C743FC">
        <w:rPr>
          <w:lang w:eastAsia="en-US"/>
        </w:rPr>
        <w:t xml:space="preserve"> </w:t>
      </w:r>
      <w:r w:rsidR="00933B61">
        <w:rPr>
          <w:lang w:eastAsia="en-US"/>
        </w:rPr>
        <w:t xml:space="preserve">ACCAN </w:t>
      </w:r>
      <w:r w:rsidR="00B34217">
        <w:rPr>
          <w:lang w:eastAsia="en-US"/>
        </w:rPr>
        <w:t xml:space="preserve">supports the </w:t>
      </w:r>
      <w:r w:rsidR="004C77FC">
        <w:rPr>
          <w:lang w:eastAsia="en-US"/>
        </w:rPr>
        <w:t xml:space="preserve">Federal Government </w:t>
      </w:r>
      <w:r w:rsidR="00B34217">
        <w:rPr>
          <w:lang w:eastAsia="en-US"/>
        </w:rPr>
        <w:t xml:space="preserve">continuing the MBSP and the </w:t>
      </w:r>
      <w:r w:rsidR="00270EEC">
        <w:rPr>
          <w:lang w:eastAsia="en-US"/>
        </w:rPr>
        <w:t>RCP</w:t>
      </w:r>
      <w:r w:rsidR="00B34217">
        <w:rPr>
          <w:lang w:eastAsia="en-US"/>
        </w:rPr>
        <w:t xml:space="preserve"> to assist in</w:t>
      </w:r>
      <w:r w:rsidR="00F57C83">
        <w:rPr>
          <w:lang w:eastAsia="en-US"/>
        </w:rPr>
        <w:t xml:space="preserve"> improving Australia’s connectivity outcomes in line with its Better Connectivity Plan for Rural and Regional Australia.</w:t>
      </w:r>
      <w:r w:rsidR="00FA403F">
        <w:rPr>
          <w:rStyle w:val="FootnoteReference"/>
          <w:lang w:eastAsia="en-US"/>
        </w:rPr>
        <w:footnoteReference w:id="78"/>
      </w:r>
    </w:p>
    <w:p w:rsidR="00DC55AA" w:rsidP="00E763F3" w:rsidRDefault="00DC55AA" w14:paraId="5FBDB604" w14:textId="10861069">
      <w:pPr>
        <w:pStyle w:val="Recommendation"/>
      </w:pPr>
      <w:bookmarkStart w:name="_Hlk157077943" w:id="13"/>
      <w:r>
        <w:t xml:space="preserve">That the </w:t>
      </w:r>
      <w:r w:rsidR="004C77FC">
        <w:t>F</w:t>
      </w:r>
      <w:r>
        <w:t xml:space="preserve">ederal </w:t>
      </w:r>
      <w:r w:rsidR="004C77FC">
        <w:t xml:space="preserve">Government </w:t>
      </w:r>
      <w:r>
        <w:t xml:space="preserve">continue funding the Mobile Black Spot Program and Regional Connectivity </w:t>
      </w:r>
      <w:r w:rsidR="0031564A">
        <w:t>P</w:t>
      </w:r>
      <w:r>
        <w:t xml:space="preserve">rogram </w:t>
      </w:r>
      <w:r w:rsidRPr="00DC55AA">
        <w:t>to assist in improving Australia’s connectivity outcomes in line with its Better Connectivity Plan for Rural and Regional Australia.</w:t>
      </w:r>
    </w:p>
    <w:p w:rsidRPr="00F6240D" w:rsidR="00DC55AA" w:rsidP="00E763F3" w:rsidRDefault="00DC55AA" w14:paraId="169694F9" w14:textId="2A3D6A27">
      <w:pPr>
        <w:pStyle w:val="Recommendation"/>
      </w:pPr>
      <w:r>
        <w:t>That the</w:t>
      </w:r>
      <w:r w:rsidRPr="00DC55AA">
        <w:t xml:space="preserve"> </w:t>
      </w:r>
      <w:r w:rsidR="004C77FC">
        <w:t>F</w:t>
      </w:r>
      <w:r w:rsidRPr="00DC55AA" w:rsidR="004C77FC">
        <w:t xml:space="preserve">ederal </w:t>
      </w:r>
      <w:r w:rsidR="004C77FC">
        <w:t>G</w:t>
      </w:r>
      <w:r w:rsidRPr="00DC55AA" w:rsidR="004C77FC">
        <w:t xml:space="preserve">overnment </w:t>
      </w:r>
      <w:r w:rsidRPr="00DC55AA">
        <w:t xml:space="preserve">should take account the recommendations of the </w:t>
      </w:r>
      <w:r w:rsidR="0031564A">
        <w:t>F</w:t>
      </w:r>
      <w:r w:rsidRPr="00DC55AA" w:rsidR="0031564A">
        <w:t xml:space="preserve">irst </w:t>
      </w:r>
      <w:r w:rsidR="0031564A">
        <w:t>N</w:t>
      </w:r>
      <w:r w:rsidRPr="00DC55AA" w:rsidR="0031564A">
        <w:t>ations Digital Inclusion Advisory Group’s</w:t>
      </w:r>
      <w:r w:rsidRPr="00DC55AA">
        <w:t xml:space="preserve"> initial report</w:t>
      </w:r>
      <w:r>
        <w:t xml:space="preserve">, especially </w:t>
      </w:r>
      <w:r w:rsidR="00456F26">
        <w:t>regarding</w:t>
      </w:r>
      <w:r>
        <w:t xml:space="preserve"> the ability of </w:t>
      </w:r>
      <w:r w:rsidR="0031564A">
        <w:t>F</w:t>
      </w:r>
      <w:r>
        <w:t xml:space="preserve">irst </w:t>
      </w:r>
      <w:r w:rsidR="0031564A">
        <w:t xml:space="preserve">Nations </w:t>
      </w:r>
      <w:r>
        <w:t xml:space="preserve">communities to interact with existing government grant programs. </w:t>
      </w:r>
    </w:p>
    <w:bookmarkEnd w:id="13"/>
    <w:p w:rsidR="00531512" w:rsidP="00E763F3" w:rsidRDefault="006F236F" w14:paraId="2DD9D810" w14:textId="08CC11D2">
      <w:pPr>
        <w:pStyle w:val="Heading2"/>
        <w:rPr>
          <w:lang w:eastAsia="en-US"/>
        </w:rPr>
      </w:pPr>
      <w:r>
        <w:rPr>
          <w:lang w:eastAsia="en-US"/>
        </w:rPr>
        <w:t xml:space="preserve">Remote First Nations Communities </w:t>
      </w:r>
    </w:p>
    <w:p w:rsidR="003C47E6" w:rsidP="00E763F3" w:rsidRDefault="00471AB6" w14:paraId="213B15CB" w14:textId="6C901EC4">
      <w:pPr>
        <w:rPr>
          <w:lang w:val="en-US" w:eastAsia="en-US"/>
        </w:rPr>
      </w:pPr>
      <w:r>
        <w:rPr>
          <w:lang w:val="en-US" w:eastAsia="en-US"/>
        </w:rPr>
        <w:t>ACCAN supports the existing policy responses and funding allocated to support</w:t>
      </w:r>
      <w:r w:rsidR="005E5F25">
        <w:rPr>
          <w:lang w:val="en-US" w:eastAsia="en-US"/>
        </w:rPr>
        <w:t xml:space="preserve"> First </w:t>
      </w:r>
      <w:r w:rsidR="00A41492">
        <w:rPr>
          <w:lang w:val="en-US" w:eastAsia="en-US"/>
        </w:rPr>
        <w:t>Nations consumers</w:t>
      </w:r>
      <w:r>
        <w:rPr>
          <w:lang w:val="en-US" w:eastAsia="en-US"/>
        </w:rPr>
        <w:t xml:space="preserve"> in remote communities detailed in the First Nations Digital Inclusion Plan 2023-2026.</w:t>
      </w:r>
      <w:r>
        <w:rPr>
          <w:rStyle w:val="FootnoteReference"/>
          <w:lang w:val="en-US" w:eastAsia="en-US"/>
        </w:rPr>
        <w:footnoteReference w:id="79"/>
      </w:r>
      <w:r w:rsidR="0047475C">
        <w:rPr>
          <w:lang w:val="en-US" w:eastAsia="en-US"/>
        </w:rPr>
        <w:t xml:space="preserve"> </w:t>
      </w:r>
      <w:r w:rsidR="002D6767">
        <w:rPr>
          <w:lang w:val="en-US" w:eastAsia="en-US"/>
        </w:rPr>
        <w:t xml:space="preserve">Additionally, we support </w:t>
      </w:r>
      <w:r w:rsidR="002D6767">
        <w:rPr>
          <w:lang w:eastAsia="en-US"/>
        </w:rPr>
        <w:t xml:space="preserve">the undertaking of the 2024 Regional telecommunications review to examine </w:t>
      </w:r>
      <w:r w:rsidRPr="00D34E0B" w:rsidR="002D6767">
        <w:rPr>
          <w:lang w:val="en-US" w:eastAsia="en-US"/>
        </w:rPr>
        <w:t>the adequacy of regional telecommunications.</w:t>
      </w:r>
      <w:r w:rsidR="002D6767">
        <w:rPr>
          <w:rStyle w:val="FootnoteReference"/>
          <w:lang w:val="en-US" w:eastAsia="en-US"/>
        </w:rPr>
        <w:footnoteReference w:id="80"/>
      </w:r>
      <w:r w:rsidR="002D6767">
        <w:rPr>
          <w:lang w:val="en-US" w:eastAsia="en-US"/>
        </w:rPr>
        <w:t xml:space="preserve"> </w:t>
      </w:r>
    </w:p>
    <w:p w:rsidR="00AF29C6" w:rsidP="00E763F3" w:rsidRDefault="008D25CD" w14:paraId="5B23750A" w14:textId="799E70E0">
      <w:pPr>
        <w:rPr>
          <w:lang w:val="en-US" w:eastAsia="en-US"/>
        </w:rPr>
      </w:pPr>
      <w:r>
        <w:rPr>
          <w:lang w:val="en-US" w:eastAsia="en-US"/>
        </w:rPr>
        <w:t>Digital inclusion and digital access in first nations communities is critical to ensure equitable telecommunications access</w:t>
      </w:r>
      <w:r w:rsidR="00BF270A">
        <w:rPr>
          <w:lang w:val="en-US" w:eastAsia="en-US"/>
        </w:rPr>
        <w:t xml:space="preserve">. </w:t>
      </w:r>
      <w:r w:rsidR="00450F05">
        <w:rPr>
          <w:lang w:val="en-US" w:eastAsia="en-US"/>
        </w:rPr>
        <w:t>‘</w:t>
      </w:r>
      <w:r w:rsidRPr="00450F05" w:rsidR="00450F05">
        <w:rPr>
          <w:lang w:eastAsia="en-US"/>
        </w:rPr>
        <w:t>Digital exclusion affects the ability of First Nations people to participate in the online economy; access government services (which are increasingly moving online); access other services, such as education and employment; enjoy entertainment and leisure activities available to other Australians; and remain connected to their communities and culture</w:t>
      </w:r>
      <w:r w:rsidR="00450F05">
        <w:rPr>
          <w:lang w:eastAsia="en-US"/>
        </w:rPr>
        <w:t>’.</w:t>
      </w:r>
      <w:r w:rsidR="00450F05">
        <w:rPr>
          <w:rStyle w:val="FootnoteReference"/>
          <w:lang w:eastAsia="en-US"/>
        </w:rPr>
        <w:footnoteReference w:id="81"/>
      </w:r>
      <w:r w:rsidR="00664424">
        <w:rPr>
          <w:lang w:val="en-US" w:eastAsia="en-US"/>
        </w:rPr>
        <w:t xml:space="preserve"> </w:t>
      </w:r>
      <w:r w:rsidR="00CD0EF4">
        <w:rPr>
          <w:lang w:val="en-US" w:eastAsia="en-US"/>
        </w:rPr>
        <w:t>The</w:t>
      </w:r>
      <w:r w:rsidR="00BE1344">
        <w:rPr>
          <w:lang w:val="en-US" w:eastAsia="en-US"/>
        </w:rPr>
        <w:t xml:space="preserve"> 2023 ADII report </w:t>
      </w:r>
      <w:r w:rsidR="00F17651">
        <w:rPr>
          <w:lang w:val="en-US" w:eastAsia="en-US"/>
        </w:rPr>
        <w:t xml:space="preserve">detailed the current state of digital inclusion for </w:t>
      </w:r>
      <w:r w:rsidR="005F3E8D">
        <w:rPr>
          <w:lang w:val="en-US" w:eastAsia="en-US"/>
        </w:rPr>
        <w:t>F</w:t>
      </w:r>
      <w:r w:rsidR="00F17651">
        <w:rPr>
          <w:lang w:val="en-US" w:eastAsia="en-US"/>
        </w:rPr>
        <w:t xml:space="preserve">irst </w:t>
      </w:r>
      <w:r w:rsidR="005F3E8D">
        <w:rPr>
          <w:lang w:val="en-US" w:eastAsia="en-US"/>
        </w:rPr>
        <w:t>N</w:t>
      </w:r>
      <w:r w:rsidR="00F17651">
        <w:rPr>
          <w:lang w:val="en-US" w:eastAsia="en-US"/>
        </w:rPr>
        <w:t>ations telecommunications consumers</w:t>
      </w:r>
      <w:r w:rsidR="00AF29C6">
        <w:rPr>
          <w:lang w:val="en-US" w:eastAsia="en-US"/>
        </w:rPr>
        <w:t>. The report noted</w:t>
      </w:r>
      <w:r w:rsidR="00671778">
        <w:rPr>
          <w:lang w:val="en-US" w:eastAsia="en-US"/>
        </w:rPr>
        <w:t>:</w:t>
      </w:r>
    </w:p>
    <w:p w:rsidRPr="00F21A0A" w:rsidR="00671778" w:rsidP="00E763F3" w:rsidRDefault="00016A1F" w14:paraId="4D5D3837" w14:textId="258D5F12">
      <w:pPr>
        <w:pStyle w:val="ListParagraph"/>
        <w:numPr>
          <w:ilvl w:val="0"/>
          <w:numId w:val="23"/>
        </w:numPr>
        <w:rPr>
          <w:lang w:val="en-US" w:eastAsia="en-US"/>
        </w:rPr>
      </w:pPr>
      <w:r>
        <w:rPr>
          <w:lang w:eastAsia="en-US"/>
        </w:rPr>
        <w:t>‘</w:t>
      </w:r>
      <w:r w:rsidRPr="007F3407" w:rsidR="007F3407">
        <w:rPr>
          <w:lang w:eastAsia="en-US"/>
        </w:rPr>
        <w:t>There is a considerable digital gap between First Nations and non-First Nations people in Australia</w:t>
      </w:r>
      <w:r>
        <w:rPr>
          <w:lang w:eastAsia="en-US"/>
        </w:rPr>
        <w:t>’</w:t>
      </w:r>
      <w:r w:rsidR="007F3407">
        <w:rPr>
          <w:lang w:eastAsia="en-US"/>
        </w:rPr>
        <w:t>.</w:t>
      </w:r>
      <w:r w:rsidR="007F3407">
        <w:rPr>
          <w:rStyle w:val="FootnoteReference"/>
          <w:lang w:eastAsia="en-US"/>
        </w:rPr>
        <w:footnoteReference w:id="82"/>
      </w:r>
    </w:p>
    <w:p w:rsidRPr="00791484" w:rsidR="00F21A0A" w:rsidP="00E763F3" w:rsidRDefault="00F21A0A" w14:paraId="210C4E47" w14:textId="50BF1283">
      <w:pPr>
        <w:pStyle w:val="ListParagraph"/>
        <w:numPr>
          <w:ilvl w:val="0"/>
          <w:numId w:val="23"/>
        </w:numPr>
        <w:rPr>
          <w:lang w:val="en-US" w:eastAsia="en-US"/>
        </w:rPr>
      </w:pPr>
      <w:r>
        <w:rPr>
          <w:lang w:eastAsia="en-US"/>
        </w:rPr>
        <w:t>‘</w:t>
      </w:r>
      <w:r w:rsidRPr="00F21A0A">
        <w:rPr>
          <w:lang w:eastAsia="en-US"/>
        </w:rPr>
        <w:t>The gap is particularly pronounced between First Nations and non-First Nations people living in remote (21.6 points) and very remote (23.5 points) locations, although it exists across most areas regardless of remoteness</w:t>
      </w:r>
      <w:r>
        <w:rPr>
          <w:lang w:eastAsia="en-US"/>
        </w:rPr>
        <w:t>’.</w:t>
      </w:r>
      <w:r>
        <w:rPr>
          <w:rStyle w:val="FootnoteReference"/>
          <w:lang w:eastAsia="en-US"/>
        </w:rPr>
        <w:footnoteReference w:id="83"/>
      </w:r>
    </w:p>
    <w:p w:rsidRPr="00F02E41" w:rsidR="00CD0EF4" w:rsidP="00E763F3" w:rsidRDefault="00791484" w14:paraId="1ECC6C1C" w14:textId="0E36F6DC">
      <w:pPr>
        <w:pStyle w:val="ListParagraph"/>
        <w:numPr>
          <w:ilvl w:val="0"/>
          <w:numId w:val="23"/>
        </w:numPr>
        <w:rPr>
          <w:lang w:val="en-US" w:eastAsia="en-US"/>
        </w:rPr>
      </w:pPr>
      <w:r>
        <w:rPr>
          <w:lang w:eastAsia="en-US"/>
        </w:rPr>
        <w:t xml:space="preserve">21.3% of First Nations people are mobile only telecommunications </w:t>
      </w:r>
      <w:r w:rsidR="00DC0908">
        <w:rPr>
          <w:lang w:eastAsia="en-US"/>
        </w:rPr>
        <w:t>consumers.</w:t>
      </w:r>
      <w:r w:rsidR="00DC0908">
        <w:rPr>
          <w:rStyle w:val="FootnoteReference"/>
          <w:lang w:eastAsia="en-US"/>
        </w:rPr>
        <w:footnoteReference w:id="84"/>
      </w:r>
    </w:p>
    <w:p w:rsidR="0012726D" w:rsidP="00E763F3" w:rsidRDefault="0047475C" w14:paraId="6DC16605" w14:textId="5BE3FA07">
      <w:pPr>
        <w:rPr>
          <w:lang w:val="en-US" w:eastAsia="en-US"/>
        </w:rPr>
      </w:pPr>
      <w:r>
        <w:rPr>
          <w:lang w:val="en-US" w:eastAsia="en-US"/>
        </w:rPr>
        <w:t>ACCAN notes that r</w:t>
      </w:r>
      <w:r w:rsidR="0012726D">
        <w:rPr>
          <w:lang w:val="en-US" w:eastAsia="en-US"/>
        </w:rPr>
        <w:t xml:space="preserve">emote </w:t>
      </w:r>
      <w:r w:rsidR="005B42B1">
        <w:rPr>
          <w:lang w:val="en-US" w:eastAsia="en-US"/>
        </w:rPr>
        <w:t xml:space="preserve">First Nations </w:t>
      </w:r>
      <w:r w:rsidR="0012726D">
        <w:rPr>
          <w:lang w:val="en-US" w:eastAsia="en-US"/>
        </w:rPr>
        <w:t xml:space="preserve">communities consistently face connectivity issues </w:t>
      </w:r>
      <w:r w:rsidR="002D600E">
        <w:rPr>
          <w:lang w:val="en-US" w:eastAsia="en-US"/>
        </w:rPr>
        <w:t>and often experience lower quality connectivity than urban consumers.</w:t>
      </w:r>
      <w:r w:rsidR="007D1265">
        <w:rPr>
          <w:rStyle w:val="FootnoteReference"/>
          <w:lang w:val="en-US" w:eastAsia="en-US"/>
        </w:rPr>
        <w:footnoteReference w:id="85"/>
      </w:r>
      <w:r w:rsidR="00466D4C">
        <w:rPr>
          <w:lang w:val="en-US" w:eastAsia="en-US"/>
        </w:rPr>
        <w:t xml:space="preserve"> </w:t>
      </w:r>
      <w:r w:rsidR="0055308C">
        <w:rPr>
          <w:lang w:val="en-US" w:eastAsia="en-US"/>
        </w:rPr>
        <w:t xml:space="preserve">Numerous </w:t>
      </w:r>
      <w:r w:rsidR="006143D7">
        <w:rPr>
          <w:lang w:val="en-US" w:eastAsia="en-US"/>
        </w:rPr>
        <w:t xml:space="preserve">sources </w:t>
      </w:r>
      <w:r w:rsidR="0055308C">
        <w:rPr>
          <w:lang w:val="en-US" w:eastAsia="en-US"/>
        </w:rPr>
        <w:t xml:space="preserve">have noted the issues experienced by remote </w:t>
      </w:r>
      <w:r w:rsidR="00BD12B2">
        <w:rPr>
          <w:lang w:val="en-US" w:eastAsia="en-US"/>
        </w:rPr>
        <w:t>First Nations</w:t>
      </w:r>
      <w:r w:rsidR="0055308C">
        <w:rPr>
          <w:lang w:val="en-US" w:eastAsia="en-US"/>
        </w:rPr>
        <w:t xml:space="preserve"> communities. These include: </w:t>
      </w:r>
    </w:p>
    <w:p w:rsidR="008A5D8A" w:rsidP="00E763F3" w:rsidRDefault="008A5D8A" w14:paraId="3898A6BD" w14:textId="3109E1AB">
      <w:pPr>
        <w:pStyle w:val="ListParagraph"/>
        <w:numPr>
          <w:ilvl w:val="0"/>
          <w:numId w:val="22"/>
        </w:numPr>
        <w:rPr>
          <w:lang w:val="en-US" w:eastAsia="en-US"/>
        </w:rPr>
      </w:pPr>
      <w:r>
        <w:rPr>
          <w:lang w:val="en-US" w:eastAsia="en-US"/>
        </w:rPr>
        <w:t>Unreliable communications services.</w:t>
      </w:r>
      <w:r>
        <w:rPr>
          <w:rStyle w:val="FootnoteReference"/>
          <w:lang w:val="en-US" w:eastAsia="en-US"/>
        </w:rPr>
        <w:footnoteReference w:id="86"/>
      </w:r>
    </w:p>
    <w:p w:rsidR="0055308C" w:rsidP="00E763F3" w:rsidRDefault="008A5D8A" w14:paraId="46C140B5" w14:textId="573C1FB1">
      <w:pPr>
        <w:pStyle w:val="ListParagraph"/>
        <w:numPr>
          <w:ilvl w:val="0"/>
          <w:numId w:val="22"/>
        </w:numPr>
        <w:rPr>
          <w:lang w:val="en-US" w:eastAsia="en-US"/>
        </w:rPr>
      </w:pPr>
      <w:r>
        <w:rPr>
          <w:lang w:val="en-US" w:eastAsia="en-US"/>
        </w:rPr>
        <w:t>T</w:t>
      </w:r>
      <w:r w:rsidR="0055308C">
        <w:rPr>
          <w:lang w:val="en-US" w:eastAsia="en-US"/>
        </w:rPr>
        <w:t>he lack of ability to contact emergency services.</w:t>
      </w:r>
      <w:r w:rsidR="00F31EEC">
        <w:rPr>
          <w:rStyle w:val="FootnoteReference"/>
          <w:lang w:val="en-US" w:eastAsia="en-US"/>
        </w:rPr>
        <w:footnoteReference w:id="87"/>
      </w:r>
    </w:p>
    <w:p w:rsidR="0055308C" w:rsidP="00E763F3" w:rsidRDefault="008A5D8A" w14:paraId="714B1D8D" w14:textId="0BDDCE33">
      <w:pPr>
        <w:pStyle w:val="ListParagraph"/>
        <w:numPr>
          <w:ilvl w:val="0"/>
          <w:numId w:val="22"/>
        </w:numPr>
        <w:rPr>
          <w:lang w:val="en-US" w:eastAsia="en-US"/>
        </w:rPr>
      </w:pPr>
      <w:r>
        <w:rPr>
          <w:lang w:val="en-US" w:eastAsia="en-US"/>
        </w:rPr>
        <w:t>D</w:t>
      </w:r>
      <w:r w:rsidR="00F31EEC">
        <w:rPr>
          <w:lang w:val="en-US" w:eastAsia="en-US"/>
        </w:rPr>
        <w:t>ata sovereignty and online safety.</w:t>
      </w:r>
      <w:r w:rsidR="00E0584E">
        <w:rPr>
          <w:rStyle w:val="FootnoteReference"/>
          <w:lang w:val="en-US" w:eastAsia="en-US"/>
        </w:rPr>
        <w:footnoteReference w:id="88"/>
      </w:r>
    </w:p>
    <w:p w:rsidR="00805E82" w:rsidP="00E763F3" w:rsidRDefault="00805E82" w14:paraId="6EE39FC6" w14:textId="48356207">
      <w:pPr>
        <w:pStyle w:val="ListParagraph"/>
        <w:numPr>
          <w:ilvl w:val="0"/>
          <w:numId w:val="22"/>
        </w:numPr>
        <w:rPr>
          <w:lang w:val="en-US" w:eastAsia="en-US"/>
        </w:rPr>
      </w:pPr>
      <w:r>
        <w:rPr>
          <w:lang w:val="en-US" w:eastAsia="en-US"/>
        </w:rPr>
        <w:t xml:space="preserve">Issues related to the digital inclusion and digital ability of some </w:t>
      </w:r>
      <w:r w:rsidR="00A5663C">
        <w:rPr>
          <w:lang w:val="en-US" w:eastAsia="en-US"/>
        </w:rPr>
        <w:t xml:space="preserve">First Nations </w:t>
      </w:r>
      <w:r>
        <w:rPr>
          <w:lang w:val="en-US" w:eastAsia="en-US"/>
        </w:rPr>
        <w:t>consumers in rural and remote communities.</w:t>
      </w:r>
      <w:r w:rsidR="00810B73">
        <w:rPr>
          <w:rStyle w:val="FootnoteReference"/>
          <w:lang w:val="en-US" w:eastAsia="en-US"/>
        </w:rPr>
        <w:footnoteReference w:id="89"/>
      </w:r>
    </w:p>
    <w:p w:rsidR="002F0AF4" w:rsidP="00E763F3" w:rsidRDefault="00810B73" w14:paraId="651C6362" w14:textId="70412634">
      <w:pPr>
        <w:pStyle w:val="ListParagraph"/>
        <w:numPr>
          <w:ilvl w:val="0"/>
          <w:numId w:val="22"/>
        </w:numPr>
        <w:rPr>
          <w:lang w:val="en-US" w:eastAsia="en-US"/>
        </w:rPr>
      </w:pPr>
      <w:r>
        <w:rPr>
          <w:lang w:val="en-US" w:eastAsia="en-US"/>
        </w:rPr>
        <w:t>Affordability concerns regarding telecommunications products and services.</w:t>
      </w:r>
      <w:r w:rsidR="00CF5B88">
        <w:rPr>
          <w:rStyle w:val="FootnoteReference"/>
          <w:lang w:val="en-US" w:eastAsia="en-US"/>
        </w:rPr>
        <w:footnoteReference w:id="90"/>
      </w:r>
    </w:p>
    <w:p w:rsidRPr="00197344" w:rsidR="009E453D" w:rsidP="00E763F3" w:rsidRDefault="002F0AF4" w14:paraId="292BAC09" w14:textId="0850EB85">
      <w:pPr>
        <w:pStyle w:val="ListParagraph"/>
        <w:numPr>
          <w:ilvl w:val="0"/>
          <w:numId w:val="22"/>
        </w:numPr>
        <w:rPr>
          <w:lang w:val="en-US" w:eastAsia="en-US"/>
        </w:rPr>
      </w:pPr>
      <w:r>
        <w:rPr>
          <w:lang w:val="en-US" w:eastAsia="en-US"/>
        </w:rPr>
        <w:t xml:space="preserve">Government services increasingly moving online, leading to a lack of access for remote </w:t>
      </w:r>
      <w:r w:rsidR="008758AE">
        <w:rPr>
          <w:lang w:val="en-US" w:eastAsia="en-US"/>
        </w:rPr>
        <w:t>F</w:t>
      </w:r>
      <w:r>
        <w:rPr>
          <w:lang w:val="en-US" w:eastAsia="en-US"/>
        </w:rPr>
        <w:t xml:space="preserve">irst </w:t>
      </w:r>
      <w:r w:rsidR="008758AE">
        <w:rPr>
          <w:lang w:val="en-US" w:eastAsia="en-US"/>
        </w:rPr>
        <w:t>N</w:t>
      </w:r>
      <w:r>
        <w:rPr>
          <w:lang w:val="en-US" w:eastAsia="en-US"/>
        </w:rPr>
        <w:t>ations consumers.</w:t>
      </w:r>
      <w:r>
        <w:rPr>
          <w:rStyle w:val="FootnoteReference"/>
          <w:lang w:val="en-US" w:eastAsia="en-US"/>
        </w:rPr>
        <w:footnoteReference w:id="91"/>
      </w:r>
    </w:p>
    <w:p w:rsidRPr="00302B3A" w:rsidR="00302B3A" w:rsidP="00E763F3" w:rsidRDefault="009E453D" w14:paraId="7787D29A" w14:textId="70220A6D">
      <w:pPr>
        <w:rPr>
          <w:lang w:val="en-US" w:eastAsia="en-US"/>
        </w:rPr>
      </w:pPr>
      <w:r>
        <w:rPr>
          <w:lang w:val="en-US" w:eastAsia="en-US"/>
        </w:rPr>
        <w:t xml:space="preserve">Additionally, </w:t>
      </w:r>
      <w:r w:rsidR="00456BAC">
        <w:rPr>
          <w:lang w:val="en-US" w:eastAsia="en-US"/>
        </w:rPr>
        <w:t xml:space="preserve">the </w:t>
      </w:r>
      <w:r w:rsidR="00302B3A">
        <w:rPr>
          <w:lang w:val="en-US" w:eastAsia="en-US"/>
        </w:rPr>
        <w:t xml:space="preserve">Royal Melbourne Institute of Technology noted that: </w:t>
      </w:r>
    </w:p>
    <w:p w:rsidRPr="00380AD4" w:rsidR="008A79D3" w:rsidP="00E763F3" w:rsidRDefault="00AD5A2D" w14:paraId="0D1756F6" w14:textId="237E0AA7">
      <w:pPr>
        <w:pStyle w:val="ListParagraph"/>
        <w:numPr>
          <w:ilvl w:val="0"/>
          <w:numId w:val="22"/>
        </w:numPr>
        <w:rPr>
          <w:lang w:val="en-US" w:eastAsia="en-US"/>
        </w:rPr>
      </w:pPr>
      <w:r>
        <w:rPr>
          <w:lang w:eastAsia="en-US"/>
        </w:rPr>
        <w:t>‘</w:t>
      </w:r>
      <w:r w:rsidRPr="00AD5A2D">
        <w:rPr>
          <w:lang w:eastAsia="en-US"/>
        </w:rPr>
        <w:t xml:space="preserve">About 43% of the 1,545 First Nations communities and homelands across Australia have no mobile service – including some with only a shared public phone or no </w:t>
      </w:r>
      <w:proofErr w:type="gramStart"/>
      <w:r w:rsidRPr="00AD5A2D">
        <w:rPr>
          <w:lang w:eastAsia="en-US"/>
        </w:rPr>
        <w:t>telecommunications access</w:t>
      </w:r>
      <w:r>
        <w:rPr>
          <w:lang w:eastAsia="en-US"/>
        </w:rPr>
        <w:t>’</w:t>
      </w:r>
      <w:proofErr w:type="gramEnd"/>
      <w:r>
        <w:rPr>
          <w:lang w:eastAsia="en-US"/>
        </w:rPr>
        <w:t>.</w:t>
      </w:r>
      <w:r>
        <w:rPr>
          <w:rStyle w:val="FootnoteReference"/>
          <w:lang w:eastAsia="en-US"/>
        </w:rPr>
        <w:footnoteReference w:id="92"/>
      </w:r>
    </w:p>
    <w:p w:rsidRPr="00DC31F2" w:rsidR="00380AD4" w:rsidP="00E763F3" w:rsidRDefault="00F13B48" w14:paraId="40BDC8E0" w14:textId="6FF940AF">
      <w:pPr>
        <w:pStyle w:val="ListParagraph"/>
        <w:numPr>
          <w:ilvl w:val="0"/>
          <w:numId w:val="22"/>
        </w:numPr>
        <w:rPr>
          <w:lang w:val="en-US" w:eastAsia="en-US"/>
        </w:rPr>
      </w:pPr>
      <w:r>
        <w:rPr>
          <w:lang w:eastAsia="en-US"/>
        </w:rPr>
        <w:t>’</w:t>
      </w:r>
      <w:r w:rsidRPr="00380AD4" w:rsidR="00380AD4">
        <w:rPr>
          <w:lang w:eastAsia="en-US"/>
        </w:rPr>
        <w:t>53.3% of First Nations people surveyed in the study said they had sacrificed paying for essentials such as food or bills to stay connected, compared to 19.1% of other Australians</w:t>
      </w:r>
      <w:r w:rsidR="009E453D">
        <w:rPr>
          <w:lang w:eastAsia="en-US"/>
        </w:rPr>
        <w:t>’</w:t>
      </w:r>
      <w:r w:rsidRPr="00380AD4" w:rsidR="00380AD4">
        <w:rPr>
          <w:lang w:eastAsia="en-US"/>
        </w:rPr>
        <w:t>.</w:t>
      </w:r>
      <w:r w:rsidR="00380AD4">
        <w:rPr>
          <w:rStyle w:val="FootnoteReference"/>
          <w:lang w:eastAsia="en-US"/>
        </w:rPr>
        <w:footnoteReference w:id="93"/>
      </w:r>
    </w:p>
    <w:p w:rsidR="003C47E6" w:rsidP="00E763F3" w:rsidRDefault="003C47E6" w14:paraId="38A79EA2" w14:textId="3A8FAA41">
      <w:pPr>
        <w:rPr>
          <w:lang w:val="en-US" w:eastAsia="en-US"/>
        </w:rPr>
      </w:pPr>
      <w:r w:rsidRPr="003C47E6">
        <w:rPr>
          <w:lang w:val="en-US" w:eastAsia="en-US"/>
        </w:rPr>
        <w:t xml:space="preserve">ACCAN supports the establishment of the </w:t>
      </w:r>
      <w:r w:rsidR="008758AE">
        <w:rPr>
          <w:lang w:val="en-US" w:eastAsia="en-US"/>
        </w:rPr>
        <w:t>F</w:t>
      </w:r>
      <w:r w:rsidRPr="003C47E6">
        <w:rPr>
          <w:lang w:val="en-US" w:eastAsia="en-US"/>
        </w:rPr>
        <w:t xml:space="preserve">irst </w:t>
      </w:r>
      <w:r w:rsidR="008758AE">
        <w:rPr>
          <w:lang w:val="en-US" w:eastAsia="en-US"/>
        </w:rPr>
        <w:t>N</w:t>
      </w:r>
      <w:r w:rsidRPr="003C47E6">
        <w:rPr>
          <w:lang w:val="en-US" w:eastAsia="en-US"/>
        </w:rPr>
        <w:t xml:space="preserve">ations </w:t>
      </w:r>
      <w:r w:rsidR="00F20B8F">
        <w:rPr>
          <w:lang w:val="en-US" w:eastAsia="en-US"/>
        </w:rPr>
        <w:t>D</w:t>
      </w:r>
      <w:r w:rsidRPr="003C47E6">
        <w:rPr>
          <w:lang w:val="en-US" w:eastAsia="en-US"/>
        </w:rPr>
        <w:t xml:space="preserve">igital </w:t>
      </w:r>
      <w:r w:rsidR="00F20B8F">
        <w:rPr>
          <w:lang w:val="en-US" w:eastAsia="en-US"/>
        </w:rPr>
        <w:t>A</w:t>
      </w:r>
      <w:r w:rsidRPr="003C47E6">
        <w:rPr>
          <w:lang w:val="en-US" w:eastAsia="en-US"/>
        </w:rPr>
        <w:t xml:space="preserve">dvisory </w:t>
      </w:r>
      <w:r w:rsidR="00F20B8F">
        <w:rPr>
          <w:lang w:val="en-US" w:eastAsia="en-US"/>
        </w:rPr>
        <w:t>G</w:t>
      </w:r>
      <w:r w:rsidRPr="003C47E6">
        <w:rPr>
          <w:lang w:val="en-US" w:eastAsia="en-US"/>
        </w:rPr>
        <w:t xml:space="preserve">roup and welcomes </w:t>
      </w:r>
      <w:r w:rsidR="005A655A">
        <w:rPr>
          <w:lang w:val="en-US" w:eastAsia="en-US"/>
        </w:rPr>
        <w:t>the initial report</w:t>
      </w:r>
      <w:r w:rsidRPr="003C47E6">
        <w:rPr>
          <w:lang w:val="en-US" w:eastAsia="en-US"/>
        </w:rPr>
        <w:t>.</w:t>
      </w:r>
      <w:r w:rsidR="00197344">
        <w:rPr>
          <w:rStyle w:val="FootnoteReference"/>
          <w:lang w:val="en-US" w:eastAsia="en-US"/>
        </w:rPr>
        <w:footnoteReference w:id="94"/>
      </w:r>
      <w:r w:rsidRPr="003C47E6">
        <w:rPr>
          <w:lang w:val="en-US" w:eastAsia="en-US"/>
        </w:rPr>
        <w:t xml:space="preserve"> </w:t>
      </w:r>
      <w:r w:rsidR="00613AC0">
        <w:rPr>
          <w:lang w:val="en-US" w:eastAsia="en-US"/>
        </w:rPr>
        <w:t>ACCAN consider</w:t>
      </w:r>
      <w:r w:rsidR="009523C8">
        <w:rPr>
          <w:lang w:val="en-US" w:eastAsia="en-US"/>
        </w:rPr>
        <w:t xml:space="preserve">s that the Federal </w:t>
      </w:r>
      <w:r w:rsidR="00E315A4">
        <w:rPr>
          <w:lang w:val="en-US" w:eastAsia="en-US"/>
        </w:rPr>
        <w:t>G</w:t>
      </w:r>
      <w:r w:rsidR="009523C8">
        <w:rPr>
          <w:lang w:val="en-US" w:eastAsia="en-US"/>
        </w:rPr>
        <w:t>overnment should</w:t>
      </w:r>
      <w:r>
        <w:rPr>
          <w:lang w:val="en-US" w:eastAsia="en-US"/>
        </w:rPr>
        <w:t xml:space="preserve"> act on the recommendations of the </w:t>
      </w:r>
      <w:r w:rsidR="005A655A">
        <w:rPr>
          <w:lang w:val="en-US" w:eastAsia="en-US"/>
        </w:rPr>
        <w:t>initial report</w:t>
      </w:r>
      <w:r>
        <w:rPr>
          <w:lang w:val="en-US" w:eastAsia="en-US"/>
        </w:rPr>
        <w:t xml:space="preserve">, in particular: </w:t>
      </w:r>
    </w:p>
    <w:p w:rsidRPr="00462020" w:rsidR="00935EEF" w:rsidP="00E763F3" w:rsidRDefault="00462020" w14:paraId="7FD21A20" w14:textId="3E782736">
      <w:pPr>
        <w:pStyle w:val="ListParagraph"/>
        <w:numPr>
          <w:ilvl w:val="0"/>
          <w:numId w:val="22"/>
        </w:numPr>
        <w:rPr>
          <w:lang w:val="en-US" w:eastAsia="en-US"/>
        </w:rPr>
      </w:pPr>
      <w:bookmarkStart w:name="_Hlk156301128" w:id="14"/>
      <w:r w:rsidRPr="00462020">
        <w:rPr>
          <w:lang w:eastAsia="en-US"/>
        </w:rPr>
        <w:t>Deliver targeted measures to support the three elements of digital inclusion</w:t>
      </w:r>
      <w:r>
        <w:rPr>
          <w:lang w:eastAsia="en-US"/>
        </w:rPr>
        <w:t>.</w:t>
      </w:r>
      <w:r>
        <w:rPr>
          <w:rStyle w:val="FootnoteReference"/>
          <w:lang w:eastAsia="en-US"/>
        </w:rPr>
        <w:footnoteReference w:id="95"/>
      </w:r>
    </w:p>
    <w:p w:rsidRPr="00766FDE" w:rsidR="00462020" w:rsidP="00E763F3" w:rsidRDefault="00462020" w14:paraId="0E13221F" w14:textId="7E1A9AD7">
      <w:pPr>
        <w:pStyle w:val="ListParagraph"/>
        <w:numPr>
          <w:ilvl w:val="0"/>
          <w:numId w:val="22"/>
        </w:numPr>
        <w:rPr>
          <w:lang w:val="en-US" w:eastAsia="en-US"/>
        </w:rPr>
      </w:pPr>
      <w:r>
        <w:rPr>
          <w:lang w:eastAsia="en-US"/>
        </w:rPr>
        <w:t>I</w:t>
      </w:r>
      <w:r w:rsidRPr="0085492C">
        <w:rPr>
          <w:lang w:eastAsia="en-US"/>
        </w:rPr>
        <w:t>mproving the national collection and use of data</w:t>
      </w:r>
      <w:r>
        <w:rPr>
          <w:lang w:eastAsia="en-US"/>
        </w:rPr>
        <w:t xml:space="preserve"> on remote </w:t>
      </w:r>
      <w:r w:rsidR="00B84F57">
        <w:rPr>
          <w:lang w:eastAsia="en-US"/>
        </w:rPr>
        <w:t xml:space="preserve">First Nations </w:t>
      </w:r>
      <w:r>
        <w:rPr>
          <w:lang w:eastAsia="en-US"/>
        </w:rPr>
        <w:t>communities.</w:t>
      </w:r>
      <w:r>
        <w:rPr>
          <w:rStyle w:val="FootnoteReference"/>
          <w:lang w:eastAsia="en-US"/>
        </w:rPr>
        <w:footnoteReference w:id="96"/>
      </w:r>
    </w:p>
    <w:p w:rsidRPr="003504E5" w:rsidR="00B84B78" w:rsidP="00E763F3" w:rsidRDefault="00462020" w14:paraId="780199DA" w14:textId="7F99CFC5">
      <w:pPr>
        <w:pStyle w:val="ListParagraph"/>
        <w:numPr>
          <w:ilvl w:val="0"/>
          <w:numId w:val="22"/>
        </w:numPr>
        <w:rPr>
          <w:lang w:val="en-US" w:eastAsia="en-US"/>
        </w:rPr>
      </w:pPr>
      <w:r w:rsidRPr="00462020">
        <w:rPr>
          <w:lang w:eastAsia="en-US"/>
        </w:rPr>
        <w:t>Ensuring genuine engagement and collaboration with First Nations people and communities and supporting their access to government programs and opportunities</w:t>
      </w:r>
      <w:bookmarkEnd w:id="14"/>
      <w:r w:rsidRPr="00462020">
        <w:rPr>
          <w:lang w:eastAsia="en-US"/>
        </w:rPr>
        <w:t>.</w:t>
      </w:r>
      <w:r w:rsidRPr="00462020">
        <w:rPr>
          <w:vertAlign w:val="superscript"/>
          <w:lang w:eastAsia="en-US"/>
        </w:rPr>
        <w:footnoteReference w:id="97"/>
      </w:r>
    </w:p>
    <w:p w:rsidR="00366FF7" w:rsidP="00E763F3" w:rsidRDefault="003504E5" w14:paraId="0B2CAFDD" w14:textId="5D85DB6B">
      <w:pPr>
        <w:rPr>
          <w:lang w:val="en-US" w:eastAsia="en-US"/>
        </w:rPr>
      </w:pPr>
      <w:r w:rsidRPr="003504E5">
        <w:rPr>
          <w:lang w:val="en-US" w:eastAsia="en-US"/>
        </w:rPr>
        <w:t xml:space="preserve">ACCAN supports the </w:t>
      </w:r>
      <w:r w:rsidR="005A655A">
        <w:rPr>
          <w:lang w:val="en-US" w:eastAsia="en-US"/>
        </w:rPr>
        <w:t>initial report’s</w:t>
      </w:r>
      <w:r w:rsidRPr="003504E5">
        <w:rPr>
          <w:lang w:val="en-US" w:eastAsia="en-US"/>
        </w:rPr>
        <w:t xml:space="preserve"> framing of the future of digital inclusion support in remote </w:t>
      </w:r>
      <w:r w:rsidR="00D90F00">
        <w:rPr>
          <w:lang w:val="en-US" w:eastAsia="en-US"/>
        </w:rPr>
        <w:t>F</w:t>
      </w:r>
      <w:r w:rsidRPr="003504E5" w:rsidR="00D90F00">
        <w:rPr>
          <w:lang w:val="en-US" w:eastAsia="en-US"/>
        </w:rPr>
        <w:t xml:space="preserve">irst </w:t>
      </w:r>
      <w:r w:rsidR="00D90F00">
        <w:rPr>
          <w:lang w:val="en-US" w:eastAsia="en-US"/>
        </w:rPr>
        <w:t>N</w:t>
      </w:r>
      <w:r w:rsidRPr="003504E5" w:rsidR="00D90F00">
        <w:rPr>
          <w:lang w:val="en-US" w:eastAsia="en-US"/>
        </w:rPr>
        <w:t xml:space="preserve">ations </w:t>
      </w:r>
      <w:r w:rsidRPr="003504E5">
        <w:rPr>
          <w:lang w:val="en-US" w:eastAsia="en-US"/>
        </w:rPr>
        <w:t>communities</w:t>
      </w:r>
      <w:r w:rsidR="003915B1">
        <w:rPr>
          <w:lang w:val="en-US" w:eastAsia="en-US"/>
        </w:rPr>
        <w:t>:</w:t>
      </w:r>
      <w:r w:rsidR="00366FF7">
        <w:rPr>
          <w:rStyle w:val="FootnoteReference"/>
          <w:lang w:val="en-US" w:eastAsia="en-US"/>
        </w:rPr>
        <w:footnoteReference w:id="98"/>
      </w:r>
      <w:r w:rsidRPr="003504E5">
        <w:rPr>
          <w:lang w:val="en-US" w:eastAsia="en-US"/>
        </w:rPr>
        <w:t xml:space="preserve"> </w:t>
      </w:r>
    </w:p>
    <w:p w:rsidRPr="00A725E8" w:rsidR="00A725E8" w:rsidP="008515B4" w:rsidRDefault="00366FF7" w14:paraId="34E79318" w14:textId="607D6E15">
      <w:pPr>
        <w:pStyle w:val="Quote"/>
        <w:jc w:val="left"/>
        <w:rPr>
          <w:lang w:val="en-US" w:eastAsia="en-US"/>
        </w:rPr>
      </w:pPr>
      <w:r>
        <w:rPr>
          <w:lang w:val="en-US" w:eastAsia="en-US"/>
        </w:rPr>
        <w:t>‘</w:t>
      </w:r>
      <w:r w:rsidRPr="00B40052">
        <w:rPr>
          <w:lang w:eastAsia="en-US"/>
        </w:rPr>
        <w:t>Adopting</w:t>
      </w:r>
      <w:r w:rsidRPr="00B40052" w:rsidR="003504E5">
        <w:rPr>
          <w:lang w:eastAsia="en-US"/>
        </w:rPr>
        <w:t xml:space="preserve"> a place-based approach and developing partnerships between governments and First Nations people, as well as industry and the not-for-profit sector, is vital to improving digital inclusion</w:t>
      </w:r>
      <w:r w:rsidR="003504E5">
        <w:rPr>
          <w:lang w:eastAsia="en-US"/>
        </w:rPr>
        <w:t>’.</w:t>
      </w:r>
      <w:r w:rsidR="003504E5">
        <w:rPr>
          <w:rStyle w:val="FootnoteReference"/>
          <w:lang w:eastAsia="en-US"/>
        </w:rPr>
        <w:footnoteReference w:id="99"/>
      </w:r>
    </w:p>
    <w:p w:rsidRPr="008515B4" w:rsidR="003504E5" w:rsidP="008515B4" w:rsidRDefault="00A725E8" w14:paraId="6A54AEB6" w14:textId="373C66D7">
      <w:pPr>
        <w:pStyle w:val="Recommendation"/>
        <w:tabs>
          <w:tab w:val="num" w:pos="360"/>
        </w:tabs>
        <w:ind w:left="0"/>
      </w:pPr>
      <w:r w:rsidRPr="008515B4">
        <w:t xml:space="preserve">That the </w:t>
      </w:r>
      <w:r w:rsidRPr="008515B4" w:rsidR="00E315A4">
        <w:t xml:space="preserve">Federal Government </w:t>
      </w:r>
      <w:r w:rsidRPr="008515B4">
        <w:t xml:space="preserve">should act on the recommendations of the </w:t>
      </w:r>
      <w:r w:rsidRPr="00323207" w:rsidR="00323207">
        <w:t>First Nations Digital Advisory Group</w:t>
      </w:r>
      <w:r w:rsidR="00F13B48">
        <w:t>’s initial</w:t>
      </w:r>
      <w:r w:rsidRPr="008515B4">
        <w:t xml:space="preserve"> report and ensure genuine engagement and collaboration with First Nations people and communities</w:t>
      </w:r>
      <w:r w:rsidR="001F6747">
        <w:t>.</w:t>
      </w:r>
    </w:p>
    <w:p w:rsidR="002A7AC2" w:rsidP="00E763F3" w:rsidRDefault="002A7AC2" w14:paraId="5255E141" w14:textId="6D032C8E">
      <w:pPr>
        <w:pStyle w:val="Heading2"/>
        <w:rPr>
          <w:lang w:eastAsia="en-US"/>
        </w:rPr>
      </w:pPr>
      <w:r>
        <w:rPr>
          <w:lang w:eastAsia="en-US"/>
        </w:rPr>
        <w:t xml:space="preserve">Emerging New Services: Low Earth Orbit Satellites and Natural Disasters </w:t>
      </w:r>
    </w:p>
    <w:p w:rsidR="004433FB" w:rsidP="00E763F3" w:rsidRDefault="00100B0C" w14:paraId="75500699" w14:textId="244E9900">
      <w:pPr>
        <w:rPr>
          <w:lang w:eastAsia="en-US"/>
        </w:rPr>
      </w:pPr>
      <w:r>
        <w:rPr>
          <w:lang w:eastAsia="en-US"/>
        </w:rPr>
        <w:t>Natural disasters can have</w:t>
      </w:r>
      <w:r w:rsidR="005E5C06">
        <w:rPr>
          <w:lang w:eastAsia="en-US"/>
        </w:rPr>
        <w:t xml:space="preserve"> </w:t>
      </w:r>
      <w:r w:rsidR="00C61F05">
        <w:rPr>
          <w:lang w:eastAsia="en-US"/>
        </w:rPr>
        <w:t>significant</w:t>
      </w:r>
      <w:r>
        <w:rPr>
          <w:lang w:eastAsia="en-US"/>
        </w:rPr>
        <w:t xml:space="preserve"> impacts on </w:t>
      </w:r>
      <w:r w:rsidR="00F86B75">
        <w:rPr>
          <w:lang w:eastAsia="en-US"/>
        </w:rPr>
        <w:t xml:space="preserve">communities and telecommunications connectivity across Australia. </w:t>
      </w:r>
      <w:r w:rsidR="000235A5">
        <w:rPr>
          <w:lang w:eastAsia="en-US"/>
        </w:rPr>
        <w:t xml:space="preserve">Research has shown that </w:t>
      </w:r>
      <w:r w:rsidRPr="000235A5" w:rsidR="000235A5">
        <w:rPr>
          <w:lang w:eastAsia="en-US"/>
        </w:rPr>
        <w:t>76% of Australians living in regional</w:t>
      </w:r>
      <w:r w:rsidR="00A27A6B">
        <w:rPr>
          <w:lang w:eastAsia="en-US"/>
        </w:rPr>
        <w:t xml:space="preserve"> or </w:t>
      </w:r>
      <w:r w:rsidRPr="000235A5" w:rsidR="000235A5">
        <w:rPr>
          <w:lang w:eastAsia="en-US"/>
        </w:rPr>
        <w:t xml:space="preserve">rural </w:t>
      </w:r>
      <w:r w:rsidR="00A27A6B">
        <w:rPr>
          <w:lang w:eastAsia="en-US"/>
        </w:rPr>
        <w:t xml:space="preserve">locations as well as </w:t>
      </w:r>
      <w:r w:rsidRPr="000235A5" w:rsidR="000235A5">
        <w:rPr>
          <w:lang w:eastAsia="en-US"/>
        </w:rPr>
        <w:t>major regional centres had experienced a natural disaster in the last 5 years</w:t>
      </w:r>
      <w:r w:rsidR="000235A5">
        <w:rPr>
          <w:lang w:eastAsia="en-US"/>
        </w:rPr>
        <w:t>.</w:t>
      </w:r>
      <w:r w:rsidR="000235A5">
        <w:rPr>
          <w:rStyle w:val="FootnoteReference"/>
          <w:lang w:eastAsia="en-US"/>
        </w:rPr>
        <w:footnoteReference w:id="100"/>
      </w:r>
      <w:r w:rsidR="00C21B6A">
        <w:rPr>
          <w:lang w:eastAsia="en-US"/>
        </w:rPr>
        <w:t xml:space="preserve"> </w:t>
      </w:r>
      <w:r w:rsidR="004433FB">
        <w:rPr>
          <w:lang w:eastAsia="en-US"/>
        </w:rPr>
        <w:t xml:space="preserve">ACCAN supports the </w:t>
      </w:r>
      <w:r w:rsidR="005E16A6">
        <w:rPr>
          <w:lang w:eastAsia="en-US"/>
        </w:rPr>
        <w:t>2023-2024 budget commitment to allocate $</w:t>
      </w:r>
      <w:r w:rsidR="004433FB">
        <w:rPr>
          <w:lang w:eastAsia="en-US"/>
        </w:rPr>
        <w:t>10.1 million to establish a taskforce to progress a public safety mobile broadband capability in addition to the rolling out of a cell broadcast national messaging system.</w:t>
      </w:r>
      <w:r w:rsidR="004433FB">
        <w:rPr>
          <w:rStyle w:val="FootnoteReference"/>
          <w:lang w:eastAsia="en-US"/>
        </w:rPr>
        <w:footnoteReference w:id="101"/>
      </w:r>
    </w:p>
    <w:p w:rsidR="003D25DE" w:rsidP="00E763F3" w:rsidRDefault="00831B97" w14:paraId="1F6F77BA" w14:textId="29703DDF">
      <w:pPr>
        <w:rPr>
          <w:lang w:eastAsia="en-US"/>
        </w:rPr>
      </w:pPr>
      <w:r>
        <w:rPr>
          <w:lang w:eastAsia="en-US"/>
        </w:rPr>
        <w:t xml:space="preserve">The ACCC communications market report notes </w:t>
      </w:r>
      <w:r w:rsidR="003D25DE">
        <w:rPr>
          <w:lang w:eastAsia="en-US"/>
        </w:rPr>
        <w:t xml:space="preserve">significant developments in the take up of Low </w:t>
      </w:r>
      <w:r w:rsidR="005E16A6">
        <w:rPr>
          <w:lang w:eastAsia="en-US"/>
        </w:rPr>
        <w:t>E</w:t>
      </w:r>
      <w:r w:rsidR="003D25DE">
        <w:rPr>
          <w:lang w:eastAsia="en-US"/>
        </w:rPr>
        <w:t xml:space="preserve">arth </w:t>
      </w:r>
      <w:r w:rsidR="005E16A6">
        <w:rPr>
          <w:lang w:eastAsia="en-US"/>
        </w:rPr>
        <w:t>O</w:t>
      </w:r>
      <w:r w:rsidR="003D25DE">
        <w:rPr>
          <w:lang w:eastAsia="en-US"/>
        </w:rPr>
        <w:t xml:space="preserve">rbit </w:t>
      </w:r>
      <w:r w:rsidR="005E16A6">
        <w:rPr>
          <w:lang w:eastAsia="en-US"/>
        </w:rPr>
        <w:t>S</w:t>
      </w:r>
      <w:r w:rsidR="003D25DE">
        <w:rPr>
          <w:lang w:eastAsia="en-US"/>
        </w:rPr>
        <w:t>atellites</w:t>
      </w:r>
      <w:r w:rsidR="005E16A6">
        <w:rPr>
          <w:lang w:eastAsia="en-US"/>
        </w:rPr>
        <w:t xml:space="preserve"> (</w:t>
      </w:r>
      <w:r w:rsidRPr="005E16A6" w:rsidR="005E16A6">
        <w:rPr>
          <w:b/>
          <w:bCs/>
          <w:lang w:eastAsia="en-US"/>
        </w:rPr>
        <w:t>LEOSats</w:t>
      </w:r>
      <w:r w:rsidRPr="00A8443E" w:rsidR="005E16A6">
        <w:rPr>
          <w:lang w:eastAsia="en-US"/>
        </w:rPr>
        <w:t>)</w:t>
      </w:r>
      <w:r w:rsidR="003D25DE">
        <w:rPr>
          <w:lang w:eastAsia="en-US"/>
        </w:rPr>
        <w:t xml:space="preserve"> in the provision of communications </w:t>
      </w:r>
      <w:r w:rsidR="00CA314B">
        <w:rPr>
          <w:lang w:eastAsia="en-US"/>
        </w:rPr>
        <w:t>services.</w:t>
      </w:r>
    </w:p>
    <w:p w:rsidR="003D25DE" w:rsidP="00E763F3" w:rsidRDefault="004759B5" w14:paraId="188AE4BD" w14:textId="48EE391E">
      <w:pPr>
        <w:pStyle w:val="ListParagraph"/>
        <w:numPr>
          <w:ilvl w:val="0"/>
          <w:numId w:val="21"/>
        </w:numPr>
        <w:rPr>
          <w:lang w:eastAsia="en-US"/>
        </w:rPr>
      </w:pPr>
      <w:proofErr w:type="spellStart"/>
      <w:r w:rsidRPr="004759B5">
        <w:rPr>
          <w:lang w:eastAsia="en-US"/>
        </w:rPr>
        <w:t>Starlink</w:t>
      </w:r>
      <w:proofErr w:type="spellEnd"/>
      <w:r w:rsidRPr="004759B5">
        <w:rPr>
          <w:lang w:eastAsia="en-US"/>
        </w:rPr>
        <w:t xml:space="preserve"> reached over 120,000 Australian customers by May 2023.</w:t>
      </w:r>
      <w:r>
        <w:rPr>
          <w:rStyle w:val="FootnoteReference"/>
          <w:lang w:eastAsia="en-US"/>
        </w:rPr>
        <w:footnoteReference w:id="102"/>
      </w:r>
    </w:p>
    <w:p w:rsidR="004759B5" w:rsidP="00E763F3" w:rsidRDefault="00AB2A9C" w14:paraId="33982DFC" w14:textId="4ABCB244">
      <w:pPr>
        <w:pStyle w:val="ListParagraph"/>
        <w:numPr>
          <w:ilvl w:val="0"/>
          <w:numId w:val="21"/>
        </w:numPr>
        <w:rPr>
          <w:lang w:eastAsia="en-US"/>
        </w:rPr>
      </w:pPr>
      <w:proofErr w:type="spellStart"/>
      <w:r>
        <w:rPr>
          <w:lang w:eastAsia="en-US"/>
        </w:rPr>
        <w:t>Vocus</w:t>
      </w:r>
      <w:proofErr w:type="spellEnd"/>
      <w:r>
        <w:rPr>
          <w:lang w:eastAsia="en-US"/>
        </w:rPr>
        <w:t xml:space="preserve"> and Telstra have announced plans to provide star link services to regional and remote consumers.</w:t>
      </w:r>
      <w:r>
        <w:rPr>
          <w:rStyle w:val="FootnoteReference"/>
          <w:lang w:eastAsia="en-US"/>
        </w:rPr>
        <w:footnoteReference w:id="103"/>
      </w:r>
    </w:p>
    <w:p w:rsidR="00EE161E" w:rsidP="00E763F3" w:rsidRDefault="00EE161E" w14:paraId="1B0D7C23" w14:textId="4DC5BA98">
      <w:pPr>
        <w:pStyle w:val="ListParagraph"/>
        <w:numPr>
          <w:ilvl w:val="0"/>
          <w:numId w:val="21"/>
        </w:numPr>
        <w:rPr>
          <w:lang w:eastAsia="en-US"/>
        </w:rPr>
      </w:pPr>
      <w:r w:rsidRPr="00EE161E">
        <w:rPr>
          <w:lang w:eastAsia="en-US"/>
        </w:rPr>
        <w:t xml:space="preserve">Telstra has also entered into an agreement with </w:t>
      </w:r>
      <w:proofErr w:type="spellStart"/>
      <w:r w:rsidRPr="00EE161E">
        <w:rPr>
          <w:lang w:eastAsia="en-US"/>
        </w:rPr>
        <w:t>OneWeb</w:t>
      </w:r>
      <w:proofErr w:type="spellEnd"/>
      <w:r w:rsidRPr="00EE161E">
        <w:rPr>
          <w:lang w:eastAsia="en-US"/>
        </w:rPr>
        <w:t xml:space="preserve"> to use LEO</w:t>
      </w:r>
      <w:r w:rsidR="005E16A6">
        <w:rPr>
          <w:lang w:eastAsia="en-US"/>
        </w:rPr>
        <w:t>Sat</w:t>
      </w:r>
      <w:r w:rsidRPr="00EE161E">
        <w:rPr>
          <w:lang w:eastAsia="en-US"/>
        </w:rPr>
        <w:t xml:space="preserve"> connectivity at mobile sites in remote areas, or as redundancy option in case of disruption of its terrestrial backhaul network</w:t>
      </w:r>
      <w:r>
        <w:rPr>
          <w:lang w:eastAsia="en-US"/>
        </w:rPr>
        <w:t>.</w:t>
      </w:r>
      <w:r>
        <w:rPr>
          <w:rStyle w:val="FootnoteReference"/>
          <w:lang w:eastAsia="en-US"/>
        </w:rPr>
        <w:footnoteReference w:id="104"/>
      </w:r>
    </w:p>
    <w:p w:rsidR="00671BBF" w:rsidP="00E763F3" w:rsidRDefault="00671BBF" w14:paraId="40F9CF60" w14:textId="666314EF">
      <w:pPr>
        <w:pStyle w:val="ListParagraph"/>
        <w:numPr>
          <w:ilvl w:val="0"/>
          <w:numId w:val="21"/>
        </w:numPr>
        <w:rPr>
          <w:lang w:eastAsia="en-US"/>
        </w:rPr>
      </w:pPr>
      <w:r>
        <w:t xml:space="preserve">Optus partnered with </w:t>
      </w:r>
      <w:proofErr w:type="spellStart"/>
      <w:r>
        <w:t>Starlink</w:t>
      </w:r>
      <w:proofErr w:type="spellEnd"/>
      <w:r>
        <w:t xml:space="preserve"> to trial direct-to-handset service. Optus stated that it plans to provide SMS services from late 2024, and voice and data services from late 2025.</w:t>
      </w:r>
      <w:r>
        <w:rPr>
          <w:rStyle w:val="FootnoteReference"/>
        </w:rPr>
        <w:footnoteReference w:id="105"/>
      </w:r>
    </w:p>
    <w:p w:rsidR="00CF53E9" w:rsidP="00E763F3" w:rsidRDefault="005E16A6" w14:paraId="7EF73248" w14:textId="76506AB7">
      <w:pPr>
        <w:rPr>
          <w:lang w:eastAsia="en-US"/>
        </w:rPr>
      </w:pPr>
      <w:r>
        <w:rPr>
          <w:lang w:eastAsia="en-US"/>
        </w:rPr>
        <w:t xml:space="preserve">ACCAN considers that future expansions </w:t>
      </w:r>
      <w:r w:rsidR="00CA314B">
        <w:rPr>
          <w:lang w:eastAsia="en-US"/>
        </w:rPr>
        <w:t>in telecommunications connectivity facilitated through</w:t>
      </w:r>
      <w:r w:rsidR="00671BBF">
        <w:rPr>
          <w:lang w:eastAsia="en-US"/>
        </w:rPr>
        <w:t xml:space="preserve"> </w:t>
      </w:r>
      <w:r>
        <w:rPr>
          <w:lang w:eastAsia="en-US"/>
        </w:rPr>
        <w:t xml:space="preserve">LEOSats </w:t>
      </w:r>
      <w:r w:rsidR="00671BBF">
        <w:rPr>
          <w:lang w:eastAsia="en-US"/>
        </w:rPr>
        <w:t xml:space="preserve">should </w:t>
      </w:r>
      <w:r w:rsidR="00084E2B">
        <w:rPr>
          <w:lang w:eastAsia="en-US"/>
        </w:rPr>
        <w:t xml:space="preserve">be accompanied by research into their ability to be utilised as a means of communications redundancy during natural disasters. Currently, </w:t>
      </w:r>
      <w:r w:rsidR="00FC041D">
        <w:rPr>
          <w:lang w:eastAsia="en-US"/>
        </w:rPr>
        <w:t>LEOSats</w:t>
      </w:r>
      <w:r w:rsidR="00C21B6A">
        <w:rPr>
          <w:lang w:eastAsia="en-US"/>
        </w:rPr>
        <w:t xml:space="preserve"> may prove effective in assisting consumers to </w:t>
      </w:r>
      <w:r w:rsidRPr="00C21B6A" w:rsidR="00C21B6A">
        <w:rPr>
          <w:lang w:eastAsia="en-US"/>
        </w:rPr>
        <w:t>maintain communications connectivity during natural disaster events,</w:t>
      </w:r>
      <w:r w:rsidR="00C21B6A">
        <w:rPr>
          <w:lang w:eastAsia="en-US"/>
        </w:rPr>
        <w:t xml:space="preserve"> however their </w:t>
      </w:r>
      <w:r w:rsidR="00292948">
        <w:rPr>
          <w:lang w:eastAsia="en-US"/>
        </w:rPr>
        <w:t xml:space="preserve">use </w:t>
      </w:r>
      <w:r w:rsidR="00C21B6A">
        <w:rPr>
          <w:lang w:eastAsia="en-US"/>
        </w:rPr>
        <w:t>is currently limited by high cost and slow deployment.</w:t>
      </w:r>
      <w:r w:rsidR="00C21B6A">
        <w:rPr>
          <w:rStyle w:val="FootnoteReference"/>
          <w:lang w:eastAsia="en-US"/>
        </w:rPr>
        <w:footnoteReference w:id="106"/>
      </w:r>
      <w:r w:rsidR="00C21B6A">
        <w:rPr>
          <w:lang w:eastAsia="en-US"/>
        </w:rPr>
        <w:t xml:space="preserve"> ACCAN believes that the government should consider </w:t>
      </w:r>
      <w:r w:rsidR="00302B35">
        <w:rPr>
          <w:lang w:eastAsia="en-US"/>
        </w:rPr>
        <w:t xml:space="preserve">undertaking further research to determine the effectiveness of satellite phone communications in natural disaster settings </w:t>
      </w:r>
      <w:r w:rsidRPr="00302B35" w:rsidR="00302B35">
        <w:rPr>
          <w:lang w:eastAsia="en-US"/>
        </w:rPr>
        <w:t>given the promising indications of existing research on their utility.</w:t>
      </w:r>
      <w:r w:rsidR="00302B35">
        <w:rPr>
          <w:rStyle w:val="FootnoteReference"/>
          <w:lang w:eastAsia="en-US"/>
        </w:rPr>
        <w:footnoteReference w:id="107"/>
      </w:r>
      <w:r w:rsidR="009F4F1D">
        <w:rPr>
          <w:lang w:eastAsia="en-US"/>
        </w:rPr>
        <w:t xml:space="preserve"> </w:t>
      </w:r>
    </w:p>
    <w:p w:rsidR="00EC6C62" w:rsidP="00E763F3" w:rsidRDefault="00FC041D" w14:paraId="33364F46" w14:textId="51188EC5">
      <w:pPr>
        <w:pStyle w:val="Recommendation"/>
      </w:pPr>
      <w:r>
        <w:t xml:space="preserve">That the </w:t>
      </w:r>
      <w:r w:rsidR="00E315A4">
        <w:t>F</w:t>
      </w:r>
      <w:r>
        <w:t xml:space="preserve">ederal </w:t>
      </w:r>
      <w:r w:rsidR="00E315A4">
        <w:t xml:space="preserve">Government </w:t>
      </w:r>
      <w:r>
        <w:t xml:space="preserve">should allocate funding to undertake further research to </w:t>
      </w:r>
      <w:r w:rsidRPr="00FC041D">
        <w:t>determine the effectiveness of satellite phone communications</w:t>
      </w:r>
      <w:r w:rsidR="00F20ED9">
        <w:t>, in particular LEOSats</w:t>
      </w:r>
      <w:r w:rsidRPr="00FC041D">
        <w:t xml:space="preserve"> </w:t>
      </w:r>
      <w:r>
        <w:t xml:space="preserve">as a form of communications redundancy during natural disasters. </w:t>
      </w:r>
    </w:p>
    <w:p w:rsidRPr="00C65B09" w:rsidR="00C65B09" w:rsidP="00E763F3" w:rsidRDefault="009F719E" w14:paraId="4572B93B" w14:textId="5337D5E4">
      <w:pPr>
        <w:rPr>
          <w:lang w:eastAsia="en-US"/>
        </w:rPr>
      </w:pPr>
      <w:r>
        <w:rPr>
          <w:lang w:val="en-US" w:eastAsia="en-US"/>
        </w:rPr>
        <w:t xml:space="preserve">Consumers and small businesses require reliable </w:t>
      </w:r>
      <w:r w:rsidR="00AD45D0">
        <w:rPr>
          <w:lang w:val="en-US" w:eastAsia="en-US"/>
        </w:rPr>
        <w:t xml:space="preserve">mobile and broadband connectivity to support </w:t>
      </w:r>
      <w:r w:rsidR="006807FE">
        <w:rPr>
          <w:lang w:val="en-US" w:eastAsia="en-US"/>
        </w:rPr>
        <w:t xml:space="preserve">their </w:t>
      </w:r>
      <w:r w:rsidR="00AD45D0">
        <w:rPr>
          <w:lang w:val="en-US" w:eastAsia="en-US"/>
        </w:rPr>
        <w:t xml:space="preserve">participation in </w:t>
      </w:r>
      <w:r w:rsidR="009E449B">
        <w:rPr>
          <w:lang w:val="en-US" w:eastAsia="en-US"/>
        </w:rPr>
        <w:t>the Australian economy.</w:t>
      </w:r>
      <w:r w:rsidR="00741951">
        <w:rPr>
          <w:lang w:val="en-US" w:eastAsia="en-US"/>
        </w:rPr>
        <w:t xml:space="preserve"> Research by the ACMA found that </w:t>
      </w:r>
      <w:r w:rsidRPr="00741951" w:rsidR="00741951">
        <w:rPr>
          <w:lang w:eastAsia="en-US"/>
        </w:rPr>
        <w:t>the total number of mobile services in Australia increased from 36.8 million in 2021 to 39.6 million in 2022.</w:t>
      </w:r>
      <w:r w:rsidRPr="00741951" w:rsidR="00741951">
        <w:rPr>
          <w:vertAlign w:val="superscript"/>
          <w:lang w:eastAsia="en-US"/>
        </w:rPr>
        <w:footnoteReference w:id="108"/>
      </w:r>
      <w:r w:rsidR="006D71F3">
        <w:rPr>
          <w:lang w:eastAsia="en-US"/>
        </w:rPr>
        <w:t xml:space="preserve"> Additionally, </w:t>
      </w:r>
      <w:r w:rsidRPr="00C65B09" w:rsidR="00C65B09">
        <w:rPr>
          <w:lang w:eastAsia="en-US"/>
        </w:rPr>
        <w:t>there was a larger increase in the number of prepaid services (10%) than post-paid services (2%).</w:t>
      </w:r>
      <w:r w:rsidRPr="00C65B09" w:rsidR="00C65B09">
        <w:rPr>
          <w:vertAlign w:val="superscript"/>
          <w:lang w:eastAsia="en-US"/>
        </w:rPr>
        <w:footnoteReference w:id="109"/>
      </w:r>
      <w:r w:rsidR="00F9378A">
        <w:rPr>
          <w:lang w:eastAsia="en-US"/>
        </w:rPr>
        <w:t xml:space="preserve"> The increasing number of mobile services in Australia </w:t>
      </w:r>
      <w:r w:rsidR="00E4768F">
        <w:rPr>
          <w:lang w:eastAsia="en-US"/>
        </w:rPr>
        <w:t xml:space="preserve">warrants further revision of the existing reliability framework of mobile communications. </w:t>
      </w:r>
    </w:p>
    <w:p w:rsidR="009277C7" w:rsidP="00E763F3" w:rsidRDefault="009E449B" w14:paraId="538FD9B4" w14:textId="49E340F2">
      <w:pPr>
        <w:rPr>
          <w:lang w:eastAsia="en-US"/>
        </w:rPr>
      </w:pPr>
      <w:r>
        <w:rPr>
          <w:lang w:val="en-US" w:eastAsia="en-US"/>
        </w:rPr>
        <w:t xml:space="preserve">Internationally, </w:t>
      </w:r>
      <w:r w:rsidR="00AC4F7E">
        <w:rPr>
          <w:lang w:val="en-US" w:eastAsia="en-US"/>
        </w:rPr>
        <w:t>communications regulators have noted that</w:t>
      </w:r>
      <w:r w:rsidR="00FD522D">
        <w:rPr>
          <w:lang w:val="en-US" w:eastAsia="en-US"/>
        </w:rPr>
        <w:t xml:space="preserve"> severe weather events are likely to increasingly </w:t>
      </w:r>
      <w:r w:rsidR="00D6628D">
        <w:rPr>
          <w:lang w:val="en-US" w:eastAsia="en-US"/>
        </w:rPr>
        <w:t>disrupt</w:t>
      </w:r>
      <w:r w:rsidR="00FD522D">
        <w:rPr>
          <w:lang w:val="en-US" w:eastAsia="en-US"/>
        </w:rPr>
        <w:t xml:space="preserve"> the </w:t>
      </w:r>
      <w:r w:rsidR="00D6628D">
        <w:rPr>
          <w:lang w:val="en-US" w:eastAsia="en-US"/>
        </w:rPr>
        <w:t>telecommunications sector.</w:t>
      </w:r>
      <w:r w:rsidR="00F74A0A">
        <w:rPr>
          <w:rStyle w:val="FootnoteReference"/>
          <w:lang w:val="en-US" w:eastAsia="en-US"/>
        </w:rPr>
        <w:footnoteReference w:id="110"/>
      </w:r>
      <w:r w:rsidR="00D6628D">
        <w:rPr>
          <w:lang w:val="en-US" w:eastAsia="en-US"/>
        </w:rPr>
        <w:t xml:space="preserve"> </w:t>
      </w:r>
      <w:r w:rsidR="00346E3C">
        <w:rPr>
          <w:lang w:val="en-US" w:eastAsia="en-US"/>
        </w:rPr>
        <w:t>The Canadian telecommunications regulator noted that the importance of investments into reliability is ‘</w:t>
      </w:r>
      <w:r w:rsidRPr="009C68CB" w:rsidR="009C68CB">
        <w:rPr>
          <w:lang w:eastAsia="en-US"/>
        </w:rPr>
        <w:t xml:space="preserve">further highlighted by the need for networks that can withstand severe weather events and meet network reliability and access </w:t>
      </w:r>
      <w:proofErr w:type="gramStart"/>
      <w:r w:rsidRPr="009C68CB" w:rsidR="009C68CB">
        <w:rPr>
          <w:lang w:eastAsia="en-US"/>
        </w:rPr>
        <w:t>challenges</w:t>
      </w:r>
      <w:r w:rsidR="009C68CB">
        <w:rPr>
          <w:lang w:eastAsia="en-US"/>
        </w:rPr>
        <w:t>’</w:t>
      </w:r>
      <w:proofErr w:type="gramEnd"/>
      <w:r w:rsidR="009C68CB">
        <w:rPr>
          <w:lang w:eastAsia="en-US"/>
        </w:rPr>
        <w:t>.</w:t>
      </w:r>
      <w:r w:rsidR="009C68CB">
        <w:rPr>
          <w:rStyle w:val="FootnoteReference"/>
          <w:lang w:eastAsia="en-US"/>
        </w:rPr>
        <w:footnoteReference w:id="111"/>
      </w:r>
      <w:r w:rsidR="009277C7">
        <w:rPr>
          <w:lang w:eastAsia="en-US"/>
        </w:rPr>
        <w:t xml:space="preserve"> </w:t>
      </w:r>
    </w:p>
    <w:p w:rsidR="005F73F8" w:rsidP="00E763F3" w:rsidRDefault="005F73F8" w14:paraId="02F15E69" w14:textId="77777777">
      <w:pPr>
        <w:rPr>
          <w:lang w:eastAsia="en-US"/>
        </w:rPr>
      </w:pPr>
    </w:p>
    <w:p w:rsidR="005F73F8" w:rsidP="00E763F3" w:rsidRDefault="005F73F8" w14:paraId="79EE4159" w14:textId="77777777">
      <w:pPr>
        <w:rPr>
          <w:lang w:eastAsia="en-US"/>
        </w:rPr>
      </w:pPr>
    </w:p>
    <w:p w:rsidR="006D3C3F" w:rsidP="00E763F3" w:rsidRDefault="00FB4E91" w14:paraId="30D2F4C1" w14:textId="2304B2A7">
      <w:pPr>
        <w:rPr>
          <w:lang w:eastAsia="en-US"/>
        </w:rPr>
      </w:pPr>
      <w:r>
        <w:rPr>
          <w:lang w:eastAsia="en-US"/>
        </w:rPr>
        <w:t>ACCAN’s research</w:t>
      </w:r>
      <w:r w:rsidR="00904BA6">
        <w:rPr>
          <w:lang w:eastAsia="en-US"/>
        </w:rPr>
        <w:t xml:space="preserve"> into consumer perspectives of reliability and fairness found:</w:t>
      </w:r>
    </w:p>
    <w:p w:rsidR="00904BA6" w:rsidP="00E763F3" w:rsidRDefault="00FB4E91" w14:paraId="60094811" w14:textId="6828A34C">
      <w:pPr>
        <w:pStyle w:val="ListParagraph"/>
        <w:numPr>
          <w:ilvl w:val="0"/>
          <w:numId w:val="20"/>
        </w:numPr>
        <w:rPr>
          <w:lang w:eastAsia="en-US"/>
        </w:rPr>
      </w:pPr>
      <w:r w:rsidRPr="00FB4E91">
        <w:rPr>
          <w:lang w:eastAsia="en-US"/>
        </w:rPr>
        <w:t>Consumers expect their phone and internet services to be reliable and work in emergency situations.</w:t>
      </w:r>
      <w:r w:rsidR="002328DD">
        <w:rPr>
          <w:rStyle w:val="FootnoteReference"/>
          <w:lang w:eastAsia="en-US"/>
        </w:rPr>
        <w:footnoteReference w:id="112"/>
      </w:r>
    </w:p>
    <w:p w:rsidR="00FB4E91" w:rsidP="00E763F3" w:rsidRDefault="00624EBA" w14:paraId="55C48DE1" w14:textId="5D9B7619">
      <w:pPr>
        <w:pStyle w:val="ListParagraph"/>
        <w:numPr>
          <w:ilvl w:val="0"/>
          <w:numId w:val="20"/>
        </w:numPr>
        <w:rPr>
          <w:lang w:eastAsia="en-US"/>
        </w:rPr>
      </w:pPr>
      <w:r w:rsidRPr="00624EBA">
        <w:rPr>
          <w:lang w:eastAsia="en-US"/>
        </w:rPr>
        <w:t>Mobile phone and home internet connections are deemed to be the most essential connection types.</w:t>
      </w:r>
      <w:r>
        <w:rPr>
          <w:rStyle w:val="FootnoteReference"/>
          <w:lang w:eastAsia="en-US"/>
        </w:rPr>
        <w:footnoteReference w:id="113"/>
      </w:r>
    </w:p>
    <w:p w:rsidR="00624EBA" w:rsidP="00E763F3" w:rsidRDefault="00624EBA" w14:paraId="6BC59AE3" w14:textId="5602A150">
      <w:pPr>
        <w:pStyle w:val="ListParagraph"/>
        <w:numPr>
          <w:ilvl w:val="0"/>
          <w:numId w:val="20"/>
        </w:numPr>
        <w:rPr>
          <w:lang w:eastAsia="en-US"/>
        </w:rPr>
      </w:pPr>
      <w:r>
        <w:rPr>
          <w:lang w:eastAsia="en-US"/>
        </w:rPr>
        <w:t xml:space="preserve">88% of consumers </w:t>
      </w:r>
      <w:r w:rsidRPr="00525907" w:rsidR="00525907">
        <w:rPr>
          <w:lang w:eastAsia="en-US"/>
        </w:rPr>
        <w:t>expect</w:t>
      </w:r>
      <w:r w:rsidR="00525907">
        <w:rPr>
          <w:lang w:eastAsia="en-US"/>
        </w:rPr>
        <w:t>ed</w:t>
      </w:r>
      <w:r w:rsidRPr="00525907" w:rsidR="00525907">
        <w:rPr>
          <w:lang w:eastAsia="en-US"/>
        </w:rPr>
        <w:t xml:space="preserve"> their phone and internet services to work during emergencies such as bushfires and floods</w:t>
      </w:r>
      <w:r w:rsidR="00525907">
        <w:rPr>
          <w:lang w:eastAsia="en-US"/>
        </w:rPr>
        <w:t>.</w:t>
      </w:r>
      <w:r w:rsidR="00525907">
        <w:rPr>
          <w:rStyle w:val="FootnoteReference"/>
          <w:lang w:eastAsia="en-US"/>
        </w:rPr>
        <w:footnoteReference w:id="114"/>
      </w:r>
    </w:p>
    <w:p w:rsidR="00E21DFE" w:rsidP="00E763F3" w:rsidRDefault="00E21DFE" w14:paraId="25AF7672" w14:textId="45B9692E">
      <w:pPr>
        <w:rPr>
          <w:lang w:eastAsia="en-US"/>
        </w:rPr>
      </w:pPr>
      <w:r>
        <w:rPr>
          <w:lang w:eastAsia="en-US"/>
        </w:rPr>
        <w:t>In response to</w:t>
      </w:r>
      <w:r w:rsidR="00761CAA">
        <w:rPr>
          <w:lang w:eastAsia="en-US"/>
        </w:rPr>
        <w:t xml:space="preserve"> reliability concerns experienced by consumers, ACCAN considers that:</w:t>
      </w:r>
    </w:p>
    <w:p w:rsidR="00761CAA" w:rsidP="00E763F3" w:rsidRDefault="00E24D05" w14:paraId="5855417D" w14:textId="1E4F25E8">
      <w:pPr>
        <w:pStyle w:val="ListParagraph"/>
        <w:numPr>
          <w:ilvl w:val="0"/>
          <w:numId w:val="19"/>
        </w:numPr>
        <w:rPr>
          <w:lang w:eastAsia="en-US"/>
        </w:rPr>
      </w:pPr>
      <w:r>
        <w:rPr>
          <w:lang w:eastAsia="en-US"/>
        </w:rPr>
        <w:t xml:space="preserve">The </w:t>
      </w:r>
      <w:r w:rsidR="005E0843">
        <w:rPr>
          <w:lang w:eastAsia="en-US"/>
        </w:rPr>
        <w:t>F</w:t>
      </w:r>
      <w:r>
        <w:rPr>
          <w:lang w:eastAsia="en-US"/>
        </w:rPr>
        <w:t xml:space="preserve">ederal </w:t>
      </w:r>
      <w:r w:rsidR="005E0843">
        <w:rPr>
          <w:lang w:eastAsia="en-US"/>
        </w:rPr>
        <w:t>G</w:t>
      </w:r>
      <w:r>
        <w:rPr>
          <w:lang w:eastAsia="en-US"/>
        </w:rPr>
        <w:t xml:space="preserve">overnment should </w:t>
      </w:r>
      <w:r w:rsidR="00F17862">
        <w:rPr>
          <w:lang w:eastAsia="en-US"/>
        </w:rPr>
        <w:t>establish c</w:t>
      </w:r>
      <w:r w:rsidRPr="00F17862" w:rsidR="00F17862">
        <w:rPr>
          <w:lang w:eastAsia="en-US"/>
        </w:rPr>
        <w:t>lear communications guidelines for telecommunications companies to follow in response to unplanned outages.</w:t>
      </w:r>
      <w:r w:rsidR="00F17862">
        <w:rPr>
          <w:rStyle w:val="FootnoteReference"/>
          <w:lang w:eastAsia="en-US"/>
        </w:rPr>
        <w:footnoteReference w:id="115"/>
      </w:r>
    </w:p>
    <w:p w:rsidR="00085914" w:rsidP="00E763F3" w:rsidRDefault="00085914" w14:paraId="1741643D" w14:textId="139CD37D">
      <w:pPr>
        <w:pStyle w:val="ListParagraph"/>
        <w:numPr>
          <w:ilvl w:val="0"/>
          <w:numId w:val="19"/>
        </w:numPr>
        <w:rPr>
          <w:lang w:eastAsia="en-US"/>
        </w:rPr>
      </w:pPr>
      <w:r>
        <w:rPr>
          <w:lang w:eastAsia="en-US"/>
        </w:rPr>
        <w:t xml:space="preserve">Accept </w:t>
      </w:r>
      <w:r w:rsidR="00341A5C">
        <w:rPr>
          <w:lang w:eastAsia="en-US"/>
        </w:rPr>
        <w:t xml:space="preserve">the </w:t>
      </w:r>
      <w:r w:rsidR="00013358">
        <w:rPr>
          <w:lang w:eastAsia="en-US"/>
        </w:rPr>
        <w:t>recommendations made</w:t>
      </w:r>
      <w:r>
        <w:rPr>
          <w:lang w:eastAsia="en-US"/>
        </w:rPr>
        <w:t xml:space="preserve"> by the </w:t>
      </w:r>
      <w:r w:rsidRPr="00457EDB" w:rsidR="00457EDB">
        <w:rPr>
          <w:lang w:eastAsia="en-US"/>
        </w:rPr>
        <w:t>inquiry into multi-carrier regional mobile infrastructure</w:t>
      </w:r>
      <w:r w:rsidR="00DA72DE">
        <w:rPr>
          <w:lang w:eastAsia="en-US"/>
        </w:rPr>
        <w:t xml:space="preserve"> to </w:t>
      </w:r>
      <w:r w:rsidRPr="00DA72DE" w:rsidR="00DA72DE">
        <w:rPr>
          <w:lang w:eastAsia="en-US"/>
        </w:rPr>
        <w:t>create a working group to develop protocols for temporary roaming arrangements in disasters and emergency situations</w:t>
      </w:r>
      <w:r w:rsidR="00DA72DE">
        <w:rPr>
          <w:lang w:eastAsia="en-US"/>
        </w:rPr>
        <w:t>.</w:t>
      </w:r>
      <w:r w:rsidR="00E76A4F">
        <w:rPr>
          <w:rStyle w:val="FootnoteReference"/>
          <w:lang w:eastAsia="en-US"/>
        </w:rPr>
        <w:footnoteReference w:id="116"/>
      </w:r>
    </w:p>
    <w:p w:rsidR="0039536B" w:rsidP="00E763F3" w:rsidRDefault="0039536B" w14:paraId="6F687D0D" w14:textId="5BDCE394">
      <w:pPr>
        <w:pStyle w:val="ListParagraph"/>
        <w:numPr>
          <w:ilvl w:val="0"/>
          <w:numId w:val="19"/>
        </w:numPr>
        <w:rPr>
          <w:lang w:eastAsia="en-US"/>
        </w:rPr>
      </w:pPr>
      <w:r w:rsidRPr="0039536B">
        <w:rPr>
          <w:lang w:eastAsia="en-US"/>
        </w:rPr>
        <w:t xml:space="preserve">Accept </w:t>
      </w:r>
      <w:r w:rsidR="00D525B2">
        <w:rPr>
          <w:lang w:eastAsia="en-US"/>
        </w:rPr>
        <w:t xml:space="preserve">the </w:t>
      </w:r>
      <w:r w:rsidRPr="0039536B">
        <w:rPr>
          <w:lang w:eastAsia="en-US"/>
        </w:rPr>
        <w:t>recommendation</w:t>
      </w:r>
      <w:r w:rsidR="00F411AA">
        <w:rPr>
          <w:lang w:eastAsia="en-US"/>
        </w:rPr>
        <w:t>s</w:t>
      </w:r>
      <w:r w:rsidRPr="0039536B">
        <w:rPr>
          <w:lang w:eastAsia="en-US"/>
        </w:rPr>
        <w:t xml:space="preserve"> made by the inquiry into multi-carrier regional mobile infrastructure</w:t>
      </w:r>
      <w:r w:rsidR="00615365">
        <w:rPr>
          <w:lang w:eastAsia="en-US"/>
        </w:rPr>
        <w:t xml:space="preserve"> </w:t>
      </w:r>
      <w:r w:rsidR="00D525B2">
        <w:rPr>
          <w:lang w:eastAsia="en-US"/>
        </w:rPr>
        <w:t>which</w:t>
      </w:r>
      <w:r w:rsidR="00615365">
        <w:rPr>
          <w:lang w:eastAsia="en-US"/>
        </w:rPr>
        <w:t xml:space="preserve"> improve mobile and broadband connectivity.</w:t>
      </w:r>
      <w:r w:rsidR="00406A7E">
        <w:rPr>
          <w:rStyle w:val="FootnoteReference"/>
          <w:lang w:eastAsia="en-US"/>
        </w:rPr>
        <w:footnoteReference w:id="117"/>
      </w:r>
    </w:p>
    <w:p w:rsidR="00D27C7F" w:rsidP="00E763F3" w:rsidRDefault="00BF3F84" w14:paraId="4523FB3F" w14:textId="04AF71D3">
      <w:pPr>
        <w:pStyle w:val="ListParagraph"/>
        <w:numPr>
          <w:ilvl w:val="0"/>
          <w:numId w:val="19"/>
        </w:numPr>
        <w:rPr>
          <w:lang w:eastAsia="en-US"/>
        </w:rPr>
      </w:pPr>
      <w:r>
        <w:rPr>
          <w:lang w:eastAsia="en-US"/>
        </w:rPr>
        <w:t xml:space="preserve">That the </w:t>
      </w:r>
      <w:r w:rsidR="00E315A4">
        <w:rPr>
          <w:lang w:eastAsia="en-US"/>
        </w:rPr>
        <w:t>F</w:t>
      </w:r>
      <w:r>
        <w:rPr>
          <w:lang w:eastAsia="en-US"/>
        </w:rPr>
        <w:t xml:space="preserve">ederal </w:t>
      </w:r>
      <w:r w:rsidR="00E315A4">
        <w:rPr>
          <w:lang w:eastAsia="en-US"/>
        </w:rPr>
        <w:t xml:space="preserve">Government </w:t>
      </w:r>
      <w:r w:rsidRPr="006A6A3A">
        <w:t>immediately consider what steps may facilitate the adoption of ‘Next Generation Triple Zero’ services, including direct text to Triple Zero, as well as guaranteed NRS access to the emergency call service</w:t>
      </w:r>
      <w:r>
        <w:t>.</w:t>
      </w:r>
      <w:r>
        <w:rPr>
          <w:rStyle w:val="FootnoteReference"/>
        </w:rPr>
        <w:footnoteReference w:id="118"/>
      </w:r>
    </w:p>
    <w:p w:rsidR="00D27C7F" w:rsidP="00E763F3" w:rsidRDefault="00D27C7F" w14:paraId="6C2AE75E" w14:textId="23421994">
      <w:pPr>
        <w:rPr>
          <w:lang w:eastAsia="en-US"/>
        </w:rPr>
      </w:pPr>
      <w:r>
        <w:rPr>
          <w:lang w:eastAsia="en-US"/>
        </w:rPr>
        <w:t xml:space="preserve">ACCAN supports the Federal Government’s intention to establish a further round of the </w:t>
      </w:r>
      <w:r w:rsidR="001C333A">
        <w:rPr>
          <w:lang w:eastAsia="en-US"/>
        </w:rPr>
        <w:t>Mobile Network Hardening Program</w:t>
      </w:r>
      <w:r>
        <w:rPr>
          <w:lang w:eastAsia="en-US"/>
        </w:rPr>
        <w:t xml:space="preserve"> in 2024.</w:t>
      </w:r>
      <w:r>
        <w:rPr>
          <w:rStyle w:val="FootnoteReference"/>
          <w:lang w:eastAsia="en-US"/>
        </w:rPr>
        <w:footnoteReference w:id="119"/>
      </w:r>
      <w:r>
        <w:rPr>
          <w:lang w:eastAsia="en-US"/>
        </w:rPr>
        <w:t xml:space="preserve"> </w:t>
      </w:r>
      <w:r w:rsidR="00994FB5">
        <w:rPr>
          <w:lang w:eastAsia="en-US"/>
        </w:rPr>
        <w:t xml:space="preserve">ACCAN recommends that the </w:t>
      </w:r>
      <w:r w:rsidR="000F2F34">
        <w:rPr>
          <w:lang w:eastAsia="en-US"/>
        </w:rPr>
        <w:t>T</w:t>
      </w:r>
      <w:r w:rsidR="00994FB5">
        <w:rPr>
          <w:lang w:eastAsia="en-US"/>
        </w:rPr>
        <w:t xml:space="preserve">reasury </w:t>
      </w:r>
      <w:r w:rsidR="00E63A24">
        <w:rPr>
          <w:lang w:eastAsia="en-US"/>
        </w:rPr>
        <w:t xml:space="preserve">take into account our </w:t>
      </w:r>
      <w:r w:rsidRPr="00EC6C86" w:rsidR="00EC6C86">
        <w:rPr>
          <w:lang w:eastAsia="en-US"/>
        </w:rPr>
        <w:t>recommendations for improved broadband and mobile reliability from previous Pre-Budget submissions</w:t>
      </w:r>
      <w:r w:rsidR="00EC6C86">
        <w:rPr>
          <w:lang w:eastAsia="en-US"/>
        </w:rPr>
        <w:t>.</w:t>
      </w:r>
      <w:r w:rsidR="00EC6C86">
        <w:rPr>
          <w:rStyle w:val="FootnoteReference"/>
          <w:lang w:eastAsia="en-US"/>
        </w:rPr>
        <w:footnoteReference w:id="120"/>
      </w:r>
    </w:p>
    <w:p w:rsidR="009332DF" w:rsidP="00E763F3" w:rsidRDefault="009332DF" w14:paraId="23AEDFBF" w14:textId="1BCEAA91">
      <w:pPr>
        <w:pStyle w:val="Recommendation"/>
      </w:pPr>
      <w:bookmarkStart w:name="_Hlk157079059" w:id="15"/>
      <w:r w:rsidRPr="009332DF">
        <w:t>That the Federal Government re-establishes the Communications Fund with a mandate to invest its assets commercially and uses the proceedings for funding essential communications programs</w:t>
      </w:r>
      <w:r w:rsidR="00B5605C">
        <w:t>.</w:t>
      </w:r>
    </w:p>
    <w:p w:rsidR="00B5605C" w:rsidP="00E763F3" w:rsidRDefault="00B5605C" w14:paraId="5648A4D1" w14:textId="4EE63CD3">
      <w:pPr>
        <w:pStyle w:val="Recommendation"/>
      </w:pPr>
      <w:r w:rsidRPr="00B5605C">
        <w:t>That the Federal Government invest in initiatives aimed at improving broadband reliability, including prioritising progress on the draft standards, rules, and benchmarks for Statutory Infrastructure Providers</w:t>
      </w:r>
      <w:r>
        <w:t>.</w:t>
      </w:r>
    </w:p>
    <w:p w:rsidR="00B5605C" w:rsidP="00E763F3" w:rsidRDefault="00B5605C" w14:paraId="2BD5DDEF" w14:textId="60E084F6">
      <w:pPr>
        <w:pStyle w:val="Recommendation"/>
      </w:pPr>
      <w:r w:rsidRPr="00B5605C">
        <w:t>That the Federal Government allocates funding from general revenue for the ACMA to investigate and monitor mobile outages and the reliability of mobile infrastructure across Australia, to identify if measures are needed to increase mobile reliability</w:t>
      </w:r>
      <w:r>
        <w:t>.</w:t>
      </w:r>
    </w:p>
    <w:p w:rsidR="00B5605C" w:rsidP="00E763F3" w:rsidRDefault="00B5605C" w14:paraId="47322DE2" w14:textId="6886E616">
      <w:pPr>
        <w:pStyle w:val="Recommendation"/>
      </w:pPr>
      <w:r w:rsidRPr="00B5605C">
        <w:t>That the Federal Government continues to fund the Australian Competition and Consumer Commission Measuring Broadband Australia Program, including its expansion to NBN Sky Muster services and continued monitoring of Fixed Wireless services</w:t>
      </w:r>
      <w:r>
        <w:t>.</w:t>
      </w:r>
    </w:p>
    <w:p w:rsidR="00B5605C" w:rsidP="00E763F3" w:rsidRDefault="00B5605C" w14:paraId="1BCD46B2" w14:textId="7F34B7A5">
      <w:pPr>
        <w:pStyle w:val="Recommendation"/>
      </w:pPr>
      <w:r w:rsidRPr="00B5605C">
        <w:t>That the Federal Government allocates funding to the Mobile Black Spot Program to promote access to 24-hours of auxiliary back-up power in isolated areas and provide additional support to enable local communities to broker partnerships through facilitators and resources</w:t>
      </w:r>
      <w:r>
        <w:t xml:space="preserve">. </w:t>
      </w:r>
    </w:p>
    <w:p w:rsidR="00AB1CC2" w:rsidP="00E763F3" w:rsidRDefault="00180D02" w14:paraId="2AF7E914" w14:textId="69D39C7A">
      <w:pPr>
        <w:pStyle w:val="Recommendation"/>
      </w:pPr>
      <w:r>
        <w:t>That t</w:t>
      </w:r>
      <w:r w:rsidRPr="007B6152" w:rsidR="007B6152">
        <w:t xml:space="preserve">he </w:t>
      </w:r>
      <w:r w:rsidR="00E315A4">
        <w:t>F</w:t>
      </w:r>
      <w:r w:rsidRPr="007B6152" w:rsidR="007B6152">
        <w:t xml:space="preserve">ederal </w:t>
      </w:r>
      <w:r w:rsidR="00E315A4">
        <w:t>G</w:t>
      </w:r>
      <w:r w:rsidRPr="007B6152" w:rsidR="00E315A4">
        <w:t xml:space="preserve">overnment </w:t>
      </w:r>
      <w:r w:rsidRPr="007B6152" w:rsidR="007B6152">
        <w:t>should establish clear communications guidelines for telecommunications companies to follow in response to unplanned outages</w:t>
      </w:r>
      <w:r w:rsidR="007B6152">
        <w:t>.</w:t>
      </w:r>
    </w:p>
    <w:p w:rsidR="00F41B37" w:rsidP="00E763F3" w:rsidRDefault="00383225" w14:paraId="114E2B01" w14:textId="4882232D">
      <w:pPr>
        <w:pStyle w:val="Recommendation"/>
      </w:pPr>
      <w:r w:rsidRPr="00383225">
        <w:t>Accept the recommendations made by the inquiry into co-investment in multi-carrier regional mobile infrastructure to improve telecommunications connectivity and reliability.</w:t>
      </w:r>
    </w:p>
    <w:p w:rsidR="00AB1CC2" w:rsidP="00E763F3" w:rsidRDefault="00AB1CC2" w14:paraId="2DFF0D06" w14:textId="4F09AFA7">
      <w:pPr>
        <w:pStyle w:val="Recommendation"/>
      </w:pPr>
      <w:r>
        <w:t xml:space="preserve">That the </w:t>
      </w:r>
      <w:r w:rsidR="00E315A4">
        <w:t>F</w:t>
      </w:r>
      <w:r>
        <w:t xml:space="preserve">ederal </w:t>
      </w:r>
      <w:r w:rsidR="00E315A4">
        <w:t xml:space="preserve">Government </w:t>
      </w:r>
      <w:r>
        <w:t xml:space="preserve">immediately consider what steps may facilitate the adoption of ‘Next Generation Triple Zero’ services, including direct text to Triple Zero, as well as guaranteed NRS access to the emergency call service. </w:t>
      </w:r>
    </w:p>
    <w:p w:rsidR="00DA6DA9" w:rsidP="00E763F3" w:rsidRDefault="00DA6DA9" w14:paraId="113E165A" w14:textId="70887712">
      <w:pPr>
        <w:pStyle w:val="Heading1"/>
        <w:rPr>
          <w:sz w:val="48"/>
          <w:szCs w:val="48"/>
          <w:lang w:val="en-US" w:eastAsia="en-US"/>
        </w:rPr>
      </w:pPr>
      <w:bookmarkStart w:name="_Toc157422871" w:id="16"/>
      <w:bookmarkEnd w:id="15"/>
      <w:r>
        <w:rPr>
          <w:sz w:val="48"/>
          <w:szCs w:val="48"/>
          <w:lang w:val="en-US" w:eastAsia="en-US"/>
        </w:rPr>
        <w:t>Growing Consumer Confidence</w:t>
      </w:r>
      <w:bookmarkEnd w:id="16"/>
    </w:p>
    <w:p w:rsidR="00DA6DA9" w:rsidP="00E763F3" w:rsidRDefault="00B76200" w14:paraId="07F09A1D" w14:textId="72C4DB48">
      <w:pPr>
        <w:pStyle w:val="Heading2"/>
        <w:rPr>
          <w:lang w:val="en-US" w:eastAsia="en-US"/>
        </w:rPr>
      </w:pPr>
      <w:r>
        <w:rPr>
          <w:lang w:val="en-US" w:eastAsia="en-US"/>
        </w:rPr>
        <w:t xml:space="preserve">Digital Platforms </w:t>
      </w:r>
      <w:r w:rsidR="00374CA4">
        <w:rPr>
          <w:lang w:val="en-US" w:eastAsia="en-US"/>
        </w:rPr>
        <w:t>Consumer Representation</w:t>
      </w:r>
    </w:p>
    <w:p w:rsidR="00F45539" w:rsidP="00E763F3" w:rsidRDefault="00817DE4" w14:paraId="0B12E241" w14:textId="6F8B1FB5">
      <w:pPr>
        <w:rPr>
          <w:rStyle w:val="normaltextrun"/>
          <w:rFonts w:cs="Calibri"/>
          <w:shd w:val="clear" w:color="auto" w:fill="FFFFFF"/>
        </w:rPr>
      </w:pPr>
      <w:r w:rsidRPr="003C6395">
        <w:rPr>
          <w:lang w:eastAsia="en-US"/>
        </w:rPr>
        <w:t>Digital communications are fundamental to how Australians communicate and live their daily lives, with 95% of Australians using a communication or social media website or app for personal purposes.</w:t>
      </w:r>
      <w:r w:rsidRPr="003C6395" w:rsidR="003C6395">
        <w:rPr>
          <w:rStyle w:val="FootnoteReference"/>
          <w:lang w:eastAsia="en-US"/>
        </w:rPr>
        <w:footnoteReference w:id="121"/>
      </w:r>
      <w:r w:rsidRPr="003C6395" w:rsidR="003C6395">
        <w:rPr>
          <w:lang w:eastAsia="en-US"/>
        </w:rPr>
        <w:t xml:space="preserve"> </w:t>
      </w:r>
      <w:r w:rsidRPr="003C6395" w:rsidR="003C6395">
        <w:rPr>
          <w:rStyle w:val="normaltextrun"/>
          <w:rFonts w:cs="Calibri"/>
          <w:shd w:val="clear" w:color="auto" w:fill="FFFFFF"/>
        </w:rPr>
        <w:t>Digital communications services also have economic functions</w:t>
      </w:r>
      <w:r w:rsidR="008515DA">
        <w:rPr>
          <w:rStyle w:val="normaltextrun"/>
          <w:rFonts w:cs="Calibri"/>
          <w:shd w:val="clear" w:color="auto" w:fill="FFFFFF"/>
        </w:rPr>
        <w:t xml:space="preserve"> and </w:t>
      </w:r>
      <w:r w:rsidRPr="003C6395" w:rsidR="003C6395">
        <w:rPr>
          <w:rStyle w:val="normaltextrun"/>
          <w:rFonts w:cs="Calibri"/>
          <w:shd w:val="clear" w:color="auto" w:fill="FFFFFF"/>
        </w:rPr>
        <w:t xml:space="preserve">are a significant portion of the modern digital economy. </w:t>
      </w:r>
    </w:p>
    <w:p w:rsidR="00C76BAB" w:rsidP="00E763F3" w:rsidRDefault="00793079" w14:paraId="5F823580" w14:textId="12172466">
      <w:pPr>
        <w:rPr>
          <w:lang w:eastAsia="en-US"/>
        </w:rPr>
      </w:pPr>
      <w:r>
        <w:rPr>
          <w:lang w:val="en-US" w:eastAsia="en-US"/>
        </w:rPr>
        <w:t xml:space="preserve">There is currently no dedicated consumer advocacy organisation to represent Australian consumers of digital platforms. The digital platforms environment is ever expanding, and Australian consumers should be able to rely on an independent consumer advocacy body to ensure their interests are represented. This </w:t>
      </w:r>
      <w:r w:rsidRPr="00591AC6">
        <w:rPr>
          <w:lang w:eastAsia="en-US"/>
        </w:rPr>
        <w:t>body should be funded to properly engage with the many emerging issues facing Australian consumers on digital platforms.</w:t>
      </w:r>
      <w:r>
        <w:rPr>
          <w:lang w:eastAsia="en-US"/>
        </w:rPr>
        <w:t xml:space="preserve"> The existing consumer representation which occurs related to the interests of Australian consumers of digital platforms is conducted by a range of organisations and resourcing one independent organisation to take on this task will free up the resourcing of otherwise under-resourced and overstretched advocacy and community organisations. </w:t>
      </w:r>
      <w:r w:rsidR="00121962">
        <w:rPr>
          <w:lang w:eastAsia="en-US"/>
        </w:rPr>
        <w:t>Future d</w:t>
      </w:r>
      <w:r>
        <w:rPr>
          <w:lang w:eastAsia="en-US"/>
        </w:rPr>
        <w:t>igital platforms</w:t>
      </w:r>
      <w:r w:rsidR="00121962">
        <w:rPr>
          <w:lang w:eastAsia="en-US"/>
        </w:rPr>
        <w:t xml:space="preserve"> discourses and consultations</w:t>
      </w:r>
      <w:r>
        <w:rPr>
          <w:lang w:eastAsia="en-US"/>
        </w:rPr>
        <w:t xml:space="preserve"> will require further consumer engagement and consultation.</w:t>
      </w:r>
    </w:p>
    <w:p w:rsidR="00793079" w:rsidP="00E763F3" w:rsidRDefault="00793079" w14:paraId="2F5325A1" w14:textId="41A482A5">
      <w:pPr>
        <w:rPr>
          <w:lang w:eastAsia="en-US"/>
        </w:rPr>
      </w:pPr>
      <w:r>
        <w:rPr>
          <w:lang w:eastAsia="en-US"/>
        </w:rPr>
        <w:t xml:space="preserve">A 2022 consultation released by </w:t>
      </w:r>
      <w:r w:rsidR="00477B51">
        <w:rPr>
          <w:lang w:eastAsia="en-US"/>
        </w:rPr>
        <w:t>T</w:t>
      </w:r>
      <w:r>
        <w:rPr>
          <w:lang w:eastAsia="en-US"/>
        </w:rPr>
        <w:t xml:space="preserve">reasury noted that </w:t>
      </w:r>
      <w:r w:rsidRPr="00F1126A">
        <w:rPr>
          <w:lang w:eastAsia="en-US"/>
        </w:rPr>
        <w:t>the effectiveness of different regulatory schemes on digital platforms is unknown and will require ongoing consumer engagement and representation</w:t>
      </w:r>
      <w:r>
        <w:rPr>
          <w:lang w:eastAsia="en-US"/>
        </w:rPr>
        <w:t>.</w:t>
      </w:r>
      <w:r>
        <w:rPr>
          <w:rStyle w:val="FootnoteReference"/>
          <w:lang w:eastAsia="en-US"/>
        </w:rPr>
        <w:footnoteReference w:id="122"/>
      </w:r>
      <w:r>
        <w:rPr>
          <w:lang w:eastAsia="en-US"/>
        </w:rPr>
        <w:t xml:space="preserve"> The lack of an independent consumer representative in the digital platforms space may also lead to an imbalance of perspectives with relation to digital platforms policy discussions.</w:t>
      </w:r>
      <w:r>
        <w:rPr>
          <w:rStyle w:val="FootnoteReference"/>
          <w:lang w:eastAsia="en-US"/>
        </w:rPr>
        <w:footnoteReference w:id="123"/>
      </w:r>
      <w:r w:rsidR="00813AC9">
        <w:rPr>
          <w:lang w:eastAsia="en-US"/>
        </w:rPr>
        <w:t xml:space="preserve"> </w:t>
      </w:r>
    </w:p>
    <w:p w:rsidR="00C64181" w:rsidP="00E763F3" w:rsidRDefault="003A2582" w14:paraId="45E91FBC" w14:textId="06ECF87C">
      <w:r>
        <w:rPr>
          <w:lang w:eastAsia="en-US"/>
        </w:rPr>
        <w:t>ACCAN recommends that</w:t>
      </w:r>
      <w:r>
        <w:t xml:space="preserve"> the Federal Government allocate funding to co-invest with the digital platforms industry to support a consumer organisation to represent the interests of the Australian community in decision making for digital platform policy.</w:t>
      </w:r>
      <w:r>
        <w:rPr>
          <w:rStyle w:val="FootnoteReference"/>
        </w:rPr>
        <w:footnoteReference w:id="124"/>
      </w:r>
    </w:p>
    <w:p w:rsidRPr="001062CC" w:rsidR="001062CC" w:rsidP="00E763F3" w:rsidRDefault="001062CC" w14:paraId="49591775" w14:textId="04C7C5DD">
      <w:pPr>
        <w:pStyle w:val="Recommendation"/>
        <w:rPr>
          <w:lang w:val="en-US"/>
        </w:rPr>
      </w:pPr>
      <w:r>
        <w:t xml:space="preserve">That the </w:t>
      </w:r>
      <w:r w:rsidR="00E315A4">
        <w:t xml:space="preserve">Federal Government </w:t>
      </w:r>
      <w:r>
        <w:t>allocate</w:t>
      </w:r>
      <w:r w:rsidRPr="001062CC">
        <w:t xml:space="preserve"> funding to support consumer representation in digital platforms policy.</w:t>
      </w:r>
    </w:p>
    <w:p w:rsidR="00C87960" w:rsidP="00E763F3" w:rsidRDefault="00C87960" w14:paraId="08A989AD" w14:textId="5CCB9720">
      <w:pPr>
        <w:pStyle w:val="Heading1"/>
        <w:rPr>
          <w:sz w:val="48"/>
          <w:szCs w:val="48"/>
          <w:lang w:val="en-US" w:eastAsia="en-US"/>
        </w:rPr>
      </w:pPr>
      <w:bookmarkStart w:name="_Toc157422872" w:id="17"/>
      <w:r>
        <w:rPr>
          <w:sz w:val="48"/>
          <w:szCs w:val="48"/>
          <w:lang w:val="en-US" w:eastAsia="en-US"/>
        </w:rPr>
        <w:t xml:space="preserve">Improved Accessibility </w:t>
      </w:r>
      <w:r w:rsidR="00423A74">
        <w:rPr>
          <w:sz w:val="48"/>
          <w:szCs w:val="48"/>
          <w:lang w:val="en-US" w:eastAsia="en-US"/>
        </w:rPr>
        <w:t>o</w:t>
      </w:r>
      <w:r w:rsidRPr="00423A74" w:rsidR="00423A74">
        <w:rPr>
          <w:sz w:val="48"/>
          <w:szCs w:val="48"/>
          <w:lang w:val="en-US" w:eastAsia="en-US"/>
        </w:rPr>
        <w:t xml:space="preserve">f </w:t>
      </w:r>
      <w:r w:rsidR="00423A74">
        <w:rPr>
          <w:sz w:val="48"/>
          <w:szCs w:val="48"/>
          <w:lang w:val="en-US" w:eastAsia="en-US"/>
        </w:rPr>
        <w:t>C</w:t>
      </w:r>
      <w:r w:rsidRPr="00423A74" w:rsidR="00423A74">
        <w:rPr>
          <w:sz w:val="48"/>
          <w:szCs w:val="48"/>
          <w:lang w:val="en-US" w:eastAsia="en-US"/>
        </w:rPr>
        <w:t xml:space="preserve">ommunications </w:t>
      </w:r>
      <w:r w:rsidR="00423A74">
        <w:rPr>
          <w:sz w:val="48"/>
          <w:szCs w:val="48"/>
          <w:lang w:val="en-US" w:eastAsia="en-US"/>
        </w:rPr>
        <w:t>S</w:t>
      </w:r>
      <w:r w:rsidRPr="00423A74" w:rsidR="00423A74">
        <w:rPr>
          <w:sz w:val="48"/>
          <w:szCs w:val="48"/>
          <w:lang w:val="en-US" w:eastAsia="en-US"/>
        </w:rPr>
        <w:t xml:space="preserve">ervices and </w:t>
      </w:r>
      <w:r w:rsidR="00423A74">
        <w:rPr>
          <w:sz w:val="48"/>
          <w:szCs w:val="48"/>
          <w:lang w:val="en-US" w:eastAsia="en-US"/>
        </w:rPr>
        <w:t>D</w:t>
      </w:r>
      <w:r w:rsidRPr="00423A74" w:rsidR="00423A74">
        <w:rPr>
          <w:sz w:val="48"/>
          <w:szCs w:val="48"/>
          <w:lang w:val="en-US" w:eastAsia="en-US"/>
        </w:rPr>
        <w:t>evices</w:t>
      </w:r>
      <w:bookmarkEnd w:id="17"/>
    </w:p>
    <w:p w:rsidR="00913709" w:rsidP="00E763F3" w:rsidRDefault="00AB3A26" w14:paraId="1AF81DED" w14:textId="32C949B6">
      <w:pPr>
        <w:rPr>
          <w:lang w:val="en-US" w:eastAsia="en-US"/>
        </w:rPr>
      </w:pPr>
      <w:r>
        <w:rPr>
          <w:lang w:val="en-US" w:eastAsia="en-US"/>
        </w:rPr>
        <w:t xml:space="preserve">The 2024-2025 budget should </w:t>
      </w:r>
      <w:bookmarkStart w:name="_Hlk157079217" w:id="18"/>
      <w:r>
        <w:rPr>
          <w:lang w:val="en-US" w:eastAsia="en-US"/>
        </w:rPr>
        <w:t>take into account the accessibility requirements of Australians living with a disability and support</w:t>
      </w:r>
      <w:r w:rsidR="009B6A7D">
        <w:rPr>
          <w:lang w:val="en-US" w:eastAsia="en-US"/>
        </w:rPr>
        <w:t xml:space="preserve"> access to accessible telecommunications goods and services to ensure that people with disability are able to equally participate in society</w:t>
      </w:r>
      <w:bookmarkEnd w:id="18"/>
      <w:r w:rsidR="009B6A7D">
        <w:rPr>
          <w:lang w:val="en-US" w:eastAsia="en-US"/>
        </w:rPr>
        <w:t xml:space="preserve">. </w:t>
      </w:r>
      <w:r w:rsidRPr="00081B0F" w:rsidR="00081B0F">
        <w:rPr>
          <w:lang w:eastAsia="en-US"/>
        </w:rPr>
        <w:t>Many people with disability, continue to be digitally excluded and experience poor outcomes due to the prohibitive costs of digital technologies, the limitations of current technologies and a lack of digital education and training</w:t>
      </w:r>
      <w:r w:rsidR="0053363E">
        <w:rPr>
          <w:lang w:eastAsia="en-US"/>
        </w:rPr>
        <w:t>’</w:t>
      </w:r>
      <w:r w:rsidRPr="00081B0F" w:rsidR="00081B0F">
        <w:rPr>
          <w:lang w:eastAsia="en-US"/>
        </w:rPr>
        <w:t>.</w:t>
      </w:r>
      <w:r w:rsidR="0053363E">
        <w:rPr>
          <w:rStyle w:val="FootnoteReference"/>
          <w:lang w:eastAsia="en-US"/>
        </w:rPr>
        <w:footnoteReference w:id="125"/>
      </w:r>
      <w:r w:rsidR="0089040C">
        <w:rPr>
          <w:lang w:eastAsia="en-US"/>
        </w:rPr>
        <w:t xml:space="preserve"> Funding accessible, reliable, affordable digital communications is critical for ensuring that many Australians can effectively participate in the economy</w:t>
      </w:r>
      <w:r w:rsidR="006A5E18">
        <w:rPr>
          <w:lang w:eastAsia="en-US"/>
        </w:rPr>
        <w:t xml:space="preserve">, gain meaningful employment and engage in social endeavours. </w:t>
      </w:r>
    </w:p>
    <w:p w:rsidR="00C87960" w:rsidP="00E763F3" w:rsidRDefault="00C87960" w14:paraId="3AD36D66" w14:textId="0881D7AE">
      <w:pPr>
        <w:pStyle w:val="Heading2"/>
        <w:rPr>
          <w:lang w:val="en-US" w:eastAsia="en-US"/>
        </w:rPr>
      </w:pPr>
      <w:r w:rsidRPr="00EA23E3">
        <w:rPr>
          <w:lang w:val="en-US" w:eastAsia="en-US"/>
        </w:rPr>
        <w:t>Accessible Telecoms</w:t>
      </w:r>
      <w:r>
        <w:rPr>
          <w:lang w:val="en-US" w:eastAsia="en-US"/>
        </w:rPr>
        <w:t xml:space="preserve"> </w:t>
      </w:r>
    </w:p>
    <w:p w:rsidR="00441748" w:rsidP="00E763F3" w:rsidRDefault="00FA0DA3" w14:paraId="27F832D4" w14:textId="10DA3559">
      <w:pPr>
        <w:rPr>
          <w:lang w:eastAsia="en-US"/>
        </w:rPr>
      </w:pPr>
      <w:r>
        <w:rPr>
          <w:lang w:val="en-US" w:eastAsia="en-US"/>
        </w:rPr>
        <w:t xml:space="preserve">Accessible </w:t>
      </w:r>
      <w:r w:rsidR="00441748">
        <w:rPr>
          <w:lang w:val="en-US" w:eastAsia="en-US"/>
        </w:rPr>
        <w:t>T</w:t>
      </w:r>
      <w:r>
        <w:rPr>
          <w:lang w:val="en-US" w:eastAsia="en-US"/>
        </w:rPr>
        <w:t xml:space="preserve">elecoms is a free and independent services which provides consumers with </w:t>
      </w:r>
      <w:r w:rsidR="00E32E76">
        <w:rPr>
          <w:lang w:val="en-US" w:eastAsia="en-US"/>
        </w:rPr>
        <w:t>up-to-date</w:t>
      </w:r>
      <w:r>
        <w:rPr>
          <w:lang w:val="en-US" w:eastAsia="en-US"/>
        </w:rPr>
        <w:t xml:space="preserve"> information on </w:t>
      </w:r>
      <w:r w:rsidRPr="00E32E76" w:rsidR="00E32E76">
        <w:rPr>
          <w:lang w:eastAsia="en-US"/>
        </w:rPr>
        <w:t>telecommunication products and services that are suitable for seniors and people with disabilities.</w:t>
      </w:r>
      <w:r w:rsidR="00E32E76">
        <w:rPr>
          <w:rStyle w:val="FootnoteReference"/>
          <w:lang w:eastAsia="en-US"/>
        </w:rPr>
        <w:footnoteReference w:id="126"/>
      </w:r>
      <w:r w:rsidR="003E055C">
        <w:rPr>
          <w:lang w:eastAsia="en-US"/>
        </w:rPr>
        <w:t xml:space="preserve"> </w:t>
      </w:r>
      <w:r w:rsidR="00B637FF">
        <w:rPr>
          <w:lang w:eastAsia="en-US"/>
        </w:rPr>
        <w:t xml:space="preserve">The Accessible </w:t>
      </w:r>
      <w:r w:rsidR="00441748">
        <w:rPr>
          <w:lang w:eastAsia="en-US"/>
        </w:rPr>
        <w:t>T</w:t>
      </w:r>
      <w:r w:rsidR="00B637FF">
        <w:rPr>
          <w:lang w:eastAsia="en-US"/>
        </w:rPr>
        <w:t>elecoms website</w:t>
      </w:r>
      <w:r w:rsidR="00441748">
        <w:rPr>
          <w:lang w:eastAsia="en-US"/>
        </w:rPr>
        <w:t xml:space="preserve">: </w:t>
      </w:r>
    </w:p>
    <w:p w:rsidRPr="00191682" w:rsidR="00B637FF" w:rsidP="00E763F3" w:rsidRDefault="00441748" w14:paraId="230154AF" w14:textId="10603097">
      <w:pPr>
        <w:pStyle w:val="ListParagraph"/>
        <w:numPr>
          <w:ilvl w:val="0"/>
          <w:numId w:val="19"/>
        </w:numPr>
        <w:rPr>
          <w:lang w:eastAsia="en-US"/>
        </w:rPr>
      </w:pPr>
      <w:r w:rsidRPr="00191682">
        <w:rPr>
          <w:lang w:eastAsia="en-US"/>
        </w:rPr>
        <w:t>R</w:t>
      </w:r>
      <w:r w:rsidRPr="00191682" w:rsidR="00B637FF">
        <w:rPr>
          <w:lang w:eastAsia="en-US"/>
        </w:rPr>
        <w:t xml:space="preserve">eceives </w:t>
      </w:r>
      <w:r w:rsidRPr="00191682" w:rsidR="006F7150">
        <w:rPr>
          <w:lang w:eastAsia="en-US"/>
        </w:rPr>
        <w:t>more than</w:t>
      </w:r>
      <w:r w:rsidRPr="00191682" w:rsidR="00B637FF">
        <w:rPr>
          <w:lang w:eastAsia="en-US"/>
        </w:rPr>
        <w:t xml:space="preserve"> 10,000 unique </w:t>
      </w:r>
      <w:r w:rsidR="001E0174">
        <w:rPr>
          <w:lang w:eastAsia="en-US"/>
        </w:rPr>
        <w:t>users</w:t>
      </w:r>
      <w:r w:rsidRPr="00191682" w:rsidR="001E0174">
        <w:rPr>
          <w:lang w:eastAsia="en-US"/>
        </w:rPr>
        <w:t xml:space="preserve"> </w:t>
      </w:r>
      <w:r w:rsidRPr="00191682" w:rsidR="00B637FF">
        <w:rPr>
          <w:lang w:eastAsia="en-US"/>
        </w:rPr>
        <w:t>per month</w:t>
      </w:r>
      <w:r w:rsidR="00191682">
        <w:rPr>
          <w:lang w:eastAsia="en-US"/>
        </w:rPr>
        <w:t>.</w:t>
      </w:r>
    </w:p>
    <w:p w:rsidRPr="00D525B2" w:rsidR="008B5952" w:rsidP="00E763F3" w:rsidRDefault="00D00AA2" w14:paraId="3B16E551" w14:textId="2D34AF13">
      <w:pPr>
        <w:pStyle w:val="ListParagraph"/>
        <w:numPr>
          <w:ilvl w:val="0"/>
          <w:numId w:val="19"/>
        </w:numPr>
        <w:rPr>
          <w:lang w:eastAsia="en-US"/>
        </w:rPr>
      </w:pPr>
      <w:r w:rsidRPr="00D525B2">
        <w:rPr>
          <w:lang w:eastAsia="en-US"/>
        </w:rPr>
        <w:t xml:space="preserve">Received </w:t>
      </w:r>
      <w:r w:rsidRPr="00D525B2" w:rsidR="006F7150">
        <w:rPr>
          <w:lang w:eastAsia="en-US"/>
        </w:rPr>
        <w:t>more than</w:t>
      </w:r>
      <w:r w:rsidRPr="00D525B2" w:rsidR="001D21E2">
        <w:rPr>
          <w:lang w:eastAsia="en-US"/>
        </w:rPr>
        <w:t xml:space="preserve"> 14,000 unique website views per month</w:t>
      </w:r>
      <w:r w:rsidRPr="00D525B2">
        <w:rPr>
          <w:lang w:eastAsia="en-US"/>
        </w:rPr>
        <w:t>.</w:t>
      </w:r>
      <w:r w:rsidRPr="00D525B2" w:rsidR="006F7150">
        <w:rPr>
          <w:rStyle w:val="FootnoteReference"/>
          <w:lang w:eastAsia="en-US"/>
        </w:rPr>
        <w:footnoteReference w:id="127"/>
      </w:r>
    </w:p>
    <w:p w:rsidR="00EC1191" w:rsidP="00E763F3" w:rsidRDefault="003E055C" w14:paraId="2A45DB48" w14:textId="54668812">
      <w:pPr>
        <w:rPr>
          <w:lang w:eastAsia="en-US"/>
        </w:rPr>
      </w:pPr>
      <w:r w:rsidRPr="5DBC7DAE">
        <w:rPr>
          <w:lang w:eastAsia="en-US"/>
        </w:rPr>
        <w:t xml:space="preserve">Developed and implemented by ACCAN in 2018 through a National Disability Insurance Agency grant, </w:t>
      </w:r>
      <w:r w:rsidRPr="5DBC7DAE" w:rsidR="00394FFC">
        <w:rPr>
          <w:lang w:eastAsia="en-US"/>
        </w:rPr>
        <w:t xml:space="preserve">ACCAN is pleased to have received funding through the DITRDCA to continue operating the </w:t>
      </w:r>
      <w:r w:rsidRPr="5DBC7DAE">
        <w:rPr>
          <w:lang w:eastAsia="en-US"/>
        </w:rPr>
        <w:t xml:space="preserve">Accessible </w:t>
      </w:r>
      <w:r w:rsidRPr="5DBC7DAE" w:rsidR="00E15313">
        <w:rPr>
          <w:lang w:eastAsia="en-US"/>
        </w:rPr>
        <w:t>T</w:t>
      </w:r>
      <w:r w:rsidRPr="5DBC7DAE">
        <w:rPr>
          <w:lang w:eastAsia="en-US"/>
        </w:rPr>
        <w:t>elecoms</w:t>
      </w:r>
      <w:r w:rsidRPr="5DBC7DAE" w:rsidR="00394FFC">
        <w:rPr>
          <w:lang w:eastAsia="en-US"/>
        </w:rPr>
        <w:t xml:space="preserve"> service</w:t>
      </w:r>
      <w:r w:rsidRPr="5DBC7DAE" w:rsidR="00191682">
        <w:rPr>
          <w:lang w:eastAsia="en-US"/>
        </w:rPr>
        <w:t xml:space="preserve"> into 2025</w:t>
      </w:r>
      <w:r w:rsidR="00C61F05">
        <w:rPr>
          <w:lang w:eastAsia="en-US"/>
        </w:rPr>
        <w:t xml:space="preserve"> a</w:t>
      </w:r>
      <w:r w:rsidRPr="00C61F05" w:rsidR="00C61F05">
        <w:rPr>
          <w:lang w:eastAsia="en-US"/>
        </w:rPr>
        <w:t xml:space="preserve">nd would benefit from a </w:t>
      </w:r>
      <w:r w:rsidRPr="00C61F05" w:rsidR="00EA23E3">
        <w:rPr>
          <w:lang w:eastAsia="en-US"/>
        </w:rPr>
        <w:t>long-term</w:t>
      </w:r>
      <w:r w:rsidRPr="00C61F05" w:rsidR="00C61F05">
        <w:rPr>
          <w:lang w:eastAsia="en-US"/>
        </w:rPr>
        <w:t xml:space="preserve"> funding arrangement that supports digital inclusion for people with disability as </w:t>
      </w:r>
      <w:r w:rsidR="00881FE4">
        <w:rPr>
          <w:lang w:eastAsia="en-US"/>
        </w:rPr>
        <w:t>S</w:t>
      </w:r>
      <w:r w:rsidRPr="00C61F05" w:rsidR="008E38F2">
        <w:rPr>
          <w:lang w:eastAsia="en-US"/>
        </w:rPr>
        <w:t xml:space="preserve">tate </w:t>
      </w:r>
      <w:r w:rsidR="008E38F2">
        <w:rPr>
          <w:lang w:eastAsia="en-US"/>
        </w:rPr>
        <w:t>and</w:t>
      </w:r>
      <w:r w:rsidR="00881FE4">
        <w:rPr>
          <w:lang w:eastAsia="en-US"/>
        </w:rPr>
        <w:t xml:space="preserve"> F</w:t>
      </w:r>
      <w:r w:rsidRPr="00C61F05" w:rsidR="00C61F05">
        <w:rPr>
          <w:lang w:eastAsia="en-US"/>
        </w:rPr>
        <w:t>ederal governments develop and implement digital transformation strategies</w:t>
      </w:r>
      <w:r w:rsidR="00C61F05">
        <w:rPr>
          <w:lang w:eastAsia="en-US"/>
        </w:rPr>
        <w:t xml:space="preserve">. </w:t>
      </w:r>
    </w:p>
    <w:p w:rsidRPr="00EC1191" w:rsidR="006A671A" w:rsidP="008515B4" w:rsidRDefault="006A671A" w14:paraId="54043D45" w14:textId="0B284AE9">
      <w:pPr>
        <w:pStyle w:val="Recommendation"/>
        <w:rPr>
          <w:lang w:val="en-US"/>
        </w:rPr>
      </w:pPr>
      <w:r>
        <w:rPr>
          <w:lang w:val="en-US"/>
        </w:rPr>
        <w:t xml:space="preserve">That the </w:t>
      </w:r>
      <w:r w:rsidR="009605FF">
        <w:rPr>
          <w:lang w:val="en-US"/>
        </w:rPr>
        <w:t>DIT</w:t>
      </w:r>
      <w:r w:rsidR="008A08D3">
        <w:rPr>
          <w:lang w:val="en-US"/>
        </w:rPr>
        <w:t xml:space="preserve">RDCA develop a </w:t>
      </w:r>
      <w:r w:rsidR="00C15220">
        <w:rPr>
          <w:lang w:val="en-US"/>
        </w:rPr>
        <w:t>long-term</w:t>
      </w:r>
      <w:r w:rsidR="008A08D3">
        <w:rPr>
          <w:lang w:val="en-US"/>
        </w:rPr>
        <w:t xml:space="preserve"> funding arrangement for the Accessible Telecoms service </w:t>
      </w:r>
      <w:r w:rsidR="00ED4D86">
        <w:rPr>
          <w:lang w:val="en-US"/>
        </w:rPr>
        <w:t xml:space="preserve">to reflect the digital transformation strategies of State and Federal Governments. </w:t>
      </w:r>
    </w:p>
    <w:p w:rsidR="00C87960" w:rsidP="00E763F3" w:rsidRDefault="00C87960" w14:paraId="29C44BD7" w14:textId="75A85838">
      <w:pPr>
        <w:pStyle w:val="Heading2"/>
        <w:rPr>
          <w:lang w:eastAsia="en-US"/>
        </w:rPr>
      </w:pPr>
      <w:r w:rsidRPr="00C87960">
        <w:rPr>
          <w:lang w:eastAsia="en-US"/>
        </w:rPr>
        <w:t>Accessibility of online information and services</w:t>
      </w:r>
    </w:p>
    <w:p w:rsidR="0095246A" w:rsidP="00E763F3" w:rsidRDefault="00E379DD" w14:paraId="768AD2C2" w14:textId="79A8A7C4">
      <w:pPr>
        <w:rPr>
          <w:lang w:eastAsia="en-US"/>
        </w:rPr>
      </w:pPr>
      <w:r>
        <w:rPr>
          <w:lang w:eastAsia="en-US"/>
        </w:rPr>
        <w:t xml:space="preserve">Ensuring that </w:t>
      </w:r>
      <w:r w:rsidR="00E7224B">
        <w:rPr>
          <w:lang w:eastAsia="en-US"/>
        </w:rPr>
        <w:t>telecommunications</w:t>
      </w:r>
      <w:r w:rsidR="00BC07BC">
        <w:rPr>
          <w:lang w:eastAsia="en-US"/>
        </w:rPr>
        <w:t xml:space="preserve"> consumers with a disability have</w:t>
      </w:r>
      <w:r w:rsidR="00E7224B">
        <w:rPr>
          <w:lang w:eastAsia="en-US"/>
        </w:rPr>
        <w:t xml:space="preserve"> equal access to online, digital and non-digital information is critical to enhancing the economic participation of many Australians. </w:t>
      </w:r>
      <w:r w:rsidRPr="00F575D5" w:rsidR="00F575D5">
        <w:rPr>
          <w:lang w:eastAsia="en-US"/>
        </w:rPr>
        <w:t>Inaccessible communications technologies exclude people with disability from accessing education, employment, health, and social opportunities, all of which are primarily digital and online.</w:t>
      </w:r>
      <w:r w:rsidRPr="00F575D5" w:rsidR="00F575D5">
        <w:rPr>
          <w:vertAlign w:val="superscript"/>
          <w:lang w:eastAsia="en-US"/>
        </w:rPr>
        <w:footnoteReference w:id="128"/>
      </w:r>
      <w:r w:rsidRPr="00F575D5" w:rsidR="00F575D5">
        <w:rPr>
          <w:lang w:eastAsia="en-US"/>
        </w:rPr>
        <w:t xml:space="preserve"> </w:t>
      </w:r>
      <w:r w:rsidRPr="00B806B8" w:rsidR="0063462F">
        <w:rPr>
          <w:lang w:eastAsia="en-US"/>
        </w:rPr>
        <w:t xml:space="preserve">Online information and services, especially those provided by government agencies, need to be presented in a variety of accessible formats (Auslan, Braille, Plain Language, Easy-English, different community languages). </w:t>
      </w:r>
      <w:r w:rsidRPr="00B806B8" w:rsidR="00105E2A">
        <w:rPr>
          <w:lang w:eastAsia="en-US"/>
        </w:rPr>
        <w:t xml:space="preserve">We consider that </w:t>
      </w:r>
      <w:r w:rsidRPr="00B806B8" w:rsidR="00C26FAF">
        <w:rPr>
          <w:lang w:eastAsia="en-US"/>
        </w:rPr>
        <w:t xml:space="preserve">these </w:t>
      </w:r>
      <w:r w:rsidRPr="00B806B8" w:rsidR="0059646D">
        <w:rPr>
          <w:lang w:eastAsia="en-US"/>
        </w:rPr>
        <w:t xml:space="preserve">information sources should </w:t>
      </w:r>
      <w:r w:rsidRPr="00B806B8" w:rsidR="0063462F">
        <w:rPr>
          <w:lang w:eastAsia="en-US"/>
        </w:rPr>
        <w:t>be compliant with the highest Web Content Accessibility Guidelines (</w:t>
      </w:r>
      <w:r w:rsidRPr="00B806B8" w:rsidR="0063462F">
        <w:rPr>
          <w:b/>
          <w:bCs/>
          <w:lang w:eastAsia="en-US"/>
        </w:rPr>
        <w:t>WCAG</w:t>
      </w:r>
      <w:r w:rsidRPr="00B806B8" w:rsidR="0063462F">
        <w:rPr>
          <w:lang w:eastAsia="en-US"/>
        </w:rPr>
        <w:t>)</w:t>
      </w:r>
      <w:r w:rsidRPr="00B806B8" w:rsidR="00CD0274">
        <w:rPr>
          <w:lang w:eastAsia="en-US"/>
        </w:rPr>
        <w:t>’</w:t>
      </w:r>
      <w:r w:rsidRPr="00B806B8" w:rsidR="0063462F">
        <w:rPr>
          <w:lang w:eastAsia="en-US"/>
        </w:rPr>
        <w:t>.</w:t>
      </w:r>
      <w:r w:rsidRPr="00B806B8" w:rsidR="0063462F">
        <w:rPr>
          <w:rStyle w:val="FootnoteReference"/>
          <w:lang w:eastAsia="en-US"/>
        </w:rPr>
        <w:footnoteReference w:id="129"/>
      </w:r>
      <w:r w:rsidR="00CD0274">
        <w:rPr>
          <w:lang w:eastAsia="en-US"/>
        </w:rPr>
        <w:t xml:space="preserve"> </w:t>
      </w:r>
    </w:p>
    <w:p w:rsidR="00E2390C" w:rsidP="00E763F3" w:rsidRDefault="000C73C6" w14:paraId="5341568B" w14:textId="3120D47E">
      <w:pPr>
        <w:rPr>
          <w:lang w:eastAsia="en-US"/>
        </w:rPr>
      </w:pPr>
      <w:r>
        <w:rPr>
          <w:lang w:eastAsia="en-US"/>
        </w:rPr>
        <w:t xml:space="preserve">ACCAN considers that achieving this aim would </w:t>
      </w:r>
      <w:r w:rsidR="00D44436">
        <w:rPr>
          <w:lang w:eastAsia="en-US"/>
        </w:rPr>
        <w:t xml:space="preserve">more easily </w:t>
      </w:r>
      <w:r>
        <w:rPr>
          <w:lang w:eastAsia="en-US"/>
        </w:rPr>
        <w:t xml:space="preserve">allow previously excluded cohorts to participate in the economic and social benefits of </w:t>
      </w:r>
      <w:r w:rsidR="00D44436">
        <w:rPr>
          <w:lang w:eastAsia="en-US"/>
        </w:rPr>
        <w:t xml:space="preserve">internet connectivity as well as </w:t>
      </w:r>
      <w:r w:rsidR="00584846">
        <w:rPr>
          <w:lang w:eastAsia="en-US"/>
        </w:rPr>
        <w:t xml:space="preserve">ensure compliance and cohesion with the </w:t>
      </w:r>
      <w:r w:rsidRPr="00584846" w:rsidR="00584846">
        <w:rPr>
          <w:lang w:eastAsia="en-US"/>
        </w:rPr>
        <w:t>United Nations Convention on the Rights of Persons with Disabilities</w:t>
      </w:r>
      <w:r w:rsidR="00584846">
        <w:rPr>
          <w:lang w:eastAsia="en-US"/>
        </w:rPr>
        <w:t>.</w:t>
      </w:r>
      <w:r w:rsidR="00584846">
        <w:rPr>
          <w:rStyle w:val="FootnoteReference"/>
          <w:lang w:eastAsia="en-US"/>
        </w:rPr>
        <w:footnoteReference w:id="130"/>
      </w:r>
      <w:r w:rsidR="00752B6F">
        <w:rPr>
          <w:lang w:eastAsia="en-US"/>
        </w:rPr>
        <w:t xml:space="preserve"> Every government website </w:t>
      </w:r>
      <w:r w:rsidR="003F3BBA">
        <w:rPr>
          <w:lang w:eastAsia="en-US"/>
        </w:rPr>
        <w:t>must</w:t>
      </w:r>
      <w:r w:rsidR="00752B6F">
        <w:rPr>
          <w:lang w:eastAsia="en-US"/>
        </w:rPr>
        <w:t xml:space="preserve"> </w:t>
      </w:r>
      <w:r w:rsidR="00B806B8">
        <w:rPr>
          <w:lang w:eastAsia="en-US"/>
        </w:rPr>
        <w:t>be presented</w:t>
      </w:r>
      <w:r w:rsidR="00752B6F">
        <w:rPr>
          <w:lang w:eastAsia="en-US"/>
        </w:rPr>
        <w:t xml:space="preserve"> in a variety of accessible formats in order to meet the expectations of Australians. </w:t>
      </w:r>
      <w:r w:rsidR="00E2390C">
        <w:rPr>
          <w:lang w:eastAsia="en-US"/>
        </w:rPr>
        <w:t xml:space="preserve">Additionally, ACCAN considers that the </w:t>
      </w:r>
      <w:r w:rsidR="00620D81">
        <w:rPr>
          <w:lang w:eastAsia="en-US"/>
        </w:rPr>
        <w:t>F</w:t>
      </w:r>
      <w:r w:rsidR="00E2390C">
        <w:rPr>
          <w:lang w:eastAsia="en-US"/>
        </w:rPr>
        <w:t xml:space="preserve">ederal </w:t>
      </w:r>
      <w:r w:rsidR="00620D81">
        <w:rPr>
          <w:lang w:eastAsia="en-US"/>
        </w:rPr>
        <w:t xml:space="preserve">Government </w:t>
      </w:r>
      <w:r w:rsidR="00E2390C">
        <w:rPr>
          <w:lang w:eastAsia="en-US"/>
        </w:rPr>
        <w:t>should allocate funding towards the development o</w:t>
      </w:r>
      <w:r w:rsidR="00E2390C">
        <w:t>f a national plan to promote accessible information and communications.</w:t>
      </w:r>
      <w:r w:rsidR="00F632D2">
        <w:rPr>
          <w:rStyle w:val="FootnoteReference"/>
        </w:rPr>
        <w:footnoteReference w:id="131"/>
      </w:r>
      <w:r w:rsidR="00045ECF">
        <w:t xml:space="preserve"> </w:t>
      </w:r>
    </w:p>
    <w:p w:rsidR="009B323B" w:rsidP="00E763F3" w:rsidRDefault="009B323B" w14:paraId="5489585B" w14:textId="2008B625">
      <w:pPr>
        <w:pStyle w:val="Recommendation"/>
      </w:pPr>
      <w:bookmarkStart w:name="_Hlk157079115" w:id="20"/>
      <w:r w:rsidRPr="009B323B">
        <w:t xml:space="preserve">That the </w:t>
      </w:r>
      <w:r w:rsidR="00632790">
        <w:t>Federal</w:t>
      </w:r>
      <w:r w:rsidRPr="009B323B">
        <w:t xml:space="preserve"> Government allocates funding to ensure government websites are compliant with the Web Content Accessibility Guidelines (WCAG) 2.1 AA and successor standards.</w:t>
      </w:r>
    </w:p>
    <w:p w:rsidR="00CD0274" w:rsidP="00E763F3" w:rsidRDefault="009B323B" w14:paraId="0036E420" w14:textId="41A18880">
      <w:pPr>
        <w:pStyle w:val="Recommendation"/>
      </w:pPr>
      <w:r w:rsidRPr="009B323B">
        <w:t xml:space="preserve">That the </w:t>
      </w:r>
      <w:r w:rsidR="00632790">
        <w:t>Federal</w:t>
      </w:r>
      <w:r w:rsidRPr="009B323B">
        <w:t xml:space="preserve"> Government allocates funding to ensure online government services are presented in a variety of accessible formats, including Auslan, Braille, Plain Language, Easy-English and different community languages.</w:t>
      </w:r>
    </w:p>
    <w:p w:rsidRPr="00FB3402" w:rsidR="007D1328" w:rsidP="00E763F3" w:rsidRDefault="00632790" w14:paraId="293B0A12" w14:textId="2019EEE5">
      <w:pPr>
        <w:pStyle w:val="Recommendation"/>
      </w:pPr>
      <w:r>
        <w:t>T</w:t>
      </w:r>
      <w:r w:rsidR="00180D02">
        <w:t>hat t</w:t>
      </w:r>
      <w:r w:rsidRPr="00632790">
        <w:t xml:space="preserve">he </w:t>
      </w:r>
      <w:r>
        <w:t>F</w:t>
      </w:r>
      <w:r w:rsidRPr="00632790">
        <w:t xml:space="preserve">ederal </w:t>
      </w:r>
      <w:r>
        <w:t>G</w:t>
      </w:r>
      <w:r w:rsidRPr="00632790">
        <w:t>overnment allocate funding towards the development of a national plan to promote accessible information and communications.</w:t>
      </w:r>
    </w:p>
    <w:bookmarkEnd w:id="20"/>
    <w:p w:rsidR="00C87960" w:rsidP="00E763F3" w:rsidRDefault="000A2176" w14:paraId="5417F901" w14:textId="440971F9">
      <w:pPr>
        <w:pStyle w:val="Heading2"/>
        <w:rPr>
          <w:lang w:eastAsia="en-US"/>
        </w:rPr>
      </w:pPr>
      <w:r w:rsidRPr="000A2176">
        <w:rPr>
          <w:lang w:eastAsia="en-US"/>
        </w:rPr>
        <w:t xml:space="preserve">Digital </w:t>
      </w:r>
      <w:r w:rsidR="006D5C9E">
        <w:rPr>
          <w:lang w:eastAsia="en-US"/>
        </w:rPr>
        <w:t>Ability</w:t>
      </w:r>
    </w:p>
    <w:p w:rsidR="009D4517" w:rsidP="00E763F3" w:rsidRDefault="00317618" w14:paraId="0F03BA96" w14:textId="38318A55">
      <w:r>
        <w:rPr>
          <w:lang w:eastAsia="en-US"/>
        </w:rPr>
        <w:t xml:space="preserve">It is critical that telecommunications consumers with a disability are supported with digital capacity training programs to meet their needs. </w:t>
      </w:r>
      <w:r w:rsidR="00831FE0">
        <w:rPr>
          <w:lang w:eastAsia="en-US"/>
        </w:rPr>
        <w:t>The 2023 Australian Digital Inclusion Index noted that</w:t>
      </w:r>
      <w:r w:rsidR="00340966">
        <w:rPr>
          <w:lang w:eastAsia="en-US"/>
        </w:rPr>
        <w:t xml:space="preserve"> h</w:t>
      </w:r>
      <w:r w:rsidR="008F3C4D">
        <w:rPr>
          <w:lang w:eastAsia="en-US"/>
        </w:rPr>
        <w:t>ighly excluded Australians are more likely to be living with a disability.</w:t>
      </w:r>
      <w:r w:rsidR="008F3C4D">
        <w:rPr>
          <w:rStyle w:val="FootnoteReference"/>
          <w:lang w:eastAsia="en-US"/>
        </w:rPr>
        <w:footnoteReference w:id="132"/>
      </w:r>
      <w:r w:rsidR="00340966">
        <w:rPr>
          <w:lang w:eastAsia="en-US"/>
        </w:rPr>
        <w:t xml:space="preserve"> </w:t>
      </w:r>
    </w:p>
    <w:p w:rsidR="006C39FF" w:rsidP="00E763F3" w:rsidRDefault="00D1530A" w14:paraId="0F5C314B" w14:textId="75A75A49">
      <w:pPr>
        <w:rPr>
          <w:lang w:eastAsia="en-US"/>
        </w:rPr>
      </w:pPr>
      <w:r>
        <w:rPr>
          <w:lang w:eastAsia="en-US"/>
        </w:rPr>
        <w:t xml:space="preserve">Poorly designed digital </w:t>
      </w:r>
      <w:r w:rsidR="009F336C">
        <w:rPr>
          <w:lang w:eastAsia="en-US"/>
        </w:rPr>
        <w:t xml:space="preserve">communications technology, content and devices impede </w:t>
      </w:r>
      <w:r w:rsidR="003153AE">
        <w:rPr>
          <w:lang w:eastAsia="en-US"/>
        </w:rPr>
        <w:t>access to</w:t>
      </w:r>
      <w:r w:rsidR="009F336C">
        <w:rPr>
          <w:lang w:eastAsia="en-US"/>
        </w:rPr>
        <w:t xml:space="preserve"> ICT services such as government information, banking and financial services and </w:t>
      </w:r>
      <w:r w:rsidR="003153AE">
        <w:rPr>
          <w:lang w:eastAsia="en-US"/>
        </w:rPr>
        <w:t>constitute a barrier to enhanced economic participation.</w:t>
      </w:r>
      <w:r w:rsidR="003153AE">
        <w:rPr>
          <w:rStyle w:val="FootnoteReference"/>
          <w:lang w:eastAsia="en-US"/>
        </w:rPr>
        <w:footnoteReference w:id="133"/>
      </w:r>
      <w:r w:rsidR="003153AE">
        <w:rPr>
          <w:lang w:eastAsia="en-US"/>
        </w:rPr>
        <w:t xml:space="preserve"> </w:t>
      </w:r>
      <w:r w:rsidR="006C39FF">
        <w:rPr>
          <w:lang w:eastAsia="en-US"/>
        </w:rPr>
        <w:t xml:space="preserve">Investing funding into digital inclusion support services </w:t>
      </w:r>
      <w:r w:rsidR="00C27DC8">
        <w:rPr>
          <w:lang w:eastAsia="en-US"/>
        </w:rPr>
        <w:t>may return a significantly greater economic benefit than the cost of those services. A report launched in 20</w:t>
      </w:r>
      <w:r w:rsidR="00597353">
        <w:rPr>
          <w:lang w:eastAsia="en-US"/>
        </w:rPr>
        <w:t xml:space="preserve">22 report launched by the Good </w:t>
      </w:r>
      <w:r w:rsidR="00EC2566">
        <w:rPr>
          <w:lang w:eastAsia="en-US"/>
        </w:rPr>
        <w:t>T</w:t>
      </w:r>
      <w:r w:rsidR="00597353">
        <w:rPr>
          <w:lang w:eastAsia="en-US"/>
        </w:rPr>
        <w:t xml:space="preserve">hings </w:t>
      </w:r>
      <w:r w:rsidR="00EC2566">
        <w:rPr>
          <w:lang w:eastAsia="en-US"/>
        </w:rPr>
        <w:t>F</w:t>
      </w:r>
      <w:r w:rsidR="00597353">
        <w:rPr>
          <w:lang w:eastAsia="en-US"/>
        </w:rPr>
        <w:t xml:space="preserve">oundation noted that </w:t>
      </w:r>
      <w:r w:rsidR="0080237E">
        <w:rPr>
          <w:lang w:eastAsia="en-US"/>
        </w:rPr>
        <w:t>there was a</w:t>
      </w:r>
      <w:r w:rsidRPr="0080237E" w:rsidR="0080237E">
        <w:rPr>
          <w:lang w:eastAsia="en-US"/>
        </w:rPr>
        <w:t xml:space="preserve"> £9.48 return for every £1 invested</w:t>
      </w:r>
      <w:r w:rsidR="0080237E">
        <w:rPr>
          <w:lang w:eastAsia="en-US"/>
        </w:rPr>
        <w:t xml:space="preserve"> in digital inclusion services.</w:t>
      </w:r>
      <w:r w:rsidR="005E6FB9">
        <w:rPr>
          <w:rStyle w:val="FootnoteReference"/>
          <w:lang w:eastAsia="en-US"/>
        </w:rPr>
        <w:footnoteReference w:id="134"/>
      </w:r>
      <w:r w:rsidR="00A66AC2">
        <w:rPr>
          <w:lang w:eastAsia="en-US"/>
        </w:rPr>
        <w:t xml:space="preserve"> </w:t>
      </w:r>
      <w:r w:rsidR="00340347">
        <w:rPr>
          <w:lang w:eastAsia="en-US"/>
        </w:rPr>
        <w:t xml:space="preserve">This report noted that </w:t>
      </w:r>
      <w:r w:rsidR="00740C8B">
        <w:rPr>
          <w:lang w:eastAsia="en-US"/>
        </w:rPr>
        <w:t>savings to taxpayers can be experienced in the areas of improved government efficiency, increased tax revenue and improved healthcare efficiency as a result of investments in digital in</w:t>
      </w:r>
      <w:r w:rsidR="00C329EB">
        <w:rPr>
          <w:lang w:eastAsia="en-US"/>
        </w:rPr>
        <w:t>clusion.</w:t>
      </w:r>
      <w:r w:rsidR="00C329EB">
        <w:rPr>
          <w:rStyle w:val="FootnoteReference"/>
          <w:lang w:eastAsia="en-US"/>
        </w:rPr>
        <w:footnoteReference w:id="135"/>
      </w:r>
    </w:p>
    <w:p w:rsidR="00C53742" w:rsidP="00E763F3" w:rsidRDefault="009417A5" w14:paraId="64D06088" w14:textId="078D9DB4">
      <w:pPr>
        <w:rPr>
          <w:lang w:eastAsia="en-US"/>
        </w:rPr>
      </w:pPr>
      <w:r>
        <w:rPr>
          <w:lang w:eastAsia="en-US"/>
        </w:rPr>
        <w:t xml:space="preserve">The </w:t>
      </w:r>
      <w:r w:rsidR="00620D81">
        <w:rPr>
          <w:lang w:eastAsia="en-US"/>
        </w:rPr>
        <w:t>F</w:t>
      </w:r>
      <w:r>
        <w:rPr>
          <w:lang w:eastAsia="en-US"/>
        </w:rPr>
        <w:t xml:space="preserve">ederal </w:t>
      </w:r>
      <w:r w:rsidR="00620D81">
        <w:rPr>
          <w:lang w:eastAsia="en-US"/>
        </w:rPr>
        <w:t xml:space="preserve">Government </w:t>
      </w:r>
      <w:r>
        <w:rPr>
          <w:lang w:eastAsia="en-US"/>
        </w:rPr>
        <w:t>should consider</w:t>
      </w:r>
      <w:r w:rsidR="00C53742">
        <w:rPr>
          <w:lang w:eastAsia="en-US"/>
        </w:rPr>
        <w:t xml:space="preserve"> </w:t>
      </w:r>
      <w:r w:rsidR="00C53742">
        <w:t xml:space="preserve">ensuring future digital inclusion initiatives and programs are implemented in accessible formats for consumers who live with cognitive impairment, vision impairment, as well as consumers who </w:t>
      </w:r>
      <w:r w:rsidR="00344C04">
        <w:t>have low literacy</w:t>
      </w:r>
      <w:r w:rsidR="00C53742">
        <w:t xml:space="preserve"> and consumers who are from diverse cultural backgrounds.</w:t>
      </w:r>
      <w:r w:rsidR="00C53742">
        <w:rPr>
          <w:rStyle w:val="FootnoteReference"/>
        </w:rPr>
        <w:footnoteReference w:id="136"/>
      </w:r>
    </w:p>
    <w:p w:rsidR="00EC2566" w:rsidP="00E763F3" w:rsidRDefault="00EC2566" w14:paraId="4D3D66C6" w14:textId="5EE7C886">
      <w:pPr>
        <w:pStyle w:val="Recommendation"/>
      </w:pPr>
      <w:r w:rsidRPr="00EC2566">
        <w:t>T</w:t>
      </w:r>
      <w:r w:rsidR="00180D02">
        <w:t>hat t</w:t>
      </w:r>
      <w:r w:rsidRPr="00EC2566">
        <w:t xml:space="preserve">he </w:t>
      </w:r>
      <w:r w:rsidR="00340B15">
        <w:t>Federal</w:t>
      </w:r>
      <w:r w:rsidRPr="00EC2566" w:rsidR="00340B15">
        <w:t xml:space="preserve"> </w:t>
      </w:r>
      <w:r w:rsidRPr="00EC2566">
        <w:t>Government should invest in and deliver in co-designed training and digital education programs, to build the digital capacity of people with disability, including older Australians and children with disability.</w:t>
      </w:r>
    </w:p>
    <w:p w:rsidR="00EC17FB" w:rsidP="00E763F3" w:rsidRDefault="000A2176" w14:paraId="16AF1A21" w14:textId="4CEB7EB6">
      <w:pPr>
        <w:pStyle w:val="Heading2"/>
        <w:tabs>
          <w:tab w:val="left" w:pos="3375"/>
        </w:tabs>
        <w:rPr>
          <w:lang w:eastAsia="en-US"/>
        </w:rPr>
      </w:pPr>
      <w:r w:rsidRPr="000A2176">
        <w:rPr>
          <w:lang w:eastAsia="en-US"/>
        </w:rPr>
        <w:t>Audio description</w:t>
      </w:r>
      <w:r w:rsidR="007B1704">
        <w:rPr>
          <w:lang w:eastAsia="en-US"/>
        </w:rPr>
        <w:tab/>
      </w:r>
    </w:p>
    <w:p w:rsidR="00B24FDC" w:rsidP="00E763F3" w:rsidRDefault="00AD3931" w14:paraId="013E1B57" w14:textId="26564304">
      <w:pPr>
        <w:rPr>
          <w:lang w:eastAsia="en-US"/>
        </w:rPr>
      </w:pPr>
      <w:r>
        <w:rPr>
          <w:lang w:eastAsia="en-US"/>
        </w:rPr>
        <w:t xml:space="preserve">It is essential that </w:t>
      </w:r>
      <w:r w:rsidR="006844D8">
        <w:rPr>
          <w:lang w:eastAsia="en-US"/>
        </w:rPr>
        <w:t xml:space="preserve">people who are blind or have </w:t>
      </w:r>
      <w:r w:rsidR="007C088A">
        <w:rPr>
          <w:lang w:eastAsia="en-US"/>
        </w:rPr>
        <w:t>low vision</w:t>
      </w:r>
      <w:r w:rsidR="006844D8">
        <w:rPr>
          <w:lang w:eastAsia="en-US"/>
        </w:rPr>
        <w:t xml:space="preserve"> are enabled to enjoy television through audio description. </w:t>
      </w:r>
      <w:r w:rsidR="00E30E12">
        <w:rPr>
          <w:lang w:eastAsia="en-US"/>
        </w:rPr>
        <w:t xml:space="preserve">Existing funding for audio description to channels such as SBS and the ABC </w:t>
      </w:r>
      <w:r w:rsidR="003A403D">
        <w:rPr>
          <w:lang w:eastAsia="en-US"/>
        </w:rPr>
        <w:t>allows approximately</w:t>
      </w:r>
      <w:r w:rsidR="00E30E12">
        <w:rPr>
          <w:lang w:eastAsia="en-US"/>
        </w:rPr>
        <w:t xml:space="preserve"> 14 hours per week</w:t>
      </w:r>
      <w:r w:rsidR="00AF6B11">
        <w:rPr>
          <w:lang w:eastAsia="en-US"/>
        </w:rPr>
        <w:t xml:space="preserve"> </w:t>
      </w:r>
      <w:r w:rsidR="003A403D">
        <w:rPr>
          <w:lang w:eastAsia="en-US"/>
        </w:rPr>
        <w:t>of audio description content. This requirement is not currently extended to free</w:t>
      </w:r>
      <w:r w:rsidR="00F41198">
        <w:rPr>
          <w:lang w:eastAsia="en-US"/>
        </w:rPr>
        <w:t>-</w:t>
      </w:r>
      <w:r w:rsidR="003A403D">
        <w:rPr>
          <w:lang w:eastAsia="en-US"/>
        </w:rPr>
        <w:t>to</w:t>
      </w:r>
      <w:r w:rsidR="00F41198">
        <w:rPr>
          <w:lang w:eastAsia="en-US"/>
        </w:rPr>
        <w:t>-</w:t>
      </w:r>
      <w:r w:rsidR="003A403D">
        <w:rPr>
          <w:lang w:eastAsia="en-US"/>
        </w:rPr>
        <w:t xml:space="preserve">air commercial television, limiting the </w:t>
      </w:r>
      <w:r w:rsidR="005473E6">
        <w:rPr>
          <w:lang w:eastAsia="en-US"/>
        </w:rPr>
        <w:t xml:space="preserve">ability of </w:t>
      </w:r>
      <w:r w:rsidR="00B6206E">
        <w:rPr>
          <w:lang w:eastAsia="en-US"/>
        </w:rPr>
        <w:t xml:space="preserve">people who are </w:t>
      </w:r>
      <w:r w:rsidR="005473E6">
        <w:rPr>
          <w:lang w:eastAsia="en-US"/>
        </w:rPr>
        <w:t xml:space="preserve">blind or </w:t>
      </w:r>
      <w:r w:rsidR="00B6206E">
        <w:rPr>
          <w:lang w:eastAsia="en-US"/>
        </w:rPr>
        <w:t xml:space="preserve">have low </w:t>
      </w:r>
      <w:r w:rsidR="005473E6">
        <w:rPr>
          <w:lang w:eastAsia="en-US"/>
        </w:rPr>
        <w:t>vision to have equitable access to television in Australia.</w:t>
      </w:r>
      <w:r w:rsidR="005473E6">
        <w:rPr>
          <w:rStyle w:val="FootnoteReference"/>
          <w:lang w:eastAsia="en-US"/>
        </w:rPr>
        <w:footnoteReference w:id="137"/>
      </w:r>
      <w:r w:rsidR="007D6750">
        <w:rPr>
          <w:lang w:eastAsia="en-US"/>
        </w:rPr>
        <w:t xml:space="preserve"> </w:t>
      </w:r>
      <w:r w:rsidR="00B24FDC">
        <w:rPr>
          <w:lang w:eastAsia="en-US"/>
        </w:rPr>
        <w:t>This</w:t>
      </w:r>
      <w:r w:rsidR="001F0FF1">
        <w:rPr>
          <w:lang w:eastAsia="en-US"/>
        </w:rPr>
        <w:t xml:space="preserve"> status quo</w:t>
      </w:r>
      <w:r w:rsidR="00B24FDC">
        <w:rPr>
          <w:lang w:eastAsia="en-US"/>
        </w:rPr>
        <w:t xml:space="preserve"> caused the U</w:t>
      </w:r>
      <w:r w:rsidR="001F0FF1">
        <w:rPr>
          <w:lang w:eastAsia="en-US"/>
        </w:rPr>
        <w:t xml:space="preserve">nited Nations Committee on the </w:t>
      </w:r>
      <w:r w:rsidR="00A805EE">
        <w:rPr>
          <w:lang w:eastAsia="en-US"/>
        </w:rPr>
        <w:t>R</w:t>
      </w:r>
      <w:r w:rsidR="00B24FDC">
        <w:rPr>
          <w:lang w:eastAsia="en-US"/>
        </w:rPr>
        <w:t xml:space="preserve">ights of </w:t>
      </w:r>
      <w:r w:rsidR="00A805EE">
        <w:rPr>
          <w:lang w:eastAsia="en-US"/>
        </w:rPr>
        <w:t>P</w:t>
      </w:r>
      <w:r w:rsidR="00B24FDC">
        <w:rPr>
          <w:lang w:eastAsia="en-US"/>
        </w:rPr>
        <w:t xml:space="preserve">ersons with </w:t>
      </w:r>
      <w:r w:rsidR="00A805EE">
        <w:rPr>
          <w:lang w:eastAsia="en-US"/>
        </w:rPr>
        <w:t>D</w:t>
      </w:r>
      <w:r w:rsidR="00B24FDC">
        <w:rPr>
          <w:lang w:eastAsia="en-US"/>
        </w:rPr>
        <w:t xml:space="preserve">isability to find Australia in breach of its human </w:t>
      </w:r>
      <w:r w:rsidR="00B24FDC">
        <w:rPr>
          <w:lang w:eastAsia="en-US"/>
        </w:rPr>
        <w:t xml:space="preserve">rights </w:t>
      </w:r>
      <w:r w:rsidRPr="001B3744" w:rsidR="001B3744">
        <w:rPr>
          <w:lang w:eastAsia="en-US"/>
        </w:rPr>
        <w:t>obligations under the </w:t>
      </w:r>
      <w:r w:rsidRPr="001B3744" w:rsidR="001B3744">
        <w:rPr>
          <w:i/>
          <w:iCs/>
          <w:lang w:eastAsia="en-US"/>
        </w:rPr>
        <w:t>Convention on the Rights of Persons with Disabilities</w:t>
      </w:r>
      <w:r w:rsidR="001B3744">
        <w:rPr>
          <w:i/>
          <w:iCs/>
          <w:lang w:eastAsia="en-US"/>
        </w:rPr>
        <w:t xml:space="preserve"> </w:t>
      </w:r>
      <w:r w:rsidR="001B3744">
        <w:rPr>
          <w:lang w:eastAsia="en-US"/>
        </w:rPr>
        <w:t xml:space="preserve"> ‘</w:t>
      </w:r>
      <w:r w:rsidRPr="0052262E" w:rsidR="0052262E">
        <w:rPr>
          <w:lang w:eastAsia="en-US"/>
        </w:rPr>
        <w:t>as audio description is not consistently available on Australian television and there is no clear Government plan to ensure it is</w:t>
      </w:r>
      <w:r w:rsidR="0052262E">
        <w:rPr>
          <w:lang w:eastAsia="en-US"/>
        </w:rPr>
        <w:t>’.</w:t>
      </w:r>
      <w:r w:rsidR="0052262E">
        <w:rPr>
          <w:rStyle w:val="FootnoteReference"/>
          <w:lang w:eastAsia="en-US"/>
        </w:rPr>
        <w:footnoteReference w:id="138"/>
      </w:r>
    </w:p>
    <w:p w:rsidR="003A403D" w:rsidP="00E763F3" w:rsidRDefault="007D6750" w14:paraId="70E73AD1" w14:textId="30927B35">
      <w:pPr>
        <w:rPr>
          <w:lang w:eastAsia="en-US"/>
        </w:rPr>
      </w:pPr>
      <w:r>
        <w:rPr>
          <w:lang w:eastAsia="en-US"/>
        </w:rPr>
        <w:t xml:space="preserve">In accordance with our recommendation in ACCAN’s 2023-2024 pre-budget submission, </w:t>
      </w:r>
      <w:r w:rsidRPr="00E82D5E" w:rsidR="00E82D5E">
        <w:rPr>
          <w:lang w:eastAsia="en-US"/>
        </w:rPr>
        <w:t xml:space="preserve">ACCAN urges the </w:t>
      </w:r>
      <w:r w:rsidR="00340B15">
        <w:rPr>
          <w:lang w:eastAsia="en-US"/>
        </w:rPr>
        <w:t>Federal</w:t>
      </w:r>
      <w:r w:rsidRPr="00E82D5E" w:rsidR="00340B15">
        <w:rPr>
          <w:lang w:eastAsia="en-US"/>
        </w:rPr>
        <w:t xml:space="preserve"> </w:t>
      </w:r>
      <w:r w:rsidRPr="00E82D5E" w:rsidR="00E82D5E">
        <w:rPr>
          <w:lang w:eastAsia="en-US"/>
        </w:rPr>
        <w:t xml:space="preserve">Government to amend the </w:t>
      </w:r>
      <w:r w:rsidRPr="00EA23E3" w:rsidR="00E82D5E">
        <w:rPr>
          <w:i/>
          <w:iCs/>
          <w:lang w:eastAsia="en-US"/>
        </w:rPr>
        <w:t>Broadcasting Services Act 1992</w:t>
      </w:r>
      <w:r w:rsidRPr="00E82D5E" w:rsidR="00E82D5E">
        <w:rPr>
          <w:lang w:eastAsia="en-US"/>
        </w:rPr>
        <w:t xml:space="preserve"> (Cth) to mandate that all Australian television broadcasters provide a minimum of 14 hours per week of audio described content on each of their channels.</w:t>
      </w:r>
      <w:r w:rsidR="00E82D5E">
        <w:rPr>
          <w:rStyle w:val="FootnoteReference"/>
          <w:lang w:eastAsia="en-US"/>
        </w:rPr>
        <w:footnoteReference w:id="139"/>
      </w:r>
      <w:r w:rsidR="00252E4B">
        <w:rPr>
          <w:lang w:eastAsia="en-US"/>
        </w:rPr>
        <w:t xml:space="preserve"> </w:t>
      </w:r>
      <w:r w:rsidR="00B24FDC">
        <w:rPr>
          <w:lang w:eastAsia="en-US"/>
        </w:rPr>
        <w:t xml:space="preserve">ACCAN urges that the government commit annual funding to audio description for free-to-air commercial television. </w:t>
      </w:r>
    </w:p>
    <w:p w:rsidR="008D3658" w:rsidP="00E763F3" w:rsidRDefault="00E82D5E" w14:paraId="07B3794C" w14:textId="7E8D7E83">
      <w:pPr>
        <w:pStyle w:val="Recommendation"/>
      </w:pPr>
      <w:r w:rsidRPr="00E82D5E">
        <w:t xml:space="preserve">The </w:t>
      </w:r>
      <w:r w:rsidR="00340B15">
        <w:t>Federal</w:t>
      </w:r>
      <w:r w:rsidRPr="00E82D5E" w:rsidR="00340B15">
        <w:t xml:space="preserve"> </w:t>
      </w:r>
      <w:r w:rsidRPr="00E82D5E">
        <w:t>Government commits to annual funding of a minimum of 14 hours of audio-described content on all free-to-air commercial television channels, including SBS and</w:t>
      </w:r>
      <w:r w:rsidR="00174F52">
        <w:t xml:space="preserve"> the</w:t>
      </w:r>
      <w:r w:rsidRPr="00E82D5E">
        <w:t xml:space="preserve"> ABC.</w:t>
      </w:r>
    </w:p>
    <w:p w:rsidR="008D3658" w:rsidP="00E763F3" w:rsidRDefault="00F93FFC" w14:paraId="57F28B40" w14:textId="7E9517AD">
      <w:pPr>
        <w:pStyle w:val="FundingAcknowledgement"/>
      </w:pPr>
      <w: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r w:rsidR="00242DB8">
        <w:t xml:space="preserve"> </w:t>
      </w:r>
      <w:r>
        <w:t xml:space="preserve">ACCAN is committed to reconciliation that acknowledges Australia’s past and values the unique culture and heritage of Aboriginal and Torres Strait Islander peoples.  </w:t>
      </w:r>
      <w:hyperlink w:history="1" r:id="rId18">
        <w:r>
          <w:rPr>
            <w:rStyle w:val="Hyperlink"/>
          </w:rPr>
          <w:t>Read our RAP</w:t>
        </w:r>
      </w:hyperlink>
    </w:p>
    <w:sectPr w:rsidR="008D3658">
      <w:headerReference w:type="default" r:id="rId19"/>
      <w:footerReference w:type="default" r:id="rId20"/>
      <w:footerReference w:type="first" r:id="rId21"/>
      <w:pgSz w:w="11906" w:h="16838" w:orient="portrait"/>
      <w:pgMar w:top="1418" w:right="1440" w:bottom="709" w:left="1440" w:header="45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E29" w:rsidRDefault="008A5E29" w14:paraId="0B833738" w14:textId="77777777">
      <w:pPr>
        <w:spacing w:after="0" w:line="240" w:lineRule="auto"/>
      </w:pPr>
      <w:r>
        <w:separator/>
      </w:r>
    </w:p>
    <w:p w:rsidR="008A5E29" w:rsidRDefault="008A5E29" w14:paraId="43EA07A8" w14:textId="77777777"/>
  </w:endnote>
  <w:endnote w:type="continuationSeparator" w:id="0">
    <w:p w:rsidR="008A5E29" w:rsidRDefault="008A5E29" w14:paraId="71A6D855" w14:textId="77777777">
      <w:pPr>
        <w:spacing w:after="0" w:line="240" w:lineRule="auto"/>
      </w:pPr>
      <w:r>
        <w:continuationSeparator/>
      </w:r>
    </w:p>
    <w:p w:rsidR="008A5E29" w:rsidRDefault="008A5E29" w14:paraId="28C616BD" w14:textId="77777777"/>
  </w:endnote>
  <w:endnote w:type="continuationNotice" w:id="1">
    <w:p w:rsidR="008A5E29" w:rsidP="0049518C" w:rsidRDefault="008A5E29" w14:paraId="3CEFF5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FC" w:rsidRDefault="00F93FFC" w14:paraId="7DEDD2FC" w14:textId="77777777">
    <w:pPr>
      <w:jc w:val="right"/>
    </w:pPr>
    <w:r>
      <w:rPr>
        <w:rStyle w:val="Letterhead1Char"/>
      </w:rPr>
      <w:fldChar w:fldCharType="begin"/>
    </w:r>
    <w:r>
      <w:rPr>
        <w:rStyle w:val="Letterhead1Char"/>
      </w:rPr>
      <w:instrText xml:space="preserve"> PAGE </w:instrText>
    </w:r>
    <w:r>
      <w:rPr>
        <w:rStyle w:val="Letterhead1Char"/>
      </w:rPr>
      <w:fldChar w:fldCharType="separate"/>
    </w:r>
    <w:r>
      <w:rPr>
        <w:rStyle w:val="Letterhead1Char"/>
      </w:rPr>
      <w:t>1</w:t>
    </w:r>
    <w:r>
      <w:rPr>
        <w:rStyle w:val="Letterhead1Char"/>
      </w:rPr>
      <w:fldChar w:fldCharType="end"/>
    </w:r>
  </w:p>
  <w:p w:rsidR="00F93FFC" w:rsidRDefault="00F93FFC" w14:paraId="163DDD7E" w14:textId="77777777">
    <w:pP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FC" w:rsidRDefault="00F93FFC" w14:paraId="731C9923" w14:textId="77777777">
    <w:pPr>
      <w:pStyle w:val="Letterhead1"/>
    </w:pPr>
    <w:r>
      <w:fldChar w:fldCharType="begin"/>
    </w:r>
    <w:r>
      <w:instrText xml:space="preserve"> PAGE </w:instrText>
    </w:r>
    <w:r>
      <w:fldChar w:fldCharType="separate"/>
    </w:r>
    <w:r>
      <w:t>2</w:t>
    </w:r>
    <w:r>
      <w:fldChar w:fldCharType="end"/>
    </w:r>
  </w:p>
  <w:p w:rsidR="00F93FFC" w:rsidRDefault="00F93FFC" w14:paraId="448CDD5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E29" w:rsidRDefault="008A5E29" w14:paraId="28020F43" w14:textId="77777777">
      <w:pPr>
        <w:spacing w:after="0" w:line="240" w:lineRule="auto"/>
      </w:pPr>
      <w:r>
        <w:rPr>
          <w:color w:val="000000"/>
        </w:rPr>
        <w:separator/>
      </w:r>
    </w:p>
    <w:p w:rsidR="008A5E29" w:rsidRDefault="008A5E29" w14:paraId="72103A2E" w14:textId="77777777"/>
  </w:footnote>
  <w:footnote w:type="continuationSeparator" w:id="0">
    <w:p w:rsidR="008A5E29" w:rsidRDefault="008A5E29" w14:paraId="31E5E261" w14:textId="77777777">
      <w:pPr>
        <w:spacing w:after="0" w:line="240" w:lineRule="auto"/>
      </w:pPr>
      <w:r>
        <w:continuationSeparator/>
      </w:r>
    </w:p>
    <w:p w:rsidR="008A5E29" w:rsidRDefault="008A5E29" w14:paraId="5B2A80F9" w14:textId="77777777"/>
  </w:footnote>
  <w:footnote w:type="continuationNotice" w:id="1">
    <w:p w:rsidR="008A5E29" w:rsidP="0049518C" w:rsidRDefault="008A5E29" w14:paraId="64C207E4" w14:textId="77777777"/>
  </w:footnote>
  <w:footnote w:id="2">
    <w:p w:rsidRPr="009810C6" w:rsidR="00A16BC5" w:rsidRDefault="00A16BC5" w14:paraId="7313510E" w14:textId="15A9C489">
      <w:pPr>
        <w:pStyle w:val="FootnoteText"/>
        <w:rPr>
          <w:sz w:val="16"/>
          <w:szCs w:val="16"/>
        </w:rPr>
      </w:pPr>
      <w:r w:rsidRPr="009810C6">
        <w:rPr>
          <w:rStyle w:val="FootnoteReference"/>
          <w:sz w:val="16"/>
          <w:szCs w:val="16"/>
        </w:rPr>
        <w:footnoteRef/>
      </w:r>
      <w:r w:rsidRPr="009810C6">
        <w:rPr>
          <w:sz w:val="16"/>
          <w:szCs w:val="16"/>
        </w:rPr>
        <w:t xml:space="preserve"> </w:t>
      </w:r>
      <w:r w:rsidRPr="009810C6" w:rsidR="00E56392">
        <w:rPr>
          <w:sz w:val="16"/>
          <w:szCs w:val="16"/>
        </w:rPr>
        <w:t xml:space="preserve">ACCAN. 2023. </w:t>
      </w:r>
      <w:r w:rsidRPr="00E42D7C" w:rsidR="00E56392">
        <w:rPr>
          <w:i/>
          <w:iCs/>
          <w:sz w:val="16"/>
          <w:szCs w:val="16"/>
        </w:rPr>
        <w:t xml:space="preserve">Policy Priorities </w:t>
      </w:r>
      <w:r w:rsidRPr="00E42D7C" w:rsidR="002D6284">
        <w:rPr>
          <w:i/>
          <w:iCs/>
          <w:sz w:val="16"/>
          <w:szCs w:val="16"/>
        </w:rPr>
        <w:t>2023-2024</w:t>
      </w:r>
      <w:r w:rsidRPr="009810C6" w:rsidR="002D6284">
        <w:rPr>
          <w:sz w:val="16"/>
          <w:szCs w:val="16"/>
        </w:rPr>
        <w:t xml:space="preserve">. </w:t>
      </w:r>
      <w:r w:rsidRPr="009810C6" w:rsidR="002540F6">
        <w:rPr>
          <w:sz w:val="16"/>
          <w:szCs w:val="16"/>
        </w:rPr>
        <w:t xml:space="preserve">Available at: </w:t>
      </w:r>
      <w:hyperlink w:history="1" r:id="rId1">
        <w:r w:rsidRPr="009810C6" w:rsidR="00784920">
          <w:rPr>
            <w:rStyle w:val="Hyperlink"/>
            <w:sz w:val="16"/>
            <w:szCs w:val="16"/>
          </w:rPr>
          <w:t>https://accan.org.au/accans-work/policy-positions/2171-policy-priorities-2023-24</w:t>
        </w:r>
      </w:hyperlink>
      <w:r w:rsidRPr="009810C6" w:rsidR="00784920">
        <w:rPr>
          <w:sz w:val="16"/>
          <w:szCs w:val="16"/>
        </w:rPr>
        <w:t xml:space="preserve">. </w:t>
      </w:r>
    </w:p>
  </w:footnote>
  <w:footnote w:id="3">
    <w:p w:rsidRPr="00546FE8" w:rsidR="00F34434" w:rsidP="00F34434" w:rsidRDefault="00F34434" w14:paraId="62783F3A" w14:textId="77777777">
      <w:pPr>
        <w:pStyle w:val="FootnoteText"/>
        <w:rPr>
          <w:sz w:val="16"/>
          <w:szCs w:val="16"/>
        </w:rPr>
      </w:pPr>
      <w:r w:rsidRPr="00546FE8">
        <w:rPr>
          <w:rStyle w:val="FootnoteReference"/>
          <w:sz w:val="16"/>
          <w:szCs w:val="16"/>
        </w:rPr>
        <w:footnoteRef/>
      </w:r>
      <w:r w:rsidRPr="00546FE8">
        <w:rPr>
          <w:sz w:val="16"/>
          <w:szCs w:val="16"/>
        </w:rPr>
        <w:t xml:space="preserve"> DITRDCA. 2023. </w:t>
      </w:r>
      <w:r w:rsidRPr="00E42D7C">
        <w:rPr>
          <w:i/>
          <w:iCs/>
          <w:sz w:val="16"/>
          <w:szCs w:val="16"/>
        </w:rPr>
        <w:t>Australian households and the affordability of telecommunications</w:t>
      </w:r>
      <w:r w:rsidRPr="00546FE8">
        <w:rPr>
          <w:sz w:val="16"/>
          <w:szCs w:val="16"/>
        </w:rPr>
        <w:t xml:space="preserve">. p.5. Available at: </w:t>
      </w:r>
      <w:hyperlink w:history="1" r:id="rId2">
        <w:r w:rsidRPr="00546FE8">
          <w:rPr>
            <w:rStyle w:val="Hyperlink"/>
            <w:sz w:val="16"/>
            <w:szCs w:val="16"/>
          </w:rPr>
          <w:t>https://www.infrastructure.gov.au/sites/default/files/documents/australian-households_-affordability-telecommunications-evidence-household-income-labour-dynamics-australia-hilda-data-working-paper-november2023.pdf</w:t>
        </w:r>
      </w:hyperlink>
      <w:r w:rsidRPr="00546FE8">
        <w:rPr>
          <w:sz w:val="16"/>
          <w:szCs w:val="16"/>
        </w:rPr>
        <w:t xml:space="preserve">. </w:t>
      </w:r>
    </w:p>
  </w:footnote>
  <w:footnote w:id="4">
    <w:p w:rsidR="00F34434" w:rsidP="00F34434" w:rsidRDefault="00F34434" w14:paraId="3A1E8A9C" w14:textId="77777777">
      <w:pPr>
        <w:pStyle w:val="FootnoteText"/>
      </w:pPr>
      <w:r w:rsidRPr="00546FE8">
        <w:rPr>
          <w:rStyle w:val="FootnoteReference"/>
          <w:sz w:val="16"/>
          <w:szCs w:val="16"/>
        </w:rPr>
        <w:footnoteRef/>
      </w:r>
      <w:r w:rsidRPr="00546FE8">
        <w:rPr>
          <w:sz w:val="16"/>
          <w:szCs w:val="16"/>
        </w:rPr>
        <w:t xml:space="preserve"> ACCC. 2023. </w:t>
      </w:r>
      <w:r w:rsidRPr="0066575A">
        <w:rPr>
          <w:i/>
          <w:iCs/>
          <w:sz w:val="16"/>
          <w:szCs w:val="16"/>
        </w:rPr>
        <w:t>Communications Market Report 2022-2023</w:t>
      </w:r>
      <w:r w:rsidRPr="00546FE8">
        <w:rPr>
          <w:sz w:val="16"/>
          <w:szCs w:val="16"/>
        </w:rPr>
        <w:t xml:space="preserve">. viii. Available at: </w:t>
      </w:r>
      <w:hyperlink w:history="1" r:id="rId3">
        <w:r w:rsidRPr="00546FE8">
          <w:rPr>
            <w:rStyle w:val="Hyperlink"/>
            <w:sz w:val="16"/>
            <w:szCs w:val="16"/>
          </w:rPr>
          <w:t>https://www.accc.gov.au/about-us/publications/serial-publications/accc-communications-market-report/accc-communications-market-report-2022-23</w:t>
        </w:r>
      </w:hyperlink>
      <w:r w:rsidRPr="00546FE8">
        <w:rPr>
          <w:sz w:val="16"/>
          <w:szCs w:val="16"/>
        </w:rPr>
        <w:t xml:space="preserve">. </w:t>
      </w:r>
    </w:p>
  </w:footnote>
  <w:footnote w:id="5">
    <w:p w:rsidRPr="00021EE4" w:rsidR="009C29B9" w:rsidRDefault="009C29B9" w14:paraId="51DC7F89" w14:textId="4557E257">
      <w:pPr>
        <w:pStyle w:val="FootnoteText"/>
        <w:rPr>
          <w:sz w:val="16"/>
          <w:szCs w:val="16"/>
        </w:rPr>
      </w:pPr>
      <w:r w:rsidRPr="00021EE4">
        <w:rPr>
          <w:rStyle w:val="FootnoteReference"/>
          <w:sz w:val="16"/>
          <w:szCs w:val="16"/>
        </w:rPr>
        <w:footnoteRef/>
      </w:r>
      <w:r w:rsidRPr="00021EE4">
        <w:rPr>
          <w:sz w:val="16"/>
          <w:szCs w:val="16"/>
        </w:rPr>
        <w:t xml:space="preserve"> ACCAN. 2023. </w:t>
      </w:r>
      <w:r w:rsidRPr="0066575A">
        <w:rPr>
          <w:i/>
          <w:iCs/>
          <w:sz w:val="16"/>
          <w:szCs w:val="16"/>
        </w:rPr>
        <w:t>ACCAN 2023 Affordability Snapshot</w:t>
      </w:r>
      <w:r w:rsidRPr="00021EE4">
        <w:rPr>
          <w:sz w:val="16"/>
          <w:szCs w:val="16"/>
        </w:rPr>
        <w:t xml:space="preserve">. p.1. Available at: </w:t>
      </w:r>
      <w:hyperlink w:history="1" r:id="rId4">
        <w:r w:rsidRPr="00021EE4" w:rsidR="0081768A">
          <w:rPr>
            <w:rStyle w:val="Hyperlink"/>
            <w:sz w:val="16"/>
            <w:szCs w:val="16"/>
          </w:rPr>
          <w:t>https://accan.org.au/accans-work/research/2251-affordability-snapshot-2023</w:t>
        </w:r>
      </w:hyperlink>
      <w:r w:rsidRPr="00021EE4" w:rsidR="0081768A">
        <w:rPr>
          <w:sz w:val="16"/>
          <w:szCs w:val="16"/>
        </w:rPr>
        <w:t xml:space="preserve">. </w:t>
      </w:r>
    </w:p>
  </w:footnote>
  <w:footnote w:id="6">
    <w:p w:rsidRPr="00A363E3" w:rsidR="00A363E3" w:rsidRDefault="00A363E3" w14:paraId="6D21E8C1" w14:textId="6404D1AE">
      <w:pPr>
        <w:pStyle w:val="FootnoteText"/>
        <w:rPr>
          <w:sz w:val="16"/>
          <w:szCs w:val="16"/>
        </w:rPr>
      </w:pPr>
      <w:r w:rsidRPr="00A363E3">
        <w:rPr>
          <w:rStyle w:val="FootnoteReference"/>
          <w:sz w:val="16"/>
          <w:szCs w:val="16"/>
        </w:rPr>
        <w:footnoteRef/>
      </w:r>
      <w:r w:rsidRPr="00A363E3">
        <w:rPr>
          <w:sz w:val="16"/>
          <w:szCs w:val="16"/>
        </w:rPr>
        <w:t xml:space="preserve"> Ibid p.2. </w:t>
      </w:r>
    </w:p>
  </w:footnote>
  <w:footnote w:id="7">
    <w:p w:rsidRPr="00A363E3" w:rsidR="00A363E3" w:rsidRDefault="00A363E3" w14:paraId="48360B33" w14:textId="18F2ED0E">
      <w:pPr>
        <w:pStyle w:val="FootnoteText"/>
        <w:rPr>
          <w:sz w:val="16"/>
          <w:szCs w:val="16"/>
        </w:rPr>
      </w:pPr>
      <w:r w:rsidRPr="00A363E3">
        <w:rPr>
          <w:rStyle w:val="FootnoteReference"/>
          <w:sz w:val="16"/>
          <w:szCs w:val="16"/>
        </w:rPr>
        <w:footnoteRef/>
      </w:r>
      <w:r w:rsidRPr="00A363E3">
        <w:rPr>
          <w:sz w:val="16"/>
          <w:szCs w:val="16"/>
        </w:rPr>
        <w:t xml:space="preserve"> Ibid p.2.</w:t>
      </w:r>
    </w:p>
  </w:footnote>
  <w:footnote w:id="8">
    <w:p w:rsidRPr="00A363E3" w:rsidR="00A363E3" w:rsidRDefault="00A363E3" w14:paraId="65D5A798" w14:textId="449943D1">
      <w:pPr>
        <w:pStyle w:val="FootnoteText"/>
        <w:rPr>
          <w:sz w:val="16"/>
          <w:szCs w:val="16"/>
        </w:rPr>
      </w:pPr>
      <w:r w:rsidRPr="00A363E3">
        <w:rPr>
          <w:rStyle w:val="FootnoteReference"/>
          <w:sz w:val="16"/>
          <w:szCs w:val="16"/>
        </w:rPr>
        <w:footnoteRef/>
      </w:r>
      <w:r w:rsidRPr="00A363E3">
        <w:rPr>
          <w:sz w:val="16"/>
          <w:szCs w:val="16"/>
        </w:rPr>
        <w:t xml:space="preserve"> Ibid p.2. </w:t>
      </w:r>
    </w:p>
  </w:footnote>
  <w:footnote w:id="9">
    <w:p w:rsidR="00A363E3" w:rsidRDefault="00A363E3" w14:paraId="061A0543" w14:textId="68D40C1E">
      <w:pPr>
        <w:pStyle w:val="FootnoteText"/>
      </w:pPr>
      <w:r w:rsidRPr="00A363E3">
        <w:rPr>
          <w:rStyle w:val="FootnoteReference"/>
          <w:sz w:val="16"/>
          <w:szCs w:val="16"/>
        </w:rPr>
        <w:footnoteRef/>
      </w:r>
      <w:r w:rsidRPr="00A363E3">
        <w:rPr>
          <w:sz w:val="16"/>
          <w:szCs w:val="16"/>
        </w:rPr>
        <w:t xml:space="preserve"> Ibid p.2.</w:t>
      </w:r>
    </w:p>
  </w:footnote>
  <w:footnote w:id="10">
    <w:p w:rsidRPr="00021EE4" w:rsidR="00537888" w:rsidRDefault="00537888" w14:paraId="4B9EE7ED" w14:textId="05B7A33F">
      <w:pPr>
        <w:pStyle w:val="FootnoteText"/>
        <w:rPr>
          <w:sz w:val="16"/>
          <w:szCs w:val="16"/>
        </w:rPr>
      </w:pPr>
      <w:r w:rsidRPr="00021EE4">
        <w:rPr>
          <w:rStyle w:val="FootnoteReference"/>
          <w:sz w:val="16"/>
          <w:szCs w:val="16"/>
        </w:rPr>
        <w:footnoteRef/>
      </w:r>
      <w:r w:rsidRPr="00021EE4">
        <w:rPr>
          <w:sz w:val="16"/>
          <w:szCs w:val="16"/>
        </w:rPr>
        <w:t xml:space="preserve"> Australia Digital Inclusion Index. 2023. </w:t>
      </w:r>
      <w:r w:rsidRPr="0066575A" w:rsidR="00E431AE">
        <w:rPr>
          <w:i/>
          <w:iCs/>
          <w:sz w:val="16"/>
          <w:szCs w:val="16"/>
        </w:rPr>
        <w:t>Australian Digital Inclusion Index 2023</w:t>
      </w:r>
      <w:r w:rsidRPr="00021EE4" w:rsidR="00E431AE">
        <w:rPr>
          <w:sz w:val="16"/>
          <w:szCs w:val="16"/>
        </w:rPr>
        <w:t xml:space="preserve">. </w:t>
      </w:r>
      <w:r w:rsidR="00746D57">
        <w:rPr>
          <w:sz w:val="16"/>
          <w:szCs w:val="16"/>
        </w:rPr>
        <w:t>p</w:t>
      </w:r>
      <w:r w:rsidR="0045736B">
        <w:rPr>
          <w:sz w:val="16"/>
          <w:szCs w:val="16"/>
        </w:rPr>
        <w:t>.</w:t>
      </w:r>
      <w:r w:rsidRPr="00021EE4" w:rsidR="00E431AE">
        <w:rPr>
          <w:sz w:val="16"/>
          <w:szCs w:val="16"/>
        </w:rPr>
        <w:t xml:space="preserve">19. 2023. Available at: </w:t>
      </w:r>
      <w:hyperlink w:history="1" r:id="rId5">
        <w:r w:rsidRPr="00021EE4" w:rsidR="00251E0B">
          <w:rPr>
            <w:rStyle w:val="Hyperlink"/>
            <w:sz w:val="16"/>
            <w:szCs w:val="16"/>
          </w:rPr>
          <w:t>https://www.digitalinclusionindex.org.au/digital-inclusion-the-australian-context-in-2023/</w:t>
        </w:r>
      </w:hyperlink>
      <w:r w:rsidRPr="00021EE4" w:rsidR="00251E0B">
        <w:rPr>
          <w:sz w:val="16"/>
          <w:szCs w:val="16"/>
        </w:rPr>
        <w:t xml:space="preserve">. </w:t>
      </w:r>
    </w:p>
  </w:footnote>
  <w:footnote w:id="11">
    <w:p w:rsidRPr="00021EE4" w:rsidR="0000705E" w:rsidRDefault="0000705E" w14:paraId="276DEDD0" w14:textId="362A0973">
      <w:pPr>
        <w:pStyle w:val="FootnoteText"/>
        <w:rPr>
          <w:sz w:val="16"/>
          <w:szCs w:val="16"/>
        </w:rPr>
      </w:pPr>
      <w:r w:rsidRPr="00021EE4">
        <w:rPr>
          <w:rStyle w:val="FootnoteReference"/>
          <w:sz w:val="16"/>
          <w:szCs w:val="16"/>
        </w:rPr>
        <w:footnoteRef/>
      </w:r>
      <w:r w:rsidRPr="00021EE4">
        <w:rPr>
          <w:sz w:val="16"/>
          <w:szCs w:val="16"/>
        </w:rPr>
        <w:t xml:space="preserve"> Ibid.</w:t>
      </w:r>
    </w:p>
  </w:footnote>
  <w:footnote w:id="12">
    <w:p w:rsidRPr="00021EE4" w:rsidR="0000705E" w:rsidRDefault="0000705E" w14:paraId="4840A35F" w14:textId="4A0CF4E3">
      <w:pPr>
        <w:pStyle w:val="FootnoteText"/>
        <w:rPr>
          <w:sz w:val="16"/>
          <w:szCs w:val="16"/>
        </w:rPr>
      </w:pPr>
      <w:r w:rsidRPr="00021EE4">
        <w:rPr>
          <w:rStyle w:val="FootnoteReference"/>
          <w:sz w:val="16"/>
          <w:szCs w:val="16"/>
        </w:rPr>
        <w:footnoteRef/>
      </w:r>
      <w:r w:rsidRPr="00021EE4">
        <w:rPr>
          <w:sz w:val="16"/>
          <w:szCs w:val="16"/>
        </w:rPr>
        <w:t xml:space="preserve"> Ibid. </w:t>
      </w:r>
    </w:p>
  </w:footnote>
  <w:footnote w:id="13">
    <w:p w:rsidRPr="00021EE4" w:rsidR="00110356" w:rsidRDefault="00110356" w14:paraId="40037603" w14:textId="18FD1117">
      <w:pPr>
        <w:pStyle w:val="FootnoteText"/>
        <w:rPr>
          <w:sz w:val="16"/>
          <w:szCs w:val="16"/>
        </w:rPr>
      </w:pPr>
      <w:r w:rsidRPr="00021EE4">
        <w:rPr>
          <w:rStyle w:val="FootnoteReference"/>
          <w:sz w:val="16"/>
          <w:szCs w:val="16"/>
        </w:rPr>
        <w:footnoteRef/>
      </w:r>
      <w:r w:rsidRPr="00021EE4">
        <w:rPr>
          <w:sz w:val="16"/>
          <w:szCs w:val="16"/>
        </w:rPr>
        <w:t xml:space="preserve"> </w:t>
      </w:r>
      <w:r w:rsidRPr="00021EE4" w:rsidR="00A420AF">
        <w:rPr>
          <w:sz w:val="16"/>
          <w:szCs w:val="16"/>
        </w:rPr>
        <w:t xml:space="preserve">Australia Digital Inclusion Index. 2023. </w:t>
      </w:r>
      <w:r w:rsidRPr="0066575A" w:rsidR="00A420AF">
        <w:rPr>
          <w:i/>
          <w:iCs/>
          <w:sz w:val="16"/>
          <w:szCs w:val="16"/>
        </w:rPr>
        <w:t>Australian Digital Inclusion Index 2023</w:t>
      </w:r>
      <w:r w:rsidRPr="00021EE4" w:rsidR="00A420AF">
        <w:rPr>
          <w:sz w:val="16"/>
          <w:szCs w:val="16"/>
        </w:rPr>
        <w:t xml:space="preserve">. </w:t>
      </w:r>
      <w:r w:rsidR="00A420AF">
        <w:rPr>
          <w:sz w:val="16"/>
          <w:szCs w:val="16"/>
        </w:rPr>
        <w:t>p.</w:t>
      </w:r>
      <w:r w:rsidRPr="00021EE4" w:rsidR="00A420AF">
        <w:rPr>
          <w:sz w:val="16"/>
          <w:szCs w:val="16"/>
        </w:rPr>
        <w:t xml:space="preserve">19. 2023. Available at: </w:t>
      </w:r>
      <w:hyperlink w:history="1" r:id="rId6">
        <w:r w:rsidRPr="00021EE4" w:rsidR="00A420AF">
          <w:rPr>
            <w:rStyle w:val="Hyperlink"/>
            <w:sz w:val="16"/>
            <w:szCs w:val="16"/>
          </w:rPr>
          <w:t>https://www.digitalinclusionindex.org.au/digital-inclusion-the-australian-context-in-2023/</w:t>
        </w:r>
      </w:hyperlink>
      <w:r w:rsidRPr="00021EE4" w:rsidR="00A420AF">
        <w:rPr>
          <w:sz w:val="16"/>
          <w:szCs w:val="16"/>
        </w:rPr>
        <w:t>.</w:t>
      </w:r>
    </w:p>
  </w:footnote>
  <w:footnote w:id="14">
    <w:p w:rsidRPr="00D931AC" w:rsidR="009C6D88" w:rsidP="009C6D88" w:rsidRDefault="009C6D88" w14:paraId="04AA37A8" w14:textId="0A862110">
      <w:pPr>
        <w:pStyle w:val="FootnoteText"/>
        <w:rPr>
          <w:sz w:val="16"/>
          <w:szCs w:val="16"/>
        </w:rPr>
      </w:pPr>
      <w:r w:rsidRPr="00D931AC">
        <w:rPr>
          <w:rStyle w:val="FootnoteReference"/>
          <w:sz w:val="16"/>
          <w:szCs w:val="16"/>
        </w:rPr>
        <w:footnoteRef/>
      </w:r>
      <w:r w:rsidRPr="00D931AC">
        <w:rPr>
          <w:sz w:val="16"/>
          <w:szCs w:val="16"/>
        </w:rPr>
        <w:t xml:space="preserve"> </w:t>
      </w:r>
      <w:r w:rsidR="00A420AF">
        <w:rPr>
          <w:sz w:val="16"/>
          <w:szCs w:val="16"/>
        </w:rPr>
        <w:t>Ibid. p.20.</w:t>
      </w:r>
    </w:p>
  </w:footnote>
  <w:footnote w:id="15">
    <w:p w:rsidRPr="00D931AC" w:rsidR="009C6D88" w:rsidP="009C6D88" w:rsidRDefault="009C6D88" w14:paraId="1125E361" w14:textId="4DEAB45B">
      <w:pPr>
        <w:pStyle w:val="FootnoteText"/>
        <w:rPr>
          <w:sz w:val="16"/>
          <w:szCs w:val="16"/>
        </w:rPr>
      </w:pPr>
      <w:r w:rsidRPr="00D931AC">
        <w:rPr>
          <w:rStyle w:val="FootnoteReference"/>
          <w:sz w:val="16"/>
          <w:szCs w:val="16"/>
        </w:rPr>
        <w:footnoteRef/>
      </w:r>
      <w:r w:rsidRPr="00D931AC">
        <w:rPr>
          <w:sz w:val="16"/>
          <w:szCs w:val="16"/>
        </w:rPr>
        <w:t xml:space="preserve"> Ibid</w:t>
      </w:r>
      <w:r w:rsidRPr="00D931AC" w:rsidR="00B76F62">
        <w:rPr>
          <w:sz w:val="16"/>
          <w:szCs w:val="16"/>
        </w:rPr>
        <w:t>.</w:t>
      </w:r>
    </w:p>
  </w:footnote>
  <w:footnote w:id="16">
    <w:p w:rsidRPr="00D931AC" w:rsidR="009C6D88" w:rsidP="009C6D88" w:rsidRDefault="009C6D88" w14:paraId="7590AE51" w14:textId="4015DA9B">
      <w:pPr>
        <w:pStyle w:val="FootnoteText"/>
        <w:rPr>
          <w:sz w:val="16"/>
          <w:szCs w:val="16"/>
        </w:rPr>
      </w:pPr>
      <w:r w:rsidRPr="00D931AC">
        <w:rPr>
          <w:rStyle w:val="FootnoteReference"/>
          <w:sz w:val="16"/>
          <w:szCs w:val="16"/>
        </w:rPr>
        <w:footnoteRef/>
      </w:r>
      <w:r w:rsidRPr="00D931AC">
        <w:rPr>
          <w:sz w:val="16"/>
          <w:szCs w:val="16"/>
        </w:rPr>
        <w:t xml:space="preserve"> Ibid</w:t>
      </w:r>
      <w:r w:rsidRPr="00D931AC" w:rsidR="00B76F62">
        <w:rPr>
          <w:sz w:val="16"/>
          <w:szCs w:val="16"/>
        </w:rPr>
        <w:t>.</w:t>
      </w:r>
    </w:p>
  </w:footnote>
  <w:footnote w:id="17">
    <w:p w:rsidRPr="00D931AC" w:rsidR="00394D15" w:rsidRDefault="00394D15" w14:paraId="693D40E2" w14:textId="688B30A4">
      <w:pPr>
        <w:pStyle w:val="FootnoteText"/>
        <w:rPr>
          <w:sz w:val="16"/>
          <w:szCs w:val="16"/>
        </w:rPr>
      </w:pPr>
      <w:r w:rsidRPr="00D931AC">
        <w:rPr>
          <w:rStyle w:val="FootnoteReference"/>
          <w:sz w:val="16"/>
          <w:szCs w:val="16"/>
        </w:rPr>
        <w:footnoteRef/>
      </w:r>
      <w:r w:rsidRPr="00D931AC">
        <w:rPr>
          <w:sz w:val="16"/>
          <w:szCs w:val="16"/>
        </w:rPr>
        <w:t xml:space="preserve"> Ibid</w:t>
      </w:r>
      <w:r w:rsidRPr="00D931AC" w:rsidR="00B76F62">
        <w:rPr>
          <w:sz w:val="16"/>
          <w:szCs w:val="16"/>
        </w:rPr>
        <w:t>.</w:t>
      </w:r>
    </w:p>
  </w:footnote>
  <w:footnote w:id="18">
    <w:p w:rsidRPr="00D931AC" w:rsidR="00214CE9" w:rsidP="00214CE9" w:rsidRDefault="00214CE9" w14:paraId="24AB3A47" w14:textId="77777777">
      <w:pPr>
        <w:pStyle w:val="FootnoteText"/>
        <w:rPr>
          <w:sz w:val="16"/>
          <w:szCs w:val="16"/>
        </w:rPr>
      </w:pPr>
      <w:r w:rsidRPr="00D931AC">
        <w:rPr>
          <w:rStyle w:val="FootnoteReference"/>
          <w:sz w:val="16"/>
          <w:szCs w:val="16"/>
        </w:rPr>
        <w:footnoteRef/>
      </w:r>
      <w:r w:rsidRPr="00D931AC">
        <w:rPr>
          <w:sz w:val="16"/>
          <w:szCs w:val="16"/>
        </w:rPr>
        <w:t xml:space="preserve"> DITRDCA. 2023. </w:t>
      </w:r>
      <w:r w:rsidRPr="0066575A">
        <w:rPr>
          <w:i/>
          <w:iCs/>
          <w:sz w:val="16"/>
          <w:szCs w:val="16"/>
        </w:rPr>
        <w:t>School Student Broadband Initiative (SSBI)</w:t>
      </w:r>
      <w:r w:rsidRPr="00D931AC">
        <w:rPr>
          <w:sz w:val="16"/>
          <w:szCs w:val="16"/>
        </w:rPr>
        <w:t xml:space="preserve">. Available at:  </w:t>
      </w:r>
      <w:hyperlink w:history="1" r:id="rId7">
        <w:r w:rsidRPr="00D931AC">
          <w:rPr>
            <w:rStyle w:val="Hyperlink"/>
            <w:sz w:val="16"/>
            <w:szCs w:val="16"/>
          </w:rPr>
          <w:t>https://www.infrastructure.gov.au/media-communications-arts/internet/national-broadband-network/school-student-broadband-initiative-ssbi</w:t>
        </w:r>
      </w:hyperlink>
      <w:r w:rsidRPr="00D931AC">
        <w:rPr>
          <w:sz w:val="16"/>
          <w:szCs w:val="16"/>
        </w:rPr>
        <w:t xml:space="preserve">. </w:t>
      </w:r>
    </w:p>
  </w:footnote>
  <w:footnote w:id="19">
    <w:p w:rsidRPr="00D931AC" w:rsidR="007E602B" w:rsidRDefault="007E602B" w14:paraId="47F83532" w14:textId="487D72E1">
      <w:pPr>
        <w:pStyle w:val="FootnoteText"/>
        <w:rPr>
          <w:sz w:val="16"/>
          <w:szCs w:val="16"/>
        </w:rPr>
      </w:pPr>
      <w:r w:rsidRPr="00D931AC">
        <w:rPr>
          <w:rStyle w:val="FootnoteReference"/>
          <w:sz w:val="16"/>
          <w:szCs w:val="16"/>
        </w:rPr>
        <w:footnoteRef/>
      </w:r>
      <w:r w:rsidRPr="00D931AC">
        <w:rPr>
          <w:sz w:val="16"/>
          <w:szCs w:val="16"/>
        </w:rPr>
        <w:t xml:space="preserve"> </w:t>
      </w:r>
      <w:r w:rsidRPr="00D931AC" w:rsidR="007C5897">
        <w:rPr>
          <w:sz w:val="16"/>
          <w:szCs w:val="16"/>
        </w:rPr>
        <w:t xml:space="preserve">ACCAN. 2023. </w:t>
      </w:r>
      <w:r w:rsidRPr="0066575A" w:rsidR="007C5897">
        <w:rPr>
          <w:i/>
          <w:iCs/>
          <w:sz w:val="16"/>
          <w:szCs w:val="16"/>
        </w:rPr>
        <w:t>Pre-Budget Submission 202</w:t>
      </w:r>
      <w:r w:rsidRPr="0066575A" w:rsidR="007015CA">
        <w:rPr>
          <w:i/>
          <w:iCs/>
          <w:sz w:val="16"/>
          <w:szCs w:val="16"/>
        </w:rPr>
        <w:t>3</w:t>
      </w:r>
      <w:r w:rsidRPr="0066575A" w:rsidR="007C5897">
        <w:rPr>
          <w:i/>
          <w:iCs/>
          <w:sz w:val="16"/>
          <w:szCs w:val="16"/>
        </w:rPr>
        <w:t>-202</w:t>
      </w:r>
      <w:r w:rsidRPr="0066575A" w:rsidR="007015CA">
        <w:rPr>
          <w:i/>
          <w:iCs/>
          <w:sz w:val="16"/>
          <w:szCs w:val="16"/>
        </w:rPr>
        <w:t>4</w:t>
      </w:r>
      <w:r w:rsidRPr="00D931AC" w:rsidR="007C5897">
        <w:rPr>
          <w:sz w:val="16"/>
          <w:szCs w:val="16"/>
        </w:rPr>
        <w:t xml:space="preserve">. </w:t>
      </w:r>
      <w:r w:rsidRPr="00D931AC" w:rsidR="007015CA">
        <w:rPr>
          <w:sz w:val="16"/>
          <w:szCs w:val="16"/>
        </w:rPr>
        <w:t>p</w:t>
      </w:r>
      <w:r w:rsidRPr="00D931AC" w:rsidR="007C5897">
        <w:rPr>
          <w:sz w:val="16"/>
          <w:szCs w:val="16"/>
        </w:rPr>
        <w:t xml:space="preserve">.8. Available at: </w:t>
      </w:r>
      <w:r w:rsidRPr="00D931AC">
        <w:rPr>
          <w:sz w:val="16"/>
          <w:szCs w:val="16"/>
        </w:rPr>
        <w:t xml:space="preserve"> </w:t>
      </w:r>
      <w:hyperlink w:history="1" r:id="rId8">
        <w:r w:rsidRPr="00D931AC" w:rsidR="007015CA">
          <w:rPr>
            <w:rStyle w:val="Hyperlink"/>
            <w:sz w:val="16"/>
            <w:szCs w:val="16"/>
          </w:rPr>
          <w:t>https://accan.org.au/accans-work/submissions/2055-pre-budget-submission-2023-2024?highlight=WyJwcmUiXQ==</w:t>
        </w:r>
      </w:hyperlink>
      <w:r w:rsidRPr="00D931AC" w:rsidR="007015CA">
        <w:rPr>
          <w:sz w:val="16"/>
          <w:szCs w:val="16"/>
        </w:rPr>
        <w:t xml:space="preserve">. </w:t>
      </w:r>
    </w:p>
  </w:footnote>
  <w:footnote w:id="20">
    <w:p w:rsidRPr="00D931AC" w:rsidR="00EB3ED7" w:rsidRDefault="00EB3ED7" w14:paraId="3CD1AAED" w14:textId="2E71C243">
      <w:pPr>
        <w:pStyle w:val="FootnoteText"/>
        <w:rPr>
          <w:sz w:val="16"/>
          <w:szCs w:val="16"/>
        </w:rPr>
      </w:pPr>
      <w:r w:rsidRPr="00D931AC">
        <w:rPr>
          <w:rStyle w:val="FootnoteReference"/>
          <w:sz w:val="16"/>
          <w:szCs w:val="16"/>
        </w:rPr>
        <w:footnoteRef/>
      </w:r>
      <w:r w:rsidRPr="00D931AC">
        <w:rPr>
          <w:sz w:val="16"/>
          <w:szCs w:val="16"/>
        </w:rPr>
        <w:t xml:space="preserve"> </w:t>
      </w:r>
      <w:r w:rsidRPr="00D931AC" w:rsidR="00A957A5">
        <w:rPr>
          <w:sz w:val="16"/>
          <w:szCs w:val="16"/>
        </w:rPr>
        <w:t xml:space="preserve"> ACCAN</w:t>
      </w:r>
      <w:r w:rsidR="00D81555">
        <w:rPr>
          <w:sz w:val="16"/>
          <w:szCs w:val="16"/>
        </w:rPr>
        <w:t>.</w:t>
      </w:r>
      <w:r w:rsidRPr="00D931AC" w:rsidR="00A957A5">
        <w:rPr>
          <w:sz w:val="16"/>
          <w:szCs w:val="16"/>
        </w:rPr>
        <w:t xml:space="preserve"> </w:t>
      </w:r>
      <w:r w:rsidRPr="0066575A" w:rsidR="00A957A5">
        <w:rPr>
          <w:i/>
          <w:iCs/>
          <w:sz w:val="16"/>
          <w:szCs w:val="16"/>
        </w:rPr>
        <w:t>No Australian Left Offline</w:t>
      </w:r>
      <w:r w:rsidR="00D81555">
        <w:rPr>
          <w:sz w:val="16"/>
          <w:szCs w:val="16"/>
        </w:rPr>
        <w:t>.</w:t>
      </w:r>
      <w:r w:rsidRPr="00D931AC" w:rsidR="00A957A5">
        <w:rPr>
          <w:sz w:val="16"/>
          <w:szCs w:val="16"/>
        </w:rPr>
        <w:t xml:space="preserve"> Available at: </w:t>
      </w:r>
      <w:hyperlink w:history="1" r:id="rId9">
        <w:r w:rsidRPr="00D931AC" w:rsidR="00A957A5">
          <w:rPr>
            <w:rStyle w:val="Hyperlink"/>
            <w:sz w:val="16"/>
            <w:szCs w:val="16"/>
          </w:rPr>
          <w:t>https://accan.org.au/accans-work/no-australian-left-offline</w:t>
        </w:r>
      </w:hyperlink>
      <w:r w:rsidRPr="00D931AC" w:rsidR="00A957A5">
        <w:rPr>
          <w:sz w:val="16"/>
          <w:szCs w:val="16"/>
        </w:rPr>
        <w:t xml:space="preserve">. </w:t>
      </w:r>
    </w:p>
  </w:footnote>
  <w:footnote w:id="21">
    <w:p w:rsidR="00900952" w:rsidRDefault="00900952" w14:paraId="08EAA5F4" w14:textId="0B21385E">
      <w:pPr>
        <w:pStyle w:val="FootnoteText"/>
      </w:pPr>
      <w:r w:rsidRPr="00D931AC">
        <w:rPr>
          <w:rStyle w:val="FootnoteReference"/>
          <w:sz w:val="16"/>
          <w:szCs w:val="16"/>
        </w:rPr>
        <w:footnoteRef/>
      </w:r>
      <w:r w:rsidRPr="00D931AC">
        <w:rPr>
          <w:sz w:val="16"/>
          <w:szCs w:val="16"/>
        </w:rPr>
        <w:t xml:space="preserve"> </w:t>
      </w:r>
      <w:r w:rsidRPr="00D931AC" w:rsidR="00A957A5">
        <w:rPr>
          <w:sz w:val="16"/>
          <w:szCs w:val="16"/>
        </w:rPr>
        <w:t xml:space="preserve">ACCAN. 2022. </w:t>
      </w:r>
      <w:r w:rsidRPr="0066575A" w:rsidR="00A957A5">
        <w:rPr>
          <w:i/>
          <w:iCs/>
          <w:sz w:val="16"/>
          <w:szCs w:val="16"/>
        </w:rPr>
        <w:t>Independent Plan Comparison Tool Policy Position</w:t>
      </w:r>
      <w:r w:rsidRPr="00D931AC" w:rsidR="00A957A5">
        <w:rPr>
          <w:sz w:val="16"/>
          <w:szCs w:val="16"/>
        </w:rPr>
        <w:t xml:space="preserve">. Available at: </w:t>
      </w:r>
      <w:hyperlink w:history="1" r:id="rId10">
        <w:r w:rsidRPr="00D931AC" w:rsidR="000860F9">
          <w:rPr>
            <w:rStyle w:val="Hyperlink"/>
            <w:sz w:val="16"/>
            <w:szCs w:val="16"/>
          </w:rPr>
          <w:t>https://accan.org.au/accans-work/policy-positions/2123-independent-plan-comparison-tool</w:t>
        </w:r>
      </w:hyperlink>
      <w:r w:rsidRPr="00D931AC" w:rsidR="000860F9">
        <w:rPr>
          <w:sz w:val="16"/>
          <w:szCs w:val="16"/>
        </w:rPr>
        <w:t>.</w:t>
      </w:r>
      <w:r w:rsidRPr="000860F9" w:rsidR="000860F9">
        <w:rPr>
          <w:sz w:val="16"/>
          <w:szCs w:val="16"/>
        </w:rPr>
        <w:t xml:space="preserve"> </w:t>
      </w:r>
      <w:r w:rsidRPr="000860F9">
        <w:rPr>
          <w:sz w:val="16"/>
          <w:szCs w:val="16"/>
        </w:rPr>
        <w:t xml:space="preserve"> </w:t>
      </w:r>
    </w:p>
  </w:footnote>
  <w:footnote w:id="22">
    <w:p w:rsidRPr="000A4B49" w:rsidR="003F228B" w:rsidRDefault="003F228B" w14:paraId="5379D33A" w14:textId="3621D971">
      <w:pPr>
        <w:pStyle w:val="FootnoteText"/>
        <w:rPr>
          <w:sz w:val="16"/>
          <w:szCs w:val="16"/>
        </w:rPr>
      </w:pPr>
      <w:r w:rsidRPr="000A4B49">
        <w:rPr>
          <w:rStyle w:val="FootnoteReference"/>
          <w:sz w:val="16"/>
          <w:szCs w:val="16"/>
        </w:rPr>
        <w:footnoteRef/>
      </w:r>
      <w:r w:rsidRPr="000A4B49">
        <w:rPr>
          <w:sz w:val="16"/>
          <w:szCs w:val="16"/>
        </w:rPr>
        <w:t xml:space="preserve"> </w:t>
      </w:r>
      <w:r w:rsidRPr="000A4B49" w:rsidR="00F77FC0">
        <w:rPr>
          <w:sz w:val="16"/>
          <w:szCs w:val="16"/>
        </w:rPr>
        <w:t>ACCAN</w:t>
      </w:r>
      <w:r w:rsidRPr="0066575A" w:rsidR="0066575A">
        <w:rPr>
          <w:i/>
          <w:iCs/>
          <w:sz w:val="16"/>
          <w:szCs w:val="16"/>
        </w:rPr>
        <w:t>.</w:t>
      </w:r>
      <w:r w:rsidRPr="0066575A" w:rsidR="00F77FC0">
        <w:rPr>
          <w:i/>
          <w:iCs/>
          <w:sz w:val="16"/>
          <w:szCs w:val="16"/>
        </w:rPr>
        <w:t xml:space="preserve"> No Australian Left Offline</w:t>
      </w:r>
      <w:r w:rsidR="0066575A">
        <w:rPr>
          <w:sz w:val="16"/>
          <w:szCs w:val="16"/>
        </w:rPr>
        <w:t>.</w:t>
      </w:r>
      <w:r w:rsidRPr="000A4B49" w:rsidR="00F77FC0">
        <w:rPr>
          <w:sz w:val="16"/>
          <w:szCs w:val="16"/>
        </w:rPr>
        <w:t xml:space="preserve"> Available at: </w:t>
      </w:r>
      <w:hyperlink w:history="1" r:id="rId11">
        <w:r w:rsidRPr="000A4B49" w:rsidR="00F77FC0">
          <w:rPr>
            <w:rStyle w:val="Hyperlink"/>
            <w:sz w:val="16"/>
            <w:szCs w:val="16"/>
          </w:rPr>
          <w:t>https://accan.org.au/accans-work/no-australian-left-offline</w:t>
        </w:r>
      </w:hyperlink>
      <w:r w:rsidRPr="000A4B49" w:rsidR="00F77FC0">
        <w:rPr>
          <w:sz w:val="16"/>
          <w:szCs w:val="16"/>
        </w:rPr>
        <w:t xml:space="preserve">. </w:t>
      </w:r>
    </w:p>
  </w:footnote>
  <w:footnote w:id="23">
    <w:p w:rsidRPr="000A4B49" w:rsidR="00F229E0" w:rsidP="00F229E0" w:rsidRDefault="00F229E0" w14:paraId="4EB9CD13" w14:textId="77777777">
      <w:pPr>
        <w:pStyle w:val="NoSpacing"/>
        <w:rPr>
          <w:sz w:val="16"/>
          <w:szCs w:val="16"/>
        </w:rPr>
      </w:pPr>
      <w:r w:rsidRPr="000A4B49">
        <w:rPr>
          <w:rStyle w:val="FootnoteReference"/>
          <w:sz w:val="16"/>
          <w:szCs w:val="16"/>
        </w:rPr>
        <w:footnoteRef/>
      </w:r>
      <w:r w:rsidRPr="000A4B49">
        <w:rPr>
          <w:sz w:val="16"/>
          <w:szCs w:val="16"/>
        </w:rPr>
        <w:t xml:space="preserve"> ACCAN. 2022. </w:t>
      </w:r>
      <w:r w:rsidRPr="0066575A">
        <w:rPr>
          <w:i/>
          <w:iCs/>
          <w:sz w:val="16"/>
          <w:szCs w:val="16"/>
        </w:rPr>
        <w:t>Independent Plan Comparison Tool Policy Position</w:t>
      </w:r>
      <w:r w:rsidRPr="000A4B49">
        <w:rPr>
          <w:sz w:val="16"/>
          <w:szCs w:val="16"/>
        </w:rPr>
        <w:t xml:space="preserve">. p.1. Available at: </w:t>
      </w:r>
      <w:hyperlink w:history="1" r:id="rId12">
        <w:r w:rsidRPr="000A4B49">
          <w:rPr>
            <w:rStyle w:val="Hyperlink"/>
            <w:sz w:val="16"/>
            <w:szCs w:val="16"/>
          </w:rPr>
          <w:t>https://accan.org.au/accans-work/policy-positions/2123-independent-plan-comparison-tool</w:t>
        </w:r>
      </w:hyperlink>
      <w:r w:rsidRPr="000A4B49">
        <w:rPr>
          <w:sz w:val="16"/>
          <w:szCs w:val="16"/>
        </w:rPr>
        <w:t xml:space="preserve">.   </w:t>
      </w:r>
    </w:p>
  </w:footnote>
  <w:footnote w:id="24">
    <w:p w:rsidRPr="0066575A" w:rsidR="00F229E0" w:rsidP="00F229E0" w:rsidRDefault="00F229E0" w14:paraId="48FD206D" w14:textId="77777777">
      <w:pPr>
        <w:pStyle w:val="NoSpacing"/>
        <w:rPr>
          <w:i/>
          <w:iCs/>
          <w:sz w:val="16"/>
          <w:szCs w:val="16"/>
        </w:rPr>
      </w:pPr>
      <w:r w:rsidRPr="000A4B49">
        <w:rPr>
          <w:rStyle w:val="FootnoteReference"/>
          <w:sz w:val="16"/>
          <w:szCs w:val="16"/>
        </w:rPr>
        <w:footnoteRef/>
      </w:r>
      <w:r w:rsidRPr="000A4B49">
        <w:rPr>
          <w:sz w:val="16"/>
          <w:szCs w:val="16"/>
        </w:rPr>
        <w:t xml:space="preserve"> Finder. 2021. </w:t>
      </w:r>
      <w:r w:rsidRPr="0066575A">
        <w:rPr>
          <w:i/>
          <w:iCs/>
          <w:sz w:val="16"/>
          <w:szCs w:val="16"/>
        </w:rPr>
        <w:t>Finder- Submission in response to: Consumer Data Right Sectoral Assessment:</w:t>
      </w:r>
    </w:p>
    <w:p w:rsidRPr="000A4B49" w:rsidR="00F229E0" w:rsidP="00F229E0" w:rsidRDefault="00F229E0" w14:paraId="31D1DD3A" w14:textId="77777777">
      <w:pPr>
        <w:pStyle w:val="NoSpacing"/>
        <w:rPr>
          <w:sz w:val="16"/>
          <w:szCs w:val="16"/>
        </w:rPr>
      </w:pPr>
      <w:r w:rsidRPr="0066575A">
        <w:rPr>
          <w:i/>
          <w:iCs/>
          <w:sz w:val="16"/>
          <w:szCs w:val="16"/>
        </w:rPr>
        <w:t>Telecommunications.</w:t>
      </w:r>
      <w:r w:rsidRPr="000A4B49">
        <w:rPr>
          <w:sz w:val="16"/>
          <w:szCs w:val="16"/>
        </w:rPr>
        <w:t xml:space="preserve"> </w:t>
      </w:r>
      <w:r>
        <w:rPr>
          <w:sz w:val="16"/>
          <w:szCs w:val="16"/>
        </w:rPr>
        <w:t>p</w:t>
      </w:r>
      <w:r w:rsidRPr="000A4B49">
        <w:rPr>
          <w:sz w:val="16"/>
          <w:szCs w:val="16"/>
        </w:rPr>
        <w:t xml:space="preserve">.6. Available at: </w:t>
      </w:r>
      <w:hyperlink w:history="1" r:id="rId13">
        <w:r w:rsidRPr="000A4B49">
          <w:rPr>
            <w:rStyle w:val="Hyperlink"/>
            <w:sz w:val="16"/>
            <w:szCs w:val="16"/>
          </w:rPr>
          <w:t>https://treasury.gov.au/sites/default/files/2021-11/c2021-198050-tc-finder.pdf</w:t>
        </w:r>
      </w:hyperlink>
      <w:r w:rsidRPr="000A4B49">
        <w:rPr>
          <w:sz w:val="16"/>
          <w:szCs w:val="16"/>
        </w:rPr>
        <w:t xml:space="preserve">. </w:t>
      </w:r>
    </w:p>
  </w:footnote>
  <w:footnote w:id="25">
    <w:p w:rsidRPr="000A4B49" w:rsidR="00F229E0" w:rsidP="00F229E0" w:rsidRDefault="00F229E0" w14:paraId="5B20B590" w14:textId="03DF4899">
      <w:pPr>
        <w:pStyle w:val="NoSpacing"/>
        <w:rPr>
          <w:sz w:val="16"/>
          <w:szCs w:val="16"/>
        </w:rPr>
      </w:pPr>
      <w:r w:rsidRPr="000A4B49">
        <w:rPr>
          <w:rStyle w:val="FootnoteReference"/>
          <w:sz w:val="16"/>
          <w:szCs w:val="16"/>
        </w:rPr>
        <w:footnoteRef/>
      </w:r>
      <w:r w:rsidRPr="000A4B49">
        <w:rPr>
          <w:sz w:val="16"/>
          <w:szCs w:val="16"/>
        </w:rPr>
        <w:t xml:space="preserve"> ETFM. 2022. </w:t>
      </w:r>
      <w:r w:rsidR="00E22AAE">
        <w:rPr>
          <w:i/>
          <w:iCs/>
          <w:sz w:val="16"/>
          <w:szCs w:val="16"/>
        </w:rPr>
        <w:t>U</w:t>
      </w:r>
      <w:r w:rsidRPr="0066575A">
        <w:rPr>
          <w:i/>
          <w:iCs/>
          <w:sz w:val="16"/>
          <w:szCs w:val="16"/>
        </w:rPr>
        <w:t xml:space="preserve">nhappy Optus customers ditching the telco as </w:t>
      </w:r>
      <w:proofErr w:type="spellStart"/>
      <w:r w:rsidRPr="0066575A">
        <w:rPr>
          <w:i/>
          <w:iCs/>
          <w:sz w:val="16"/>
          <w:szCs w:val="16"/>
        </w:rPr>
        <w:t>eftm</w:t>
      </w:r>
      <w:proofErr w:type="spellEnd"/>
      <w:r w:rsidRPr="0066575A">
        <w:rPr>
          <w:i/>
          <w:iCs/>
          <w:sz w:val="16"/>
          <w:szCs w:val="16"/>
        </w:rPr>
        <w:t xml:space="preserve"> survey shows we’re all paying for too much data</w:t>
      </w:r>
      <w:r w:rsidRPr="000A4B49">
        <w:rPr>
          <w:sz w:val="16"/>
          <w:szCs w:val="16"/>
        </w:rPr>
        <w:t xml:space="preserve">. Available at: </w:t>
      </w:r>
      <w:hyperlink w:history="1" r:id="rId14">
        <w:r w:rsidRPr="000A4B49">
          <w:rPr>
            <w:rStyle w:val="Hyperlink"/>
            <w:sz w:val="16"/>
            <w:szCs w:val="16"/>
          </w:rPr>
          <w:t>https://eftm.com/2022/10/unhappy-optus-customers-ditching-the-telco-as-eftm-survey-shows-were-all-paying-for-too-much-data-229055</w:t>
        </w:r>
      </w:hyperlink>
      <w:r w:rsidRPr="000A4B49">
        <w:rPr>
          <w:sz w:val="16"/>
          <w:szCs w:val="16"/>
        </w:rPr>
        <w:t xml:space="preserve">. </w:t>
      </w:r>
    </w:p>
  </w:footnote>
  <w:footnote w:id="26">
    <w:p w:rsidRPr="00A52F08" w:rsidR="00122672" w:rsidP="00122672" w:rsidRDefault="00122672" w14:paraId="00D5305F" w14:textId="77777777">
      <w:pPr>
        <w:pStyle w:val="NoSpacing"/>
        <w:rPr>
          <w:sz w:val="16"/>
          <w:szCs w:val="16"/>
        </w:rPr>
      </w:pPr>
      <w:r w:rsidRPr="000A4B49">
        <w:rPr>
          <w:rStyle w:val="FootnoteReference"/>
          <w:sz w:val="16"/>
          <w:szCs w:val="16"/>
        </w:rPr>
        <w:footnoteRef/>
      </w:r>
      <w:r w:rsidRPr="000A4B49">
        <w:rPr>
          <w:sz w:val="16"/>
          <w:szCs w:val="16"/>
        </w:rPr>
        <w:t xml:space="preserve"> WhistleOut. 2023. </w:t>
      </w:r>
      <w:r w:rsidRPr="0066575A">
        <w:rPr>
          <w:i/>
          <w:iCs/>
          <w:sz w:val="16"/>
          <w:szCs w:val="16"/>
        </w:rPr>
        <w:t xml:space="preserve">How much mobile and internet data do you </w:t>
      </w:r>
      <w:proofErr w:type="gramStart"/>
      <w:r w:rsidRPr="0066575A">
        <w:rPr>
          <w:i/>
          <w:iCs/>
          <w:sz w:val="16"/>
          <w:szCs w:val="16"/>
        </w:rPr>
        <w:t>need?</w:t>
      </w:r>
      <w:r w:rsidRPr="000A4B49">
        <w:rPr>
          <w:sz w:val="16"/>
          <w:szCs w:val="16"/>
        </w:rPr>
        <w:t>.</w:t>
      </w:r>
      <w:proofErr w:type="gramEnd"/>
      <w:r w:rsidRPr="000A4B49">
        <w:rPr>
          <w:sz w:val="16"/>
          <w:szCs w:val="16"/>
        </w:rPr>
        <w:t xml:space="preserve"> Available at: </w:t>
      </w:r>
      <w:hyperlink w:history="1" w:anchor=":~:text=If%20we%20add%20mobile%20data,we%20have%20to%20think%20about" r:id="rId15">
        <w:r w:rsidRPr="000A4B49">
          <w:rPr>
            <w:rStyle w:val="Hyperlink"/>
            <w:sz w:val="16"/>
            <w:szCs w:val="16"/>
          </w:rPr>
          <w:t>https://www.whistleout.com.au/MobilePhones/Guides/Mobile-broadband-usage-guide#:~:text=If%20we%20add%20mobile%20data,we%20have%20to%20think%20about</w:t>
        </w:r>
      </w:hyperlink>
      <w:r w:rsidRPr="000A4B49">
        <w:rPr>
          <w:sz w:val="16"/>
          <w:szCs w:val="16"/>
        </w:rPr>
        <w:t>.</w:t>
      </w:r>
    </w:p>
  </w:footnote>
  <w:footnote w:id="27">
    <w:p w:rsidRPr="000A4B49" w:rsidR="00122672" w:rsidP="00122672" w:rsidRDefault="00122672" w14:paraId="06C4D1EF" w14:textId="77777777">
      <w:pPr>
        <w:pStyle w:val="NoSpacing"/>
        <w:rPr>
          <w:sz w:val="16"/>
          <w:szCs w:val="16"/>
        </w:rPr>
      </w:pPr>
      <w:r w:rsidRPr="000A4B49">
        <w:rPr>
          <w:rStyle w:val="FootnoteReference"/>
          <w:sz w:val="16"/>
          <w:szCs w:val="16"/>
        </w:rPr>
        <w:footnoteRef/>
      </w:r>
      <w:r w:rsidRPr="000A4B49">
        <w:rPr>
          <w:sz w:val="16"/>
          <w:szCs w:val="16"/>
        </w:rPr>
        <w:t xml:space="preserve"> ACCAN. 2022. </w:t>
      </w:r>
      <w:r w:rsidRPr="0066575A">
        <w:rPr>
          <w:i/>
          <w:iCs/>
          <w:sz w:val="16"/>
          <w:szCs w:val="16"/>
        </w:rPr>
        <w:t>Independent Plan Comparison Tool Policy Position</w:t>
      </w:r>
      <w:r w:rsidRPr="000A4B49">
        <w:rPr>
          <w:sz w:val="16"/>
          <w:szCs w:val="16"/>
        </w:rPr>
        <w:t xml:space="preserve">. p.1. Available at: </w:t>
      </w:r>
      <w:hyperlink w:history="1" r:id="rId16">
        <w:r w:rsidRPr="000A4B49">
          <w:rPr>
            <w:rStyle w:val="Hyperlink"/>
            <w:sz w:val="16"/>
            <w:szCs w:val="16"/>
          </w:rPr>
          <w:t>https://accan.org.au/accans-work/policy-positions/2123-independent-plan-comparison-tool</w:t>
        </w:r>
      </w:hyperlink>
      <w:r w:rsidRPr="000A4B49">
        <w:rPr>
          <w:sz w:val="16"/>
          <w:szCs w:val="16"/>
        </w:rPr>
        <w:t xml:space="preserve">.  </w:t>
      </w:r>
    </w:p>
  </w:footnote>
  <w:footnote w:id="28">
    <w:p w:rsidRPr="00A062F0" w:rsidR="00891CB6" w:rsidP="00A52F08" w:rsidRDefault="00891CB6" w14:paraId="7F101A24" w14:textId="6DB89512">
      <w:pPr>
        <w:pStyle w:val="NoSpacing"/>
        <w:rPr>
          <w:sz w:val="16"/>
          <w:szCs w:val="16"/>
        </w:rPr>
      </w:pPr>
      <w:r w:rsidRPr="00A062F0">
        <w:rPr>
          <w:rStyle w:val="FootnoteReference"/>
          <w:sz w:val="16"/>
          <w:szCs w:val="16"/>
        </w:rPr>
        <w:footnoteRef/>
      </w:r>
      <w:r w:rsidRPr="00A062F0">
        <w:rPr>
          <w:sz w:val="16"/>
          <w:szCs w:val="16"/>
        </w:rPr>
        <w:t xml:space="preserve"> </w:t>
      </w:r>
      <w:r w:rsidR="007062D2">
        <w:rPr>
          <w:sz w:val="16"/>
          <w:szCs w:val="16"/>
        </w:rPr>
        <w:t>Ibid</w:t>
      </w:r>
      <w:r w:rsidR="00303460">
        <w:rPr>
          <w:sz w:val="16"/>
          <w:szCs w:val="16"/>
        </w:rPr>
        <w:t xml:space="preserve">. </w:t>
      </w:r>
      <w:r w:rsidRPr="00A062F0" w:rsidR="00420D8F">
        <w:rPr>
          <w:sz w:val="16"/>
          <w:szCs w:val="16"/>
        </w:rPr>
        <w:t>p.2.</w:t>
      </w:r>
    </w:p>
  </w:footnote>
  <w:footnote w:id="29">
    <w:p w:rsidRPr="00A062F0" w:rsidR="009865B7" w:rsidRDefault="009865B7" w14:paraId="17BDCF7D" w14:textId="6ADC3207">
      <w:pPr>
        <w:pStyle w:val="FootnoteText"/>
        <w:rPr>
          <w:sz w:val="16"/>
          <w:szCs w:val="16"/>
        </w:rPr>
      </w:pPr>
      <w:r w:rsidRPr="00A062F0">
        <w:rPr>
          <w:rStyle w:val="FootnoteReference"/>
          <w:sz w:val="16"/>
          <w:szCs w:val="16"/>
        </w:rPr>
        <w:footnoteRef/>
      </w:r>
      <w:r w:rsidRPr="00A062F0">
        <w:rPr>
          <w:sz w:val="16"/>
          <w:szCs w:val="16"/>
        </w:rPr>
        <w:t xml:space="preserve"> </w:t>
      </w:r>
      <w:r w:rsidRPr="00A062F0" w:rsidR="00420D8F">
        <w:rPr>
          <w:sz w:val="16"/>
          <w:szCs w:val="16"/>
        </w:rPr>
        <w:t xml:space="preserve">Ibid.   </w:t>
      </w:r>
    </w:p>
  </w:footnote>
  <w:footnote w:id="30">
    <w:p w:rsidRPr="00A062F0" w:rsidR="006F77D2" w:rsidP="00A52F08" w:rsidRDefault="006F77D2" w14:paraId="1A8DF500" w14:textId="6144137B">
      <w:pPr>
        <w:pStyle w:val="NoSpacing"/>
        <w:rPr>
          <w:sz w:val="16"/>
          <w:szCs w:val="16"/>
        </w:rPr>
      </w:pPr>
      <w:r w:rsidRPr="00A062F0">
        <w:rPr>
          <w:rStyle w:val="FootnoteReference"/>
          <w:sz w:val="16"/>
          <w:szCs w:val="16"/>
        </w:rPr>
        <w:footnoteRef/>
      </w:r>
      <w:r w:rsidRPr="00A062F0">
        <w:rPr>
          <w:sz w:val="16"/>
          <w:szCs w:val="16"/>
        </w:rPr>
        <w:t xml:space="preserve"> </w:t>
      </w:r>
      <w:r w:rsidRPr="00A062F0" w:rsidR="00420D8F">
        <w:rPr>
          <w:sz w:val="16"/>
          <w:szCs w:val="16"/>
        </w:rPr>
        <w:t xml:space="preserve">Ibid.   </w:t>
      </w:r>
    </w:p>
  </w:footnote>
  <w:footnote w:id="31">
    <w:p w:rsidRPr="00BD7583" w:rsidR="00245E25" w:rsidP="00245E25" w:rsidRDefault="00245E25" w14:paraId="7BCDE2AE" w14:textId="3170FF5E">
      <w:pPr>
        <w:pStyle w:val="FootnoteText"/>
        <w:rPr>
          <w:sz w:val="16"/>
          <w:szCs w:val="16"/>
        </w:rPr>
      </w:pPr>
      <w:r w:rsidRPr="00A062F0">
        <w:rPr>
          <w:rStyle w:val="FootnoteReference"/>
          <w:sz w:val="16"/>
          <w:szCs w:val="16"/>
        </w:rPr>
        <w:footnoteRef/>
      </w:r>
      <w:r w:rsidRPr="00A062F0">
        <w:rPr>
          <w:sz w:val="16"/>
          <w:szCs w:val="16"/>
        </w:rPr>
        <w:t xml:space="preserve"> AER. 2022. </w:t>
      </w:r>
      <w:r w:rsidRPr="0066575A">
        <w:rPr>
          <w:i/>
          <w:iCs/>
          <w:sz w:val="16"/>
          <w:szCs w:val="16"/>
        </w:rPr>
        <w:t>ACCC and AER Annual Report 2021-2022</w:t>
      </w:r>
      <w:r w:rsidRPr="00A062F0">
        <w:rPr>
          <w:sz w:val="16"/>
          <w:szCs w:val="16"/>
        </w:rPr>
        <w:t xml:space="preserve">. p.3. Available at:  </w:t>
      </w:r>
      <w:hyperlink w:history="1" r:id="rId17">
        <w:r w:rsidRPr="00A062F0">
          <w:rPr>
            <w:rStyle w:val="Hyperlink"/>
            <w:sz w:val="16"/>
            <w:szCs w:val="16"/>
          </w:rPr>
          <w:t>https://www.accc.gov.au/about-us/publications/accc-and-aer-annual-report/accc-and-aer-annual-report-2021-22</w:t>
        </w:r>
      </w:hyperlink>
      <w:r w:rsidRPr="00A062F0">
        <w:rPr>
          <w:sz w:val="16"/>
          <w:szCs w:val="16"/>
        </w:rPr>
        <w:t xml:space="preserve">. AER. 2023. </w:t>
      </w:r>
      <w:r w:rsidRPr="0066575A">
        <w:rPr>
          <w:i/>
          <w:iCs/>
          <w:sz w:val="16"/>
          <w:szCs w:val="16"/>
        </w:rPr>
        <w:t>ACCC and AER Annual Report 2022-2023</w:t>
      </w:r>
      <w:r w:rsidRPr="00A062F0">
        <w:rPr>
          <w:sz w:val="16"/>
          <w:szCs w:val="16"/>
        </w:rPr>
        <w:t xml:space="preserve">. p.3. Available at: </w:t>
      </w:r>
      <w:hyperlink w:history="1" r:id="rId18">
        <w:r w:rsidRPr="00A062F0">
          <w:rPr>
            <w:rStyle w:val="Hyperlink"/>
            <w:sz w:val="16"/>
            <w:szCs w:val="16"/>
          </w:rPr>
          <w:t>https://www.aer.gov.au/documents/accc-and-aer-annual-report-2022-23</w:t>
        </w:r>
      </w:hyperlink>
      <w:r w:rsidRPr="00A062F0">
        <w:rPr>
          <w:sz w:val="16"/>
          <w:szCs w:val="16"/>
        </w:rPr>
        <w:t>.</w:t>
      </w:r>
      <w:r w:rsidRPr="00BD7583">
        <w:rPr>
          <w:sz w:val="16"/>
          <w:szCs w:val="16"/>
        </w:rPr>
        <w:t xml:space="preserve"> </w:t>
      </w:r>
    </w:p>
  </w:footnote>
  <w:footnote w:id="32">
    <w:p w:rsidRPr="00EA23E3" w:rsidR="00245E25" w:rsidP="00245E25" w:rsidRDefault="00245E25" w14:paraId="247E27CC" w14:textId="77777777">
      <w:pPr>
        <w:pStyle w:val="FootnoteText"/>
        <w:rPr>
          <w:sz w:val="16"/>
          <w:szCs w:val="16"/>
        </w:rPr>
      </w:pPr>
      <w:r w:rsidRPr="00EA23E3">
        <w:rPr>
          <w:rStyle w:val="FootnoteReference"/>
          <w:sz w:val="16"/>
          <w:szCs w:val="16"/>
        </w:rPr>
        <w:footnoteRef/>
      </w:r>
      <w:r w:rsidRPr="00EA23E3">
        <w:rPr>
          <w:sz w:val="16"/>
          <w:szCs w:val="16"/>
        </w:rPr>
        <w:t xml:space="preserve"> A consumer switching a largely equivalent telecommunications service from a larger market participant to a smaller market participant (assuming an average data usage of 24.4GB per month) may save approximately 200 dollars per year on mobile data bills and approximately 150 dollars per year on NBN or equivalent broadband services. These potential savings are material to consumers who are currently experiencing a cost-of-living crisis. </w:t>
      </w:r>
    </w:p>
  </w:footnote>
  <w:footnote w:id="33">
    <w:p w:rsidRPr="00BD7583" w:rsidR="00B517AD" w:rsidP="00B517AD" w:rsidRDefault="00B517AD" w14:paraId="0169ABE3" w14:textId="3D014336">
      <w:pPr>
        <w:pStyle w:val="FootnoteText"/>
        <w:rPr>
          <w:sz w:val="16"/>
          <w:szCs w:val="16"/>
        </w:rPr>
      </w:pPr>
      <w:r w:rsidRPr="00BD7583">
        <w:rPr>
          <w:rStyle w:val="FootnoteReference"/>
          <w:sz w:val="16"/>
          <w:szCs w:val="16"/>
        </w:rPr>
        <w:footnoteRef/>
      </w:r>
      <w:r w:rsidRPr="00BD7583">
        <w:rPr>
          <w:sz w:val="16"/>
          <w:szCs w:val="16"/>
        </w:rPr>
        <w:t xml:space="preserve"> </w:t>
      </w:r>
      <w:r w:rsidRPr="00BD7583" w:rsidR="00BD7583">
        <w:rPr>
          <w:sz w:val="16"/>
          <w:szCs w:val="16"/>
        </w:rPr>
        <w:t xml:space="preserve">ACCAN. 2023. </w:t>
      </w:r>
      <w:r w:rsidRPr="0066575A" w:rsidR="00BD7583">
        <w:rPr>
          <w:i/>
          <w:iCs/>
          <w:sz w:val="16"/>
          <w:szCs w:val="16"/>
        </w:rPr>
        <w:t>Pre-Budget Submission 2023-2024</w:t>
      </w:r>
      <w:r w:rsidRPr="00BD7583" w:rsidR="00BD7583">
        <w:rPr>
          <w:sz w:val="16"/>
          <w:szCs w:val="16"/>
        </w:rPr>
        <w:t xml:space="preserve">. p.8. Available at:  </w:t>
      </w:r>
      <w:hyperlink w:history="1" r:id="rId19">
        <w:r w:rsidRPr="00BD7583" w:rsidR="00BD7583">
          <w:rPr>
            <w:rStyle w:val="Hyperlink"/>
            <w:sz w:val="16"/>
            <w:szCs w:val="16"/>
          </w:rPr>
          <w:t>https://accan.org.au/accans-work/submissions/2055-pre-budget-submission-2023-2024?highlight=WyJwcmUiXQ==</w:t>
        </w:r>
      </w:hyperlink>
      <w:r w:rsidRPr="00BD7583" w:rsidR="00BD7583">
        <w:rPr>
          <w:sz w:val="16"/>
          <w:szCs w:val="16"/>
        </w:rPr>
        <w:t xml:space="preserve">. </w:t>
      </w:r>
    </w:p>
  </w:footnote>
  <w:footnote w:id="34">
    <w:p w:rsidR="00B517AD" w:rsidP="00B517AD" w:rsidRDefault="00B517AD" w14:paraId="4DF3DC8F" w14:textId="4E4DB06A">
      <w:pPr>
        <w:pStyle w:val="FootnoteText"/>
      </w:pPr>
      <w:r w:rsidRPr="00BD7583">
        <w:rPr>
          <w:rStyle w:val="FootnoteReference"/>
          <w:sz w:val="16"/>
          <w:szCs w:val="16"/>
        </w:rPr>
        <w:footnoteRef/>
      </w:r>
      <w:r w:rsidRPr="00BD7583">
        <w:rPr>
          <w:sz w:val="16"/>
          <w:szCs w:val="16"/>
        </w:rPr>
        <w:t xml:space="preserve"> </w:t>
      </w:r>
      <w:r w:rsidRPr="00BD7583" w:rsidR="00615B85">
        <w:rPr>
          <w:sz w:val="16"/>
          <w:szCs w:val="16"/>
        </w:rPr>
        <w:t xml:space="preserve">ACCAN. 2023. </w:t>
      </w:r>
      <w:r w:rsidRPr="0066575A" w:rsidR="00615B85">
        <w:rPr>
          <w:i/>
          <w:iCs/>
          <w:sz w:val="16"/>
          <w:szCs w:val="16"/>
        </w:rPr>
        <w:t>Pre-Budget Submission 2023-2024.</w:t>
      </w:r>
      <w:r w:rsidRPr="00BD7583" w:rsidR="00615B85">
        <w:rPr>
          <w:sz w:val="16"/>
          <w:szCs w:val="16"/>
        </w:rPr>
        <w:t xml:space="preserve"> p.8. Available at:  </w:t>
      </w:r>
      <w:hyperlink w:history="1" r:id="rId20">
        <w:r w:rsidRPr="00BD7583" w:rsidR="00615B85">
          <w:rPr>
            <w:rStyle w:val="Hyperlink"/>
            <w:sz w:val="16"/>
            <w:szCs w:val="16"/>
          </w:rPr>
          <w:t>https://accan.org.au/accans-work/submissions/2055-pre-budget-submission-2023-2024?highlight=WyJwcmUiXQ==</w:t>
        </w:r>
      </w:hyperlink>
      <w:r w:rsidRPr="00BD7583" w:rsidR="00615B85">
        <w:rPr>
          <w:sz w:val="16"/>
          <w:szCs w:val="16"/>
        </w:rPr>
        <w:t>.</w:t>
      </w:r>
    </w:p>
  </w:footnote>
  <w:footnote w:id="35">
    <w:p w:rsidR="00E5031A" w:rsidP="00E5031A" w:rsidRDefault="00E5031A" w14:paraId="5A2CD823" w14:textId="77777777">
      <w:pPr>
        <w:pStyle w:val="FootnoteText"/>
      </w:pPr>
      <w:r w:rsidRPr="00815FA9">
        <w:rPr>
          <w:rStyle w:val="FootnoteReference"/>
          <w:sz w:val="16"/>
          <w:szCs w:val="16"/>
        </w:rPr>
        <w:footnoteRef/>
      </w:r>
      <w:r w:rsidRPr="00815FA9">
        <w:rPr>
          <w:sz w:val="16"/>
          <w:szCs w:val="16"/>
        </w:rPr>
        <w:t xml:space="preserve"> Finder. 2022. ‘The digital divide: 49% of kids lack access to tech for school’. Available at: </w:t>
      </w:r>
      <w:hyperlink w:history="1" r:id="rId21">
        <w:r w:rsidRPr="00815FA9">
          <w:rPr>
            <w:rStyle w:val="Hyperlink"/>
            <w:sz w:val="16"/>
            <w:szCs w:val="16"/>
          </w:rPr>
          <w:t>https://www.finder.com.au/digital-divide-49-percent-of-kids-lack-tech-access</w:t>
        </w:r>
      </w:hyperlink>
      <w:r w:rsidRPr="00815FA9">
        <w:rPr>
          <w:sz w:val="16"/>
          <w:szCs w:val="16"/>
        </w:rPr>
        <w:t xml:space="preserve">. </w:t>
      </w:r>
    </w:p>
  </w:footnote>
  <w:footnote w:id="36">
    <w:p w:rsidRPr="008515B4" w:rsidR="002F48FD" w:rsidRDefault="002F48FD" w14:paraId="1C29348D" w14:textId="569ADF48">
      <w:pPr>
        <w:pStyle w:val="FootnoteText"/>
        <w:rPr>
          <w:sz w:val="16"/>
          <w:szCs w:val="16"/>
        </w:rPr>
      </w:pPr>
      <w:r w:rsidRPr="008515B4">
        <w:rPr>
          <w:rStyle w:val="FootnoteReference"/>
          <w:sz w:val="16"/>
          <w:szCs w:val="16"/>
        </w:rPr>
        <w:footnoteRef/>
      </w:r>
      <w:r w:rsidRPr="008515B4">
        <w:rPr>
          <w:sz w:val="16"/>
          <w:szCs w:val="16"/>
        </w:rPr>
        <w:t xml:space="preserve"> </w:t>
      </w:r>
      <w:proofErr w:type="spellStart"/>
      <w:r w:rsidRPr="008515B4">
        <w:rPr>
          <w:sz w:val="16"/>
          <w:szCs w:val="16"/>
        </w:rPr>
        <w:t>WorkVentures</w:t>
      </w:r>
      <w:proofErr w:type="spellEnd"/>
      <w:r w:rsidRPr="008515B4">
        <w:rPr>
          <w:sz w:val="16"/>
          <w:szCs w:val="16"/>
        </w:rPr>
        <w:t xml:space="preserve">. 2024. </w:t>
      </w:r>
      <w:r w:rsidRPr="008515B4">
        <w:rPr>
          <w:i/>
          <w:sz w:val="16"/>
          <w:szCs w:val="16"/>
        </w:rPr>
        <w:t>Bridging the digital divide for Australia’s disadvantaged school students</w:t>
      </w:r>
      <w:r w:rsidRPr="008515B4">
        <w:rPr>
          <w:sz w:val="16"/>
          <w:szCs w:val="16"/>
        </w:rPr>
        <w:t xml:space="preserve">. Available at: </w:t>
      </w:r>
      <w:hyperlink w:history="1" r:id="rId22">
        <w:r w:rsidRPr="008515B4">
          <w:rPr>
            <w:rStyle w:val="Hyperlink"/>
            <w:sz w:val="16"/>
            <w:szCs w:val="16"/>
          </w:rPr>
          <w:t>https://catalog.workventures.com.au/flip-book/366501/850282/page/1</w:t>
        </w:r>
      </w:hyperlink>
      <w:r w:rsidRPr="008515B4">
        <w:rPr>
          <w:sz w:val="16"/>
          <w:szCs w:val="16"/>
        </w:rPr>
        <w:t xml:space="preserve">. </w:t>
      </w:r>
    </w:p>
  </w:footnote>
  <w:footnote w:id="37">
    <w:p w:rsidRPr="008515B4" w:rsidR="00311E9C" w:rsidRDefault="00311E9C" w14:paraId="64B6616D" w14:textId="2DF9BC72">
      <w:pPr>
        <w:pStyle w:val="FootnoteText"/>
        <w:rPr>
          <w:sz w:val="16"/>
          <w:szCs w:val="16"/>
        </w:rPr>
      </w:pPr>
      <w:r w:rsidRPr="008515B4">
        <w:rPr>
          <w:rStyle w:val="FootnoteReference"/>
          <w:sz w:val="16"/>
          <w:szCs w:val="16"/>
        </w:rPr>
        <w:footnoteRef/>
      </w:r>
      <w:r w:rsidRPr="008515B4">
        <w:rPr>
          <w:sz w:val="16"/>
          <w:szCs w:val="16"/>
        </w:rPr>
        <w:t xml:space="preserve"> </w:t>
      </w:r>
      <w:proofErr w:type="spellStart"/>
      <w:r w:rsidRPr="008515B4" w:rsidR="00BA5BC5">
        <w:rPr>
          <w:sz w:val="16"/>
          <w:szCs w:val="16"/>
        </w:rPr>
        <w:t>WorkVentures</w:t>
      </w:r>
      <w:proofErr w:type="spellEnd"/>
      <w:r w:rsidRPr="008515B4" w:rsidR="00BA5BC5">
        <w:rPr>
          <w:sz w:val="16"/>
          <w:szCs w:val="16"/>
        </w:rPr>
        <w:t xml:space="preserve">. 2024. </w:t>
      </w:r>
      <w:r w:rsidRPr="008515B4" w:rsidR="00BA5BC5">
        <w:rPr>
          <w:i/>
          <w:sz w:val="16"/>
          <w:szCs w:val="16"/>
        </w:rPr>
        <w:t>Bridging the digital divide for Australia’s disadvantaged school students</w:t>
      </w:r>
      <w:r w:rsidRPr="008515B4" w:rsidR="00BA5BC5">
        <w:rPr>
          <w:sz w:val="16"/>
          <w:szCs w:val="16"/>
        </w:rPr>
        <w:t xml:space="preserve">. Available at: </w:t>
      </w:r>
      <w:hyperlink w:history="1" r:id="rId23">
        <w:r w:rsidRPr="008515B4" w:rsidR="00BA5BC5">
          <w:rPr>
            <w:rStyle w:val="Hyperlink"/>
            <w:sz w:val="16"/>
            <w:szCs w:val="16"/>
          </w:rPr>
          <w:t>https://catalog.workventures.com.au/flip-book/366501/850282/page/1</w:t>
        </w:r>
      </w:hyperlink>
      <w:r w:rsidRPr="008515B4" w:rsidR="00BA5BC5">
        <w:rPr>
          <w:sz w:val="16"/>
          <w:szCs w:val="16"/>
        </w:rPr>
        <w:t>.</w:t>
      </w:r>
    </w:p>
  </w:footnote>
  <w:footnote w:id="38">
    <w:p w:rsidR="00311E9C" w:rsidRDefault="00311E9C" w14:paraId="2C53D142" w14:textId="6F5BC487">
      <w:pPr>
        <w:pStyle w:val="FootnoteText"/>
      </w:pPr>
      <w:r w:rsidRPr="008515B4">
        <w:rPr>
          <w:rStyle w:val="FootnoteReference"/>
          <w:sz w:val="16"/>
          <w:szCs w:val="16"/>
        </w:rPr>
        <w:footnoteRef/>
      </w:r>
      <w:r w:rsidRPr="008515B4">
        <w:rPr>
          <w:sz w:val="16"/>
          <w:szCs w:val="16"/>
        </w:rPr>
        <w:t xml:space="preserve"> Ibid.</w:t>
      </w:r>
    </w:p>
  </w:footnote>
  <w:footnote w:id="39">
    <w:p w:rsidRPr="0019203B" w:rsidR="00AD3CE2" w:rsidP="00AD3CE2" w:rsidRDefault="00AD3CE2" w14:paraId="47C66BB0" w14:textId="77777777">
      <w:pPr>
        <w:pStyle w:val="FootnoteText"/>
        <w:rPr>
          <w:sz w:val="16"/>
          <w:szCs w:val="16"/>
        </w:rPr>
      </w:pPr>
      <w:r w:rsidRPr="0019203B">
        <w:rPr>
          <w:rStyle w:val="FootnoteReference"/>
          <w:sz w:val="16"/>
          <w:szCs w:val="16"/>
        </w:rPr>
        <w:footnoteRef/>
      </w:r>
      <w:r w:rsidRPr="0019203B">
        <w:rPr>
          <w:sz w:val="16"/>
          <w:szCs w:val="16"/>
        </w:rPr>
        <w:t xml:space="preserve"> </w:t>
      </w:r>
      <w:hyperlink w:history="1" r:id="rId24">
        <w:r w:rsidRPr="00721C4C">
          <w:rPr>
            <w:rStyle w:val="Hyperlink"/>
            <w:sz w:val="16"/>
            <w:szCs w:val="16"/>
          </w:rPr>
          <w:t>https://www.depreciationrates.net.au/telephony</w:t>
        </w:r>
      </w:hyperlink>
      <w:r>
        <w:rPr>
          <w:sz w:val="16"/>
          <w:szCs w:val="16"/>
        </w:rPr>
        <w:t xml:space="preserve">. </w:t>
      </w:r>
    </w:p>
  </w:footnote>
  <w:footnote w:id="40">
    <w:p w:rsidR="00AD3CE2" w:rsidP="00AD3CE2" w:rsidRDefault="00AD3CE2" w14:paraId="221E1662" w14:textId="77777777">
      <w:pPr>
        <w:pStyle w:val="FootnoteText"/>
      </w:pPr>
      <w:r w:rsidRPr="0019203B">
        <w:rPr>
          <w:rStyle w:val="FootnoteReference"/>
          <w:sz w:val="16"/>
          <w:szCs w:val="16"/>
        </w:rPr>
        <w:footnoteRef/>
      </w:r>
      <w:r w:rsidRPr="0019203B">
        <w:rPr>
          <w:sz w:val="16"/>
          <w:szCs w:val="16"/>
        </w:rPr>
        <w:t xml:space="preserve"> </w:t>
      </w:r>
      <w:hyperlink w:history="1" r:id="rId25">
        <w:r w:rsidRPr="0019203B">
          <w:rPr>
            <w:rStyle w:val="Hyperlink"/>
            <w:sz w:val="16"/>
            <w:szCs w:val="16"/>
          </w:rPr>
          <w:t>https://www.depreciationrates.net.au/laptop</w:t>
        </w:r>
      </w:hyperlink>
      <w:r w:rsidRPr="0019203B">
        <w:rPr>
          <w:sz w:val="16"/>
          <w:szCs w:val="16"/>
        </w:rPr>
        <w:t xml:space="preserve">. </w:t>
      </w:r>
    </w:p>
  </w:footnote>
  <w:footnote w:id="41">
    <w:p w:rsidR="00AD3CE2" w:rsidP="00AD3CE2" w:rsidRDefault="00AD3CE2" w14:paraId="774D601A" w14:textId="77777777">
      <w:pPr>
        <w:pStyle w:val="FootnoteText"/>
      </w:pPr>
      <w:r w:rsidRPr="00433A9F">
        <w:rPr>
          <w:rStyle w:val="FootnoteReference"/>
          <w:sz w:val="16"/>
          <w:szCs w:val="16"/>
        </w:rPr>
        <w:footnoteRef/>
      </w:r>
      <w:r w:rsidRPr="00433A9F">
        <w:rPr>
          <w:sz w:val="16"/>
          <w:szCs w:val="16"/>
        </w:rPr>
        <w:t xml:space="preserve"> </w:t>
      </w:r>
      <w:hyperlink w:history="1" r:id="rId26">
        <w:r w:rsidRPr="00433A9F">
          <w:rPr>
            <w:rStyle w:val="Hyperlink"/>
            <w:sz w:val="16"/>
            <w:szCs w:val="16"/>
          </w:rPr>
          <w:t>https://www.depreciationrates.net.au/computer</w:t>
        </w:r>
      </w:hyperlink>
      <w:r w:rsidRPr="00433A9F">
        <w:rPr>
          <w:sz w:val="16"/>
          <w:szCs w:val="16"/>
        </w:rPr>
        <w:t xml:space="preserve"> </w:t>
      </w:r>
    </w:p>
  </w:footnote>
  <w:footnote w:id="42">
    <w:p w:rsidRPr="006B67CD" w:rsidR="00AD3CE2" w:rsidP="00AD3CE2" w:rsidRDefault="00AD3CE2" w14:paraId="6E6CAF9E" w14:textId="77777777">
      <w:pPr>
        <w:pStyle w:val="FootnoteText"/>
        <w:rPr>
          <w:sz w:val="16"/>
          <w:szCs w:val="16"/>
        </w:rPr>
      </w:pPr>
      <w:r w:rsidRPr="006B67CD">
        <w:rPr>
          <w:rStyle w:val="FootnoteReference"/>
          <w:sz w:val="16"/>
          <w:szCs w:val="16"/>
        </w:rPr>
        <w:footnoteRef/>
      </w:r>
      <w:r w:rsidRPr="006B67CD">
        <w:rPr>
          <w:sz w:val="16"/>
          <w:szCs w:val="16"/>
        </w:rPr>
        <w:t xml:space="preserve"> Mobile Muster. 2020. </w:t>
      </w:r>
      <w:r w:rsidRPr="0066575A">
        <w:rPr>
          <w:i/>
          <w:iCs/>
          <w:sz w:val="16"/>
          <w:szCs w:val="16"/>
        </w:rPr>
        <w:t>Insights into mobile phone use, reuse and recycling.</w:t>
      </w:r>
      <w:r w:rsidRPr="006B67CD">
        <w:rPr>
          <w:sz w:val="16"/>
          <w:szCs w:val="16"/>
        </w:rPr>
        <w:t xml:space="preserve"> p.1. Available at: </w:t>
      </w:r>
      <w:hyperlink w:history="1" r:id="rId27">
        <w:r w:rsidRPr="006B67CD">
          <w:rPr>
            <w:rStyle w:val="Hyperlink"/>
            <w:sz w:val="16"/>
            <w:szCs w:val="16"/>
          </w:rPr>
          <w:t>https://www.mobilemuster.com.au/wp-content/uploads/2020/09/Mobile-phone-use-reuse-and-recycling.pdf</w:t>
        </w:r>
      </w:hyperlink>
      <w:r w:rsidRPr="006B67CD">
        <w:rPr>
          <w:sz w:val="16"/>
          <w:szCs w:val="16"/>
        </w:rPr>
        <w:t xml:space="preserve">. </w:t>
      </w:r>
    </w:p>
  </w:footnote>
  <w:footnote w:id="43">
    <w:p w:rsidRPr="006B67CD" w:rsidR="00AD3CE2" w:rsidP="00AD3CE2" w:rsidRDefault="00AD3CE2" w14:paraId="5A9A2912" w14:textId="77777777">
      <w:pPr>
        <w:pStyle w:val="FootnoteText"/>
        <w:rPr>
          <w:sz w:val="16"/>
          <w:szCs w:val="16"/>
        </w:rPr>
      </w:pPr>
      <w:r w:rsidRPr="006B67CD">
        <w:rPr>
          <w:rStyle w:val="FootnoteReference"/>
          <w:sz w:val="16"/>
          <w:szCs w:val="16"/>
        </w:rPr>
        <w:footnoteRef/>
      </w:r>
      <w:r w:rsidRPr="006B67CD">
        <w:rPr>
          <w:sz w:val="16"/>
          <w:szCs w:val="16"/>
        </w:rPr>
        <w:t xml:space="preserve"> Ibid p.6. </w:t>
      </w:r>
    </w:p>
  </w:footnote>
  <w:footnote w:id="44">
    <w:p w:rsidRPr="006B67CD" w:rsidR="00AD3CE2" w:rsidP="00AD3CE2" w:rsidRDefault="00AD3CE2" w14:paraId="67268E4C" w14:textId="46993F9C">
      <w:pPr>
        <w:pStyle w:val="FootnoteText"/>
        <w:rPr>
          <w:sz w:val="16"/>
          <w:szCs w:val="16"/>
        </w:rPr>
      </w:pPr>
      <w:r w:rsidRPr="006B67CD">
        <w:rPr>
          <w:rStyle w:val="FootnoteReference"/>
          <w:sz w:val="16"/>
          <w:szCs w:val="16"/>
        </w:rPr>
        <w:footnoteRef/>
      </w:r>
      <w:r w:rsidRPr="006B67CD">
        <w:rPr>
          <w:sz w:val="16"/>
          <w:szCs w:val="16"/>
        </w:rPr>
        <w:t xml:space="preserve"> </w:t>
      </w:r>
      <w:r w:rsidRPr="006348CF" w:rsidR="006348CF">
        <w:rPr>
          <w:sz w:val="16"/>
          <w:szCs w:val="16"/>
        </w:rPr>
        <w:t xml:space="preserve">Mobile Muster. 2020. </w:t>
      </w:r>
      <w:r w:rsidRPr="0066575A" w:rsidR="006348CF">
        <w:rPr>
          <w:i/>
          <w:iCs/>
          <w:sz w:val="16"/>
          <w:szCs w:val="16"/>
        </w:rPr>
        <w:t>Insights into mobile phone use, reuse and recycling</w:t>
      </w:r>
      <w:r w:rsidRPr="006348CF" w:rsidR="006348CF">
        <w:rPr>
          <w:sz w:val="16"/>
          <w:szCs w:val="16"/>
        </w:rPr>
        <w:t>. p.</w:t>
      </w:r>
      <w:r w:rsidR="006348CF">
        <w:rPr>
          <w:sz w:val="16"/>
          <w:szCs w:val="16"/>
        </w:rPr>
        <w:t>5</w:t>
      </w:r>
      <w:r w:rsidRPr="006348CF" w:rsidR="006348CF">
        <w:rPr>
          <w:sz w:val="16"/>
          <w:szCs w:val="16"/>
        </w:rPr>
        <w:t xml:space="preserve">. Available at: </w:t>
      </w:r>
      <w:hyperlink w:history="1" r:id="rId28">
        <w:r w:rsidRPr="006348CF" w:rsidR="006348CF">
          <w:rPr>
            <w:rStyle w:val="Hyperlink"/>
            <w:sz w:val="16"/>
            <w:szCs w:val="16"/>
          </w:rPr>
          <w:t>https://www.mobilemuster.com.au/wp-content/uploads/2020/09/Mobile-phone-use-reuse-and-recycling.pdf</w:t>
        </w:r>
      </w:hyperlink>
      <w:r w:rsidRPr="006348CF" w:rsidR="006348CF">
        <w:rPr>
          <w:sz w:val="16"/>
          <w:szCs w:val="16"/>
        </w:rPr>
        <w:t>.</w:t>
      </w:r>
    </w:p>
  </w:footnote>
  <w:footnote w:id="45">
    <w:p w:rsidRPr="006B67CD" w:rsidR="00AD3CE2" w:rsidP="00AD3CE2" w:rsidRDefault="00AD3CE2" w14:paraId="4D2DF5FD" w14:textId="77777777">
      <w:pPr>
        <w:pStyle w:val="FootnoteText"/>
        <w:rPr>
          <w:sz w:val="16"/>
          <w:szCs w:val="16"/>
        </w:rPr>
      </w:pPr>
      <w:r w:rsidRPr="006B67CD">
        <w:rPr>
          <w:rStyle w:val="FootnoteReference"/>
          <w:sz w:val="16"/>
          <w:szCs w:val="16"/>
        </w:rPr>
        <w:footnoteRef/>
      </w:r>
      <w:r w:rsidRPr="006B67CD">
        <w:rPr>
          <w:sz w:val="16"/>
          <w:szCs w:val="16"/>
        </w:rPr>
        <w:t xml:space="preserve"> Ibid. p.9. </w:t>
      </w:r>
    </w:p>
  </w:footnote>
  <w:footnote w:id="46">
    <w:p w:rsidR="0020685A" w:rsidP="0020685A" w:rsidRDefault="0020685A" w14:paraId="035BA92E" w14:textId="77777777">
      <w:pPr>
        <w:pStyle w:val="FootnoteText"/>
      </w:pPr>
      <w:r w:rsidRPr="006B67CD">
        <w:rPr>
          <w:rStyle w:val="FootnoteReference"/>
          <w:sz w:val="16"/>
          <w:szCs w:val="16"/>
        </w:rPr>
        <w:footnoteRef/>
      </w:r>
      <w:r w:rsidRPr="006B67CD">
        <w:rPr>
          <w:sz w:val="16"/>
          <w:szCs w:val="16"/>
        </w:rPr>
        <w:t xml:space="preserve"> Ibid. p.14.</w:t>
      </w:r>
      <w:r>
        <w:t xml:space="preserve"> </w:t>
      </w:r>
    </w:p>
  </w:footnote>
  <w:footnote w:id="47">
    <w:p w:rsidR="0020685A" w:rsidP="0020685A" w:rsidRDefault="0020685A" w14:paraId="6E760008" w14:textId="77777777">
      <w:pPr>
        <w:pStyle w:val="FootnoteText"/>
      </w:pPr>
      <w:r w:rsidRPr="009B37FF">
        <w:rPr>
          <w:rStyle w:val="FootnoteReference"/>
          <w:sz w:val="16"/>
          <w:szCs w:val="16"/>
        </w:rPr>
        <w:footnoteRef/>
      </w:r>
      <w:r w:rsidRPr="009B37FF">
        <w:rPr>
          <w:sz w:val="16"/>
          <w:szCs w:val="16"/>
        </w:rPr>
        <w:t xml:space="preserve"> </w:t>
      </w:r>
      <w:r w:rsidRPr="00951AE6">
        <w:rPr>
          <w:sz w:val="16"/>
          <w:szCs w:val="16"/>
        </w:rPr>
        <w:t xml:space="preserve">Mobile Muster. 2020. </w:t>
      </w:r>
      <w:r w:rsidRPr="0066575A">
        <w:rPr>
          <w:i/>
          <w:iCs/>
          <w:sz w:val="16"/>
          <w:szCs w:val="16"/>
        </w:rPr>
        <w:t>Insights into mobile phone use, reuse and recycling</w:t>
      </w:r>
      <w:r w:rsidRPr="00951AE6">
        <w:rPr>
          <w:sz w:val="16"/>
          <w:szCs w:val="16"/>
        </w:rPr>
        <w:t xml:space="preserve">. p.14. Available at: </w:t>
      </w:r>
      <w:hyperlink w:history="1" r:id="rId29">
        <w:r w:rsidRPr="00951AE6">
          <w:rPr>
            <w:rStyle w:val="Hyperlink"/>
            <w:sz w:val="16"/>
            <w:szCs w:val="16"/>
          </w:rPr>
          <w:t>https://www.mobilemuster.com.au/wp-content/uploads/2020/09/Mobile-phone-use-reuse-and-recycling.pdf</w:t>
        </w:r>
      </w:hyperlink>
      <w:r w:rsidRPr="00951AE6">
        <w:rPr>
          <w:sz w:val="16"/>
          <w:szCs w:val="16"/>
        </w:rPr>
        <w:t>.</w:t>
      </w:r>
    </w:p>
  </w:footnote>
  <w:footnote w:id="48">
    <w:p w:rsidRPr="00355B4D" w:rsidR="00CD3D2A" w:rsidP="00CD3D2A" w:rsidRDefault="00CD3D2A" w14:paraId="665F0BDE" w14:textId="57018FD7">
      <w:pPr>
        <w:pStyle w:val="FootnoteText"/>
        <w:rPr>
          <w:sz w:val="16"/>
          <w:szCs w:val="16"/>
        </w:rPr>
      </w:pPr>
      <w:r w:rsidRPr="00355B4D">
        <w:rPr>
          <w:rStyle w:val="FootnoteReference"/>
          <w:sz w:val="16"/>
          <w:szCs w:val="16"/>
        </w:rPr>
        <w:footnoteRef/>
      </w:r>
      <w:r w:rsidRPr="00355B4D">
        <w:rPr>
          <w:sz w:val="16"/>
          <w:szCs w:val="16"/>
        </w:rPr>
        <w:t xml:space="preserve"> Productivity Commission</w:t>
      </w:r>
      <w:r w:rsidR="000A09D5">
        <w:rPr>
          <w:sz w:val="16"/>
          <w:szCs w:val="16"/>
        </w:rPr>
        <w:t>. 2021.</w:t>
      </w:r>
      <w:r w:rsidRPr="00355B4D">
        <w:rPr>
          <w:sz w:val="16"/>
          <w:szCs w:val="16"/>
        </w:rPr>
        <w:t xml:space="preserve"> </w:t>
      </w:r>
      <w:r w:rsidRPr="000A09D5">
        <w:rPr>
          <w:i/>
          <w:iCs/>
          <w:sz w:val="16"/>
          <w:szCs w:val="16"/>
        </w:rPr>
        <w:t>Inquiry Report - Right to Repair Overview &amp; Recommendations</w:t>
      </w:r>
      <w:r w:rsidRPr="00355B4D">
        <w:rPr>
          <w:sz w:val="16"/>
          <w:szCs w:val="16"/>
        </w:rPr>
        <w:t xml:space="preserve">. </w:t>
      </w:r>
      <w:r w:rsidR="00332B6D">
        <w:rPr>
          <w:sz w:val="16"/>
          <w:szCs w:val="16"/>
        </w:rPr>
        <w:t>p</w:t>
      </w:r>
      <w:r w:rsidR="0066575A">
        <w:rPr>
          <w:sz w:val="16"/>
          <w:szCs w:val="16"/>
        </w:rPr>
        <w:t>.</w:t>
      </w:r>
      <w:r w:rsidRPr="00355B4D">
        <w:rPr>
          <w:sz w:val="16"/>
          <w:szCs w:val="16"/>
        </w:rPr>
        <w:t xml:space="preserve">6. Available at: </w:t>
      </w:r>
      <w:hyperlink w:history="1" r:id="rId30">
        <w:r w:rsidRPr="00355B4D">
          <w:rPr>
            <w:rStyle w:val="Hyperlink"/>
            <w:sz w:val="16"/>
            <w:szCs w:val="16"/>
          </w:rPr>
          <w:t>https://www.pc.gov.au/inquiries/completed/repair/report/repair-overview.pdf</w:t>
        </w:r>
      </w:hyperlink>
    </w:p>
  </w:footnote>
  <w:footnote w:id="49">
    <w:p w:rsidRPr="00355B4D" w:rsidR="00CD3D2A" w:rsidP="00CD3D2A" w:rsidRDefault="00CD3D2A" w14:paraId="67573BFB" w14:textId="3ED3FC31">
      <w:pPr>
        <w:pStyle w:val="FootnoteText"/>
        <w:rPr>
          <w:sz w:val="16"/>
          <w:szCs w:val="16"/>
        </w:rPr>
      </w:pPr>
      <w:r w:rsidRPr="00355B4D">
        <w:rPr>
          <w:rStyle w:val="FootnoteReference"/>
          <w:sz w:val="16"/>
          <w:szCs w:val="16"/>
        </w:rPr>
        <w:footnoteRef/>
      </w:r>
      <w:r w:rsidRPr="00355B4D">
        <w:rPr>
          <w:sz w:val="16"/>
          <w:szCs w:val="16"/>
        </w:rPr>
        <w:t xml:space="preserve"> Ibid p</w:t>
      </w:r>
      <w:r w:rsidR="00145200">
        <w:rPr>
          <w:sz w:val="16"/>
          <w:szCs w:val="16"/>
        </w:rPr>
        <w:t>.</w:t>
      </w:r>
      <w:r w:rsidRPr="00355B4D">
        <w:rPr>
          <w:sz w:val="16"/>
          <w:szCs w:val="16"/>
        </w:rPr>
        <w:t>29.</w:t>
      </w:r>
    </w:p>
  </w:footnote>
  <w:footnote w:id="50">
    <w:p w:rsidRPr="00355B4D" w:rsidR="00CD3D2A" w:rsidP="00CD3D2A" w:rsidRDefault="00CD3D2A" w14:paraId="18A50173" w14:textId="657EC0DC">
      <w:pPr>
        <w:pStyle w:val="FootnoteText"/>
        <w:rPr>
          <w:sz w:val="16"/>
          <w:szCs w:val="16"/>
        </w:rPr>
      </w:pPr>
      <w:r w:rsidRPr="00355B4D">
        <w:rPr>
          <w:rStyle w:val="FootnoteReference"/>
          <w:sz w:val="16"/>
          <w:szCs w:val="16"/>
        </w:rPr>
        <w:footnoteRef/>
      </w:r>
      <w:r w:rsidRPr="00355B4D">
        <w:rPr>
          <w:sz w:val="16"/>
          <w:szCs w:val="16"/>
        </w:rPr>
        <w:t xml:space="preserve"> Ibid p</w:t>
      </w:r>
      <w:r w:rsidR="00145200">
        <w:rPr>
          <w:sz w:val="16"/>
          <w:szCs w:val="16"/>
        </w:rPr>
        <w:t>.</w:t>
      </w:r>
      <w:r w:rsidRPr="00355B4D">
        <w:rPr>
          <w:sz w:val="16"/>
          <w:szCs w:val="16"/>
        </w:rPr>
        <w:t>31</w:t>
      </w:r>
    </w:p>
  </w:footnote>
  <w:footnote w:id="51">
    <w:p w:rsidRPr="00355B4D" w:rsidR="00CD3D2A" w:rsidP="00CD3D2A" w:rsidRDefault="00CD3D2A" w14:paraId="0D355686" w14:textId="4AB9A8B0">
      <w:pPr>
        <w:pStyle w:val="FootnoteText"/>
        <w:rPr>
          <w:sz w:val="16"/>
          <w:szCs w:val="16"/>
        </w:rPr>
      </w:pPr>
      <w:r w:rsidRPr="00355B4D">
        <w:rPr>
          <w:rStyle w:val="FootnoteReference"/>
          <w:sz w:val="16"/>
          <w:szCs w:val="16"/>
        </w:rPr>
        <w:footnoteRef/>
      </w:r>
      <w:r w:rsidRPr="00355B4D">
        <w:rPr>
          <w:sz w:val="16"/>
          <w:szCs w:val="16"/>
        </w:rPr>
        <w:t xml:space="preserve"> Ibid p</w:t>
      </w:r>
      <w:r w:rsidR="00145200">
        <w:rPr>
          <w:sz w:val="16"/>
          <w:szCs w:val="16"/>
        </w:rPr>
        <w:t>.</w:t>
      </w:r>
      <w:r w:rsidRPr="00355B4D">
        <w:rPr>
          <w:sz w:val="16"/>
          <w:szCs w:val="16"/>
        </w:rPr>
        <w:t>31.</w:t>
      </w:r>
    </w:p>
  </w:footnote>
  <w:footnote w:id="52">
    <w:p w:rsidRPr="00E67109" w:rsidR="00CD3D2A" w:rsidP="00CD3D2A" w:rsidRDefault="00CD3D2A" w14:paraId="3B2713EE" w14:textId="77777777">
      <w:pPr>
        <w:pStyle w:val="FootnoteText"/>
      </w:pPr>
      <w:r w:rsidRPr="00F26B15">
        <w:rPr>
          <w:rStyle w:val="FootnoteReference"/>
          <w:sz w:val="16"/>
          <w:szCs w:val="16"/>
        </w:rPr>
        <w:footnoteRef/>
      </w:r>
      <w:r w:rsidRPr="00F26B15">
        <w:rPr>
          <w:sz w:val="16"/>
          <w:szCs w:val="16"/>
        </w:rPr>
        <w:t xml:space="preserve"> </w:t>
      </w:r>
      <w:proofErr w:type="spellStart"/>
      <w:r w:rsidRPr="00F26B15">
        <w:rPr>
          <w:sz w:val="16"/>
          <w:szCs w:val="16"/>
        </w:rPr>
        <w:t>WorkVentures</w:t>
      </w:r>
      <w:proofErr w:type="spellEnd"/>
      <w:r w:rsidRPr="00F26B15">
        <w:rPr>
          <w:sz w:val="16"/>
          <w:szCs w:val="16"/>
        </w:rPr>
        <w:t xml:space="preserve">. 2023. </w:t>
      </w:r>
      <w:proofErr w:type="spellStart"/>
      <w:r w:rsidRPr="00F26B15">
        <w:rPr>
          <w:i/>
          <w:iCs/>
          <w:sz w:val="16"/>
          <w:szCs w:val="16"/>
        </w:rPr>
        <w:t>WorkVentures</w:t>
      </w:r>
      <w:proofErr w:type="spellEnd"/>
      <w:r w:rsidRPr="00F26B15">
        <w:rPr>
          <w:i/>
          <w:iCs/>
          <w:sz w:val="16"/>
          <w:szCs w:val="16"/>
        </w:rPr>
        <w:t xml:space="preserve"> submission to the Regulation for small electrical products and solar photovoltaic systems</w:t>
      </w:r>
      <w:r w:rsidRPr="00F26B15">
        <w:rPr>
          <w:sz w:val="16"/>
          <w:szCs w:val="16"/>
        </w:rPr>
        <w:t xml:space="preserve">. p.2. </w:t>
      </w:r>
    </w:p>
  </w:footnote>
  <w:footnote w:id="53">
    <w:p w:rsidRPr="009E5148" w:rsidR="00CD3D2A" w:rsidP="00CD3D2A" w:rsidRDefault="00CD3D2A" w14:paraId="65346CA6" w14:textId="77777777">
      <w:pPr>
        <w:pStyle w:val="FootnoteText"/>
        <w:rPr>
          <w:sz w:val="16"/>
          <w:szCs w:val="16"/>
        </w:rPr>
      </w:pPr>
      <w:r w:rsidRPr="009E5148">
        <w:rPr>
          <w:rStyle w:val="FootnoteReference"/>
          <w:sz w:val="16"/>
          <w:szCs w:val="16"/>
        </w:rPr>
        <w:footnoteRef/>
      </w:r>
      <w:r w:rsidRPr="009E5148">
        <w:rPr>
          <w:sz w:val="16"/>
          <w:szCs w:val="16"/>
        </w:rPr>
        <w:t xml:space="preserve"> </w:t>
      </w:r>
      <w:proofErr w:type="spellStart"/>
      <w:r w:rsidRPr="009E5148">
        <w:rPr>
          <w:sz w:val="16"/>
          <w:szCs w:val="16"/>
        </w:rPr>
        <w:t>WorkVentures</w:t>
      </w:r>
      <w:proofErr w:type="spellEnd"/>
      <w:r w:rsidRPr="009E5148">
        <w:rPr>
          <w:sz w:val="16"/>
          <w:szCs w:val="16"/>
        </w:rPr>
        <w:t xml:space="preserve">. 2023. </w:t>
      </w:r>
      <w:proofErr w:type="spellStart"/>
      <w:r w:rsidRPr="009E5148">
        <w:rPr>
          <w:i/>
          <w:iCs/>
          <w:sz w:val="16"/>
          <w:szCs w:val="16"/>
        </w:rPr>
        <w:t>WorkVentures</w:t>
      </w:r>
      <w:proofErr w:type="spellEnd"/>
      <w:r w:rsidRPr="009E5148">
        <w:rPr>
          <w:i/>
          <w:iCs/>
          <w:sz w:val="16"/>
          <w:szCs w:val="16"/>
        </w:rPr>
        <w:t xml:space="preserve"> submission to the Regulation for small electrical products and solar photovoltaic systems</w:t>
      </w:r>
      <w:r w:rsidRPr="009E5148">
        <w:rPr>
          <w:sz w:val="16"/>
          <w:szCs w:val="16"/>
        </w:rPr>
        <w:t>. p.2.</w:t>
      </w:r>
    </w:p>
  </w:footnote>
  <w:footnote w:id="54">
    <w:p w:rsidRPr="00FE6766" w:rsidR="003655FA" w:rsidP="003655FA" w:rsidRDefault="003655FA" w14:paraId="2103535A" w14:textId="47A51B0D">
      <w:pPr>
        <w:pStyle w:val="FootnoteText"/>
        <w:rPr>
          <w:sz w:val="16"/>
          <w:szCs w:val="16"/>
        </w:rPr>
      </w:pPr>
      <w:r w:rsidRPr="00FE6766">
        <w:rPr>
          <w:rStyle w:val="FootnoteReference"/>
          <w:sz w:val="16"/>
          <w:szCs w:val="16"/>
        </w:rPr>
        <w:footnoteRef/>
      </w:r>
      <w:r w:rsidRPr="00FE6766">
        <w:rPr>
          <w:sz w:val="16"/>
          <w:szCs w:val="16"/>
        </w:rPr>
        <w:t xml:space="preserve"> IT wire.</w:t>
      </w:r>
      <w:r w:rsidR="000A09D5">
        <w:rPr>
          <w:sz w:val="16"/>
          <w:szCs w:val="16"/>
        </w:rPr>
        <w:t xml:space="preserve"> 2022.</w:t>
      </w:r>
      <w:r w:rsidRPr="00FE6766">
        <w:rPr>
          <w:sz w:val="16"/>
          <w:szCs w:val="16"/>
        </w:rPr>
        <w:t xml:space="preserve"> </w:t>
      </w:r>
      <w:r w:rsidRPr="000A09D5">
        <w:rPr>
          <w:i/>
          <w:iCs/>
          <w:sz w:val="16"/>
          <w:szCs w:val="16"/>
        </w:rPr>
        <w:t>Australian smartphone sales growing slowly, with Android gaining market share</w:t>
      </w:r>
      <w:r w:rsidRPr="00FE6766">
        <w:rPr>
          <w:sz w:val="16"/>
          <w:szCs w:val="16"/>
        </w:rPr>
        <w:t xml:space="preserve">. </w:t>
      </w:r>
      <w:r w:rsidR="000A09D5">
        <w:rPr>
          <w:sz w:val="16"/>
          <w:szCs w:val="16"/>
        </w:rPr>
        <w:t>A</w:t>
      </w:r>
      <w:r w:rsidRPr="00FE6766">
        <w:rPr>
          <w:sz w:val="16"/>
          <w:szCs w:val="16"/>
        </w:rPr>
        <w:t xml:space="preserve">vailable at: </w:t>
      </w:r>
      <w:hyperlink w:history="1" r:id="rId31">
        <w:r w:rsidRPr="00FE6766">
          <w:rPr>
            <w:rStyle w:val="Hyperlink"/>
            <w:sz w:val="16"/>
            <w:szCs w:val="16"/>
          </w:rPr>
          <w:t>https://itwire.com/it-industry-news/market/australian-smartphone-sales-growing-slowly,-with-android-gaining-market-share.html</w:t>
        </w:r>
      </w:hyperlink>
      <w:r w:rsidRPr="00FE6766">
        <w:rPr>
          <w:sz w:val="16"/>
          <w:szCs w:val="16"/>
        </w:rPr>
        <w:t xml:space="preserve"> </w:t>
      </w:r>
    </w:p>
  </w:footnote>
  <w:footnote w:id="55">
    <w:p w:rsidRPr="00FE6766" w:rsidR="003655FA" w:rsidP="003655FA" w:rsidRDefault="003655FA" w14:paraId="17A15DEB" w14:textId="71F80B03">
      <w:pPr>
        <w:pStyle w:val="FootnoteText"/>
        <w:rPr>
          <w:sz w:val="16"/>
          <w:szCs w:val="16"/>
        </w:rPr>
      </w:pPr>
      <w:r w:rsidRPr="00FE6766">
        <w:rPr>
          <w:rStyle w:val="FootnoteReference"/>
          <w:sz w:val="16"/>
          <w:szCs w:val="16"/>
        </w:rPr>
        <w:footnoteRef/>
      </w:r>
      <w:r w:rsidRPr="00FE6766">
        <w:rPr>
          <w:sz w:val="16"/>
          <w:szCs w:val="16"/>
        </w:rPr>
        <w:t xml:space="preserve"> </w:t>
      </w:r>
      <w:r>
        <w:rPr>
          <w:sz w:val="16"/>
          <w:szCs w:val="16"/>
        </w:rPr>
        <w:t>CHOICE.</w:t>
      </w:r>
      <w:r w:rsidRPr="00FE6766">
        <w:rPr>
          <w:sz w:val="16"/>
          <w:szCs w:val="16"/>
        </w:rPr>
        <w:t xml:space="preserve"> </w:t>
      </w:r>
      <w:r w:rsidR="000A09D5">
        <w:rPr>
          <w:sz w:val="16"/>
          <w:szCs w:val="16"/>
        </w:rPr>
        <w:t>2021.</w:t>
      </w:r>
      <w:r w:rsidR="0040484B">
        <w:rPr>
          <w:sz w:val="16"/>
          <w:szCs w:val="16"/>
        </w:rPr>
        <w:t xml:space="preserve"> </w:t>
      </w:r>
      <w:r w:rsidRPr="000A09D5">
        <w:rPr>
          <w:i/>
          <w:iCs/>
          <w:sz w:val="16"/>
          <w:szCs w:val="16"/>
        </w:rPr>
        <w:t>Submission to the productivity commission right to repair</w:t>
      </w:r>
      <w:r>
        <w:rPr>
          <w:sz w:val="16"/>
          <w:szCs w:val="16"/>
        </w:rPr>
        <w:t>.</w:t>
      </w:r>
      <w:r w:rsidRPr="00FE6766">
        <w:rPr>
          <w:sz w:val="16"/>
          <w:szCs w:val="16"/>
        </w:rPr>
        <w:t xml:space="preserve"> </w:t>
      </w:r>
      <w:r w:rsidR="00887095">
        <w:rPr>
          <w:sz w:val="16"/>
          <w:szCs w:val="16"/>
        </w:rPr>
        <w:t>p</w:t>
      </w:r>
      <w:r w:rsidR="000A09D5">
        <w:rPr>
          <w:sz w:val="16"/>
          <w:szCs w:val="16"/>
        </w:rPr>
        <w:t>.</w:t>
      </w:r>
      <w:r w:rsidRPr="00FE6766">
        <w:rPr>
          <w:sz w:val="16"/>
          <w:szCs w:val="16"/>
        </w:rPr>
        <w:t>18</w:t>
      </w:r>
      <w:r>
        <w:rPr>
          <w:sz w:val="16"/>
          <w:szCs w:val="16"/>
        </w:rPr>
        <w:t xml:space="preserve">. </w:t>
      </w:r>
    </w:p>
  </w:footnote>
  <w:footnote w:id="56">
    <w:p w:rsidR="003655FA" w:rsidP="003655FA" w:rsidRDefault="003655FA" w14:paraId="249CB905" w14:textId="77777777">
      <w:pPr>
        <w:pStyle w:val="FootnoteText"/>
      </w:pPr>
      <w:r w:rsidRPr="009B37FF">
        <w:rPr>
          <w:rStyle w:val="FootnoteReference"/>
          <w:sz w:val="16"/>
          <w:szCs w:val="16"/>
        </w:rPr>
        <w:footnoteRef/>
      </w:r>
      <w:r w:rsidRPr="009B37FF">
        <w:rPr>
          <w:sz w:val="16"/>
          <w:szCs w:val="16"/>
        </w:rPr>
        <w:t xml:space="preserve"> Mobile Muster. 2020. </w:t>
      </w:r>
      <w:r w:rsidRPr="000A09D5">
        <w:rPr>
          <w:i/>
          <w:iCs/>
          <w:sz w:val="16"/>
          <w:szCs w:val="16"/>
        </w:rPr>
        <w:t>Insights into mobile phone use, reuse and recycling.</w:t>
      </w:r>
      <w:r w:rsidRPr="009B37FF">
        <w:rPr>
          <w:sz w:val="16"/>
          <w:szCs w:val="16"/>
        </w:rPr>
        <w:t xml:space="preserve"> p.14. Available at: </w:t>
      </w:r>
      <w:hyperlink w:history="1" r:id="rId32">
        <w:r w:rsidRPr="00A2408D">
          <w:rPr>
            <w:rStyle w:val="Hyperlink"/>
            <w:sz w:val="16"/>
            <w:szCs w:val="16"/>
          </w:rPr>
          <w:t>https://www.mobilemuster.com.au/wp-content/uploads/2020/09/Mobile-phone-use-reuse-and-recycling.pdf</w:t>
        </w:r>
      </w:hyperlink>
      <w:r w:rsidRPr="009B37FF">
        <w:rPr>
          <w:sz w:val="16"/>
          <w:szCs w:val="16"/>
        </w:rPr>
        <w:t>.</w:t>
      </w:r>
      <w:r>
        <w:rPr>
          <w:sz w:val="16"/>
          <w:szCs w:val="16"/>
        </w:rPr>
        <w:t xml:space="preserve"> </w:t>
      </w:r>
    </w:p>
  </w:footnote>
  <w:footnote w:id="57">
    <w:p w:rsidRPr="00C538FA" w:rsidR="00A971E8" w:rsidP="00A971E8" w:rsidRDefault="00A971E8" w14:paraId="67C11136" w14:textId="1BC3FF06">
      <w:pPr>
        <w:pStyle w:val="FootnoteText"/>
        <w:rPr>
          <w:sz w:val="16"/>
          <w:szCs w:val="16"/>
        </w:rPr>
      </w:pPr>
      <w:r w:rsidRPr="00C538FA">
        <w:rPr>
          <w:rStyle w:val="FootnoteReference"/>
          <w:sz w:val="16"/>
          <w:szCs w:val="16"/>
        </w:rPr>
        <w:footnoteRef/>
      </w:r>
      <w:r w:rsidRPr="00C538FA">
        <w:rPr>
          <w:sz w:val="16"/>
          <w:szCs w:val="16"/>
        </w:rPr>
        <w:t xml:space="preserve"> </w:t>
      </w:r>
      <w:r w:rsidR="007F4C71">
        <w:rPr>
          <w:sz w:val="16"/>
          <w:szCs w:val="16"/>
        </w:rPr>
        <w:t>HaltObsolescence</w:t>
      </w:r>
      <w:r w:rsidR="00DA48FF">
        <w:rPr>
          <w:sz w:val="16"/>
          <w:szCs w:val="16"/>
        </w:rPr>
        <w:t xml:space="preserve">. </w:t>
      </w:r>
      <w:r w:rsidR="00670B89">
        <w:rPr>
          <w:sz w:val="16"/>
          <w:szCs w:val="16"/>
        </w:rPr>
        <w:t xml:space="preserve">2022. </w:t>
      </w:r>
      <w:r w:rsidRPr="00670B89">
        <w:rPr>
          <w:i/>
          <w:iCs/>
          <w:sz w:val="16"/>
          <w:szCs w:val="16"/>
        </w:rPr>
        <w:t>The French repairability index A first assessment – one year after its implementation</w:t>
      </w:r>
      <w:r w:rsidR="00670B89">
        <w:rPr>
          <w:sz w:val="16"/>
          <w:szCs w:val="16"/>
        </w:rPr>
        <w:t>. A</w:t>
      </w:r>
      <w:r w:rsidRPr="00C538FA">
        <w:rPr>
          <w:sz w:val="16"/>
          <w:szCs w:val="16"/>
        </w:rPr>
        <w:t xml:space="preserve">vailable at:  </w:t>
      </w:r>
      <w:hyperlink w:history="1" r:id="rId33">
        <w:r w:rsidRPr="00C538FA">
          <w:rPr>
            <w:rStyle w:val="Hyperlink"/>
            <w:sz w:val="16"/>
            <w:szCs w:val="16"/>
          </w:rPr>
          <w:t>https://www.halteobsolescence.org/wp-content/uploads/2022/02/Rapport-indice-de-reparabilite.pdf</w:t>
        </w:r>
      </w:hyperlink>
      <w:r w:rsidR="00670B89">
        <w:rPr>
          <w:rStyle w:val="Hyperlink"/>
          <w:sz w:val="16"/>
          <w:szCs w:val="16"/>
        </w:rPr>
        <w:t>.</w:t>
      </w:r>
    </w:p>
  </w:footnote>
  <w:footnote w:id="58">
    <w:p w:rsidRPr="00C538FA" w:rsidR="00A971E8" w:rsidP="00A971E8" w:rsidRDefault="00A971E8" w14:paraId="74BE2F3D" w14:textId="2614A432">
      <w:pPr>
        <w:pStyle w:val="FootnoteText"/>
        <w:rPr>
          <w:sz w:val="16"/>
          <w:szCs w:val="16"/>
        </w:rPr>
      </w:pPr>
      <w:r w:rsidRPr="00C538FA">
        <w:rPr>
          <w:rStyle w:val="FootnoteReference"/>
          <w:sz w:val="16"/>
          <w:szCs w:val="16"/>
        </w:rPr>
        <w:footnoteRef/>
      </w:r>
      <w:r w:rsidRPr="00C538FA">
        <w:rPr>
          <w:sz w:val="16"/>
          <w:szCs w:val="16"/>
        </w:rPr>
        <w:t xml:space="preserve"> Ibid p</w:t>
      </w:r>
      <w:r w:rsidR="00145200">
        <w:rPr>
          <w:sz w:val="16"/>
          <w:szCs w:val="16"/>
        </w:rPr>
        <w:t>.</w:t>
      </w:r>
      <w:r w:rsidRPr="00C538FA">
        <w:rPr>
          <w:sz w:val="16"/>
          <w:szCs w:val="16"/>
        </w:rPr>
        <w:t xml:space="preserve">2. </w:t>
      </w:r>
    </w:p>
  </w:footnote>
  <w:footnote w:id="59">
    <w:p w:rsidRPr="00C538FA" w:rsidR="00A971E8" w:rsidP="00A971E8" w:rsidRDefault="00A971E8" w14:paraId="3F272335" w14:textId="663CA006">
      <w:pPr>
        <w:pStyle w:val="FootnoteText"/>
        <w:rPr>
          <w:sz w:val="16"/>
          <w:szCs w:val="16"/>
        </w:rPr>
      </w:pPr>
      <w:r w:rsidRPr="00C538FA">
        <w:rPr>
          <w:rStyle w:val="FootnoteReference"/>
          <w:sz w:val="16"/>
          <w:szCs w:val="16"/>
        </w:rPr>
        <w:footnoteRef/>
      </w:r>
      <w:r w:rsidRPr="00C538FA">
        <w:rPr>
          <w:sz w:val="16"/>
          <w:szCs w:val="16"/>
        </w:rPr>
        <w:t xml:space="preserve"> Ibid p</w:t>
      </w:r>
      <w:r w:rsidR="00145200">
        <w:rPr>
          <w:sz w:val="16"/>
          <w:szCs w:val="16"/>
        </w:rPr>
        <w:t>.</w:t>
      </w:r>
      <w:r w:rsidRPr="00C538FA">
        <w:rPr>
          <w:sz w:val="16"/>
          <w:szCs w:val="16"/>
        </w:rPr>
        <w:t>44.</w:t>
      </w:r>
    </w:p>
  </w:footnote>
  <w:footnote w:id="60">
    <w:p w:rsidRPr="00C538FA" w:rsidR="00A971E8" w:rsidP="00A971E8" w:rsidRDefault="00A971E8" w14:paraId="5B7E7F65" w14:textId="4C8DE1A4">
      <w:pPr>
        <w:pStyle w:val="FootnoteText"/>
        <w:rPr>
          <w:sz w:val="16"/>
          <w:szCs w:val="16"/>
        </w:rPr>
      </w:pPr>
      <w:r w:rsidRPr="00C538FA">
        <w:rPr>
          <w:rStyle w:val="FootnoteReference"/>
          <w:sz w:val="16"/>
          <w:szCs w:val="16"/>
        </w:rPr>
        <w:footnoteRef/>
      </w:r>
      <w:r w:rsidRPr="00C538FA">
        <w:rPr>
          <w:sz w:val="16"/>
          <w:szCs w:val="16"/>
        </w:rPr>
        <w:t xml:space="preserve"> CHOICE. </w:t>
      </w:r>
      <w:r w:rsidR="006D0681">
        <w:rPr>
          <w:sz w:val="16"/>
          <w:szCs w:val="16"/>
        </w:rPr>
        <w:t xml:space="preserve">2021. </w:t>
      </w:r>
      <w:r w:rsidRPr="00670B89">
        <w:rPr>
          <w:i/>
          <w:iCs/>
          <w:sz w:val="16"/>
          <w:szCs w:val="16"/>
        </w:rPr>
        <w:t>Submission to the productivity commission right to repair</w:t>
      </w:r>
      <w:r w:rsidR="006D0681">
        <w:rPr>
          <w:sz w:val="16"/>
          <w:szCs w:val="16"/>
        </w:rPr>
        <w:t>. p.</w:t>
      </w:r>
      <w:r w:rsidRPr="00C538FA">
        <w:rPr>
          <w:sz w:val="16"/>
          <w:szCs w:val="16"/>
        </w:rPr>
        <w:t>26</w:t>
      </w:r>
      <w:r w:rsidR="006D0681">
        <w:rPr>
          <w:sz w:val="16"/>
          <w:szCs w:val="16"/>
        </w:rPr>
        <w:t xml:space="preserve">. </w:t>
      </w:r>
    </w:p>
  </w:footnote>
  <w:footnote w:id="61">
    <w:p w:rsidRPr="00C538FA" w:rsidR="002D40CC" w:rsidP="002D40CC" w:rsidRDefault="002D40CC" w14:paraId="694BB13E" w14:textId="77777777">
      <w:pPr>
        <w:pStyle w:val="FootnoteText"/>
        <w:rPr>
          <w:sz w:val="16"/>
          <w:szCs w:val="16"/>
        </w:rPr>
      </w:pPr>
      <w:r w:rsidRPr="00C538FA">
        <w:rPr>
          <w:rStyle w:val="FootnoteReference"/>
          <w:sz w:val="16"/>
          <w:szCs w:val="16"/>
        </w:rPr>
        <w:footnoteRef/>
      </w:r>
      <w:r w:rsidRPr="00C538FA">
        <w:rPr>
          <w:sz w:val="16"/>
          <w:szCs w:val="16"/>
        </w:rPr>
        <w:t xml:space="preserve"> Ifixit. 2021. </w:t>
      </w:r>
      <w:r w:rsidRPr="00670B89">
        <w:rPr>
          <w:i/>
          <w:iCs/>
          <w:sz w:val="16"/>
          <w:szCs w:val="16"/>
        </w:rPr>
        <w:t>Response to request for information from the Australian Productivity Commission</w:t>
      </w:r>
      <w:r w:rsidRPr="00C538FA">
        <w:rPr>
          <w:sz w:val="16"/>
          <w:szCs w:val="16"/>
        </w:rPr>
        <w:t xml:space="preserve">. p.4. Available at: </w:t>
      </w:r>
      <w:hyperlink w:history="1" r:id="rId34">
        <w:r w:rsidRPr="00C538FA">
          <w:rPr>
            <w:rStyle w:val="Hyperlink"/>
            <w:sz w:val="16"/>
            <w:szCs w:val="16"/>
          </w:rPr>
          <w:t>https://www.pc.gov.au/__data/assets/pdf_file/0005/272696/sub107-repair.pdf</w:t>
        </w:r>
      </w:hyperlink>
      <w:r w:rsidRPr="00C538FA">
        <w:rPr>
          <w:sz w:val="16"/>
          <w:szCs w:val="16"/>
        </w:rPr>
        <w:t xml:space="preserve">. </w:t>
      </w:r>
    </w:p>
  </w:footnote>
  <w:footnote w:id="62">
    <w:p w:rsidRPr="00C538FA" w:rsidR="002D40CC" w:rsidP="002D40CC" w:rsidRDefault="002D40CC" w14:paraId="17DB98C7" w14:textId="77777777">
      <w:pPr>
        <w:pStyle w:val="FootnoteText"/>
        <w:rPr>
          <w:sz w:val="16"/>
          <w:szCs w:val="16"/>
        </w:rPr>
      </w:pPr>
      <w:r w:rsidRPr="00C538FA">
        <w:rPr>
          <w:rStyle w:val="FootnoteReference"/>
          <w:sz w:val="16"/>
          <w:szCs w:val="16"/>
        </w:rPr>
        <w:footnoteRef/>
      </w:r>
      <w:r w:rsidRPr="00C538FA">
        <w:rPr>
          <w:sz w:val="16"/>
          <w:szCs w:val="16"/>
        </w:rPr>
        <w:t xml:space="preserve"> Ibid p.5. </w:t>
      </w:r>
    </w:p>
  </w:footnote>
  <w:footnote w:id="63">
    <w:p w:rsidRPr="00AF4630" w:rsidR="002D40CC" w:rsidP="002D40CC" w:rsidRDefault="002D40CC" w14:paraId="5E80CA6E" w14:textId="50A18484">
      <w:pPr>
        <w:pStyle w:val="FootnoteText"/>
        <w:rPr>
          <w:sz w:val="16"/>
          <w:szCs w:val="16"/>
        </w:rPr>
      </w:pPr>
      <w:r w:rsidRPr="00C538FA">
        <w:rPr>
          <w:rStyle w:val="FootnoteReference"/>
          <w:sz w:val="16"/>
          <w:szCs w:val="16"/>
        </w:rPr>
        <w:footnoteRef/>
      </w:r>
      <w:r w:rsidRPr="00C538FA">
        <w:rPr>
          <w:sz w:val="16"/>
          <w:szCs w:val="16"/>
        </w:rPr>
        <w:t xml:space="preserve"> </w:t>
      </w:r>
      <w:r w:rsidRPr="00C538FA" w:rsidR="006348CF">
        <w:rPr>
          <w:sz w:val="16"/>
          <w:szCs w:val="16"/>
        </w:rPr>
        <w:t xml:space="preserve">Ifixit. 2021. </w:t>
      </w:r>
      <w:r w:rsidRPr="00670B89" w:rsidR="006348CF">
        <w:rPr>
          <w:i/>
          <w:iCs/>
          <w:sz w:val="16"/>
          <w:szCs w:val="16"/>
        </w:rPr>
        <w:t>Response to request for information from the Australian Productivity Commission</w:t>
      </w:r>
      <w:r w:rsidRPr="00C538FA" w:rsidR="006348CF">
        <w:rPr>
          <w:sz w:val="16"/>
          <w:szCs w:val="16"/>
        </w:rPr>
        <w:t xml:space="preserve">. p.9. Available at: </w:t>
      </w:r>
      <w:hyperlink w:history="1" r:id="rId35">
        <w:r w:rsidRPr="00C538FA" w:rsidR="006348CF">
          <w:rPr>
            <w:rStyle w:val="Hyperlink"/>
            <w:sz w:val="16"/>
            <w:szCs w:val="16"/>
          </w:rPr>
          <w:t>https://www.pc.gov.au/__data/assets/pdf_file/0005/272696/sub107-repair.pdf</w:t>
        </w:r>
      </w:hyperlink>
      <w:r w:rsidRPr="00C538FA" w:rsidR="006348CF">
        <w:rPr>
          <w:sz w:val="16"/>
          <w:szCs w:val="16"/>
        </w:rPr>
        <w:t>.</w:t>
      </w:r>
    </w:p>
  </w:footnote>
  <w:footnote w:id="64">
    <w:p w:rsidRPr="00AF4630" w:rsidR="000C0570" w:rsidRDefault="000C0570" w14:paraId="69A8C3C5" w14:textId="4CAAAC89">
      <w:pPr>
        <w:pStyle w:val="FootnoteText"/>
        <w:rPr>
          <w:sz w:val="16"/>
          <w:szCs w:val="16"/>
        </w:rPr>
      </w:pPr>
      <w:r w:rsidRPr="00AF4630">
        <w:rPr>
          <w:rStyle w:val="FootnoteReference"/>
          <w:sz w:val="16"/>
          <w:szCs w:val="16"/>
        </w:rPr>
        <w:footnoteRef/>
      </w:r>
      <w:r w:rsidRPr="00AF4630">
        <w:rPr>
          <w:sz w:val="16"/>
          <w:szCs w:val="16"/>
        </w:rPr>
        <w:t xml:space="preserve"> </w:t>
      </w:r>
      <w:r w:rsidRPr="00AF4630" w:rsidR="001E782F">
        <w:rPr>
          <w:sz w:val="16"/>
          <w:szCs w:val="16"/>
        </w:rPr>
        <w:t xml:space="preserve">ACCC. 2023. </w:t>
      </w:r>
      <w:r w:rsidRPr="00670B89" w:rsidR="001E782F">
        <w:rPr>
          <w:i/>
          <w:iCs/>
          <w:sz w:val="16"/>
          <w:szCs w:val="16"/>
        </w:rPr>
        <w:t>Communications Market Report 2022-2023</w:t>
      </w:r>
      <w:r w:rsidRPr="00AF4630" w:rsidR="001E782F">
        <w:rPr>
          <w:sz w:val="16"/>
          <w:szCs w:val="16"/>
        </w:rPr>
        <w:t xml:space="preserve">. </w:t>
      </w:r>
      <w:r w:rsidR="006F5D26">
        <w:rPr>
          <w:sz w:val="16"/>
          <w:szCs w:val="16"/>
        </w:rPr>
        <w:t>p</w:t>
      </w:r>
      <w:r w:rsidRPr="00AF4630" w:rsidR="00A255D8">
        <w:rPr>
          <w:sz w:val="16"/>
          <w:szCs w:val="16"/>
        </w:rPr>
        <w:t xml:space="preserve">.24. Available at: </w:t>
      </w:r>
      <w:hyperlink w:history="1" r:id="rId36">
        <w:r w:rsidRPr="00AF4630" w:rsidR="00A255D8">
          <w:rPr>
            <w:rStyle w:val="Hyperlink"/>
            <w:sz w:val="16"/>
            <w:szCs w:val="16"/>
          </w:rPr>
          <w:t>https://www.accc.gov.au/system/files/communications-market-report-2022-23.pdf</w:t>
        </w:r>
      </w:hyperlink>
      <w:r w:rsidRPr="00AF4630">
        <w:rPr>
          <w:sz w:val="16"/>
          <w:szCs w:val="16"/>
        </w:rPr>
        <w:t xml:space="preserve"> </w:t>
      </w:r>
    </w:p>
  </w:footnote>
  <w:footnote w:id="65">
    <w:p w:rsidRPr="00AF4630" w:rsidR="000C0570" w:rsidP="000C0570" w:rsidRDefault="000C0570" w14:paraId="71EF9D8D" w14:textId="6C80B4C6">
      <w:pPr>
        <w:pStyle w:val="FootnoteText"/>
        <w:rPr>
          <w:sz w:val="16"/>
          <w:szCs w:val="16"/>
        </w:rPr>
      </w:pPr>
      <w:r w:rsidRPr="00AF4630">
        <w:rPr>
          <w:rStyle w:val="FootnoteReference"/>
          <w:sz w:val="16"/>
          <w:szCs w:val="16"/>
        </w:rPr>
        <w:footnoteRef/>
      </w:r>
      <w:r w:rsidRPr="00AF4630">
        <w:rPr>
          <w:sz w:val="16"/>
          <w:szCs w:val="16"/>
        </w:rPr>
        <w:t xml:space="preserve"> </w:t>
      </w:r>
      <w:r w:rsidRPr="00AF4630" w:rsidR="00A255D8">
        <w:rPr>
          <w:sz w:val="16"/>
          <w:szCs w:val="16"/>
        </w:rPr>
        <w:t xml:space="preserve">ACCAN. 2023. </w:t>
      </w:r>
      <w:r w:rsidRPr="00670B89" w:rsidR="00A255D8">
        <w:rPr>
          <w:i/>
          <w:iCs/>
          <w:sz w:val="16"/>
          <w:szCs w:val="16"/>
        </w:rPr>
        <w:t>ACCAN Research Snapshot: Affordability</w:t>
      </w:r>
      <w:r w:rsidRPr="00AF4630" w:rsidR="004E6860">
        <w:rPr>
          <w:sz w:val="16"/>
          <w:szCs w:val="16"/>
        </w:rPr>
        <w:t xml:space="preserve">. </w:t>
      </w:r>
      <w:r w:rsidR="006F5D26">
        <w:rPr>
          <w:sz w:val="16"/>
          <w:szCs w:val="16"/>
        </w:rPr>
        <w:t>p</w:t>
      </w:r>
      <w:r w:rsidRPr="00AF4630" w:rsidR="004E6860">
        <w:rPr>
          <w:sz w:val="16"/>
          <w:szCs w:val="16"/>
        </w:rPr>
        <w:t>.</w:t>
      </w:r>
      <w:r w:rsidRPr="00AF4630" w:rsidR="00A255D8">
        <w:rPr>
          <w:sz w:val="16"/>
          <w:szCs w:val="16"/>
        </w:rPr>
        <w:t xml:space="preserve">4. </w:t>
      </w:r>
      <w:r w:rsidRPr="00AF4630" w:rsidR="00070228">
        <w:rPr>
          <w:sz w:val="16"/>
          <w:szCs w:val="16"/>
        </w:rPr>
        <w:t xml:space="preserve">Available at: </w:t>
      </w:r>
      <w:hyperlink w:history="1" r:id="rId37">
        <w:r w:rsidRPr="00AF4630" w:rsidR="00070228">
          <w:rPr>
            <w:rStyle w:val="Hyperlink"/>
            <w:sz w:val="16"/>
            <w:szCs w:val="16"/>
          </w:rPr>
          <w:t>https://accan.org.au/accans-work/research/2251-affordability-snapshot-2023</w:t>
        </w:r>
      </w:hyperlink>
      <w:r w:rsidRPr="00AF4630" w:rsidR="00070228">
        <w:rPr>
          <w:sz w:val="16"/>
          <w:szCs w:val="16"/>
        </w:rPr>
        <w:t xml:space="preserve">. </w:t>
      </w:r>
    </w:p>
  </w:footnote>
  <w:footnote w:id="66">
    <w:p w:rsidRPr="00AF4630" w:rsidR="007B0800" w:rsidRDefault="007B0800" w14:paraId="24756D6D" w14:textId="20BD4A38">
      <w:pPr>
        <w:pStyle w:val="FootnoteText"/>
        <w:rPr>
          <w:sz w:val="16"/>
          <w:szCs w:val="16"/>
        </w:rPr>
      </w:pPr>
      <w:r w:rsidRPr="00AF4630">
        <w:rPr>
          <w:rStyle w:val="FootnoteReference"/>
          <w:sz w:val="16"/>
          <w:szCs w:val="16"/>
        </w:rPr>
        <w:footnoteRef/>
      </w:r>
      <w:r w:rsidRPr="00AF4630">
        <w:rPr>
          <w:sz w:val="16"/>
          <w:szCs w:val="16"/>
        </w:rPr>
        <w:t xml:space="preserve"> </w:t>
      </w:r>
      <w:r w:rsidR="00E668AA">
        <w:rPr>
          <w:sz w:val="16"/>
          <w:szCs w:val="16"/>
        </w:rPr>
        <w:t xml:space="preserve">ACCAN. 2022. </w:t>
      </w:r>
      <w:r w:rsidRPr="00670B89" w:rsidR="00E668AA">
        <w:rPr>
          <w:i/>
          <w:iCs/>
          <w:sz w:val="16"/>
          <w:szCs w:val="16"/>
        </w:rPr>
        <w:t>Pre-Budget Submission 2022-2023</w:t>
      </w:r>
      <w:r w:rsidR="00E668AA">
        <w:rPr>
          <w:sz w:val="16"/>
          <w:szCs w:val="16"/>
        </w:rPr>
        <w:t xml:space="preserve">. p.9. Available at: </w:t>
      </w:r>
      <w:hyperlink w:history="1" r:id="rId38">
        <w:r w:rsidRPr="00223511" w:rsidR="00566895">
          <w:rPr>
            <w:rStyle w:val="Hyperlink"/>
            <w:sz w:val="16"/>
            <w:szCs w:val="16"/>
          </w:rPr>
          <w:t>https://accan.org.au/accans-work/submissions/1953-accan-pre-budget-submission-2022-2023?highlight=WyJwcmUtYnVkZ2V0Il0=</w:t>
        </w:r>
      </w:hyperlink>
      <w:r w:rsidR="00566895">
        <w:rPr>
          <w:sz w:val="16"/>
          <w:szCs w:val="16"/>
        </w:rPr>
        <w:t xml:space="preserve">. </w:t>
      </w:r>
    </w:p>
  </w:footnote>
  <w:footnote w:id="67">
    <w:p w:rsidRPr="00AF4630" w:rsidR="00870B26" w:rsidRDefault="00870B26" w14:paraId="7D2C49EC" w14:textId="3DBDBCAB">
      <w:pPr>
        <w:pStyle w:val="FootnoteText"/>
        <w:rPr>
          <w:sz w:val="16"/>
          <w:szCs w:val="16"/>
        </w:rPr>
      </w:pPr>
      <w:r w:rsidRPr="00AF4630">
        <w:rPr>
          <w:rStyle w:val="FootnoteReference"/>
          <w:sz w:val="16"/>
          <w:szCs w:val="16"/>
        </w:rPr>
        <w:footnoteRef/>
      </w:r>
      <w:r w:rsidRPr="00AF4630">
        <w:rPr>
          <w:sz w:val="16"/>
          <w:szCs w:val="16"/>
        </w:rPr>
        <w:t xml:space="preserve"> </w:t>
      </w:r>
      <w:r w:rsidR="00706A69">
        <w:rPr>
          <w:sz w:val="16"/>
          <w:szCs w:val="16"/>
        </w:rPr>
        <w:t>Ibid.</w:t>
      </w:r>
    </w:p>
  </w:footnote>
  <w:footnote w:id="68">
    <w:p w:rsidRPr="00844A80" w:rsidR="0099796E" w:rsidRDefault="0099796E" w14:paraId="4C58FE8F" w14:textId="027588F2">
      <w:pPr>
        <w:pStyle w:val="FootnoteText"/>
        <w:rPr>
          <w:sz w:val="16"/>
          <w:szCs w:val="16"/>
        </w:rPr>
      </w:pPr>
      <w:r w:rsidRPr="00AF4630">
        <w:rPr>
          <w:rStyle w:val="FootnoteReference"/>
          <w:sz w:val="16"/>
          <w:szCs w:val="16"/>
        </w:rPr>
        <w:footnoteRef/>
      </w:r>
      <w:r w:rsidRPr="00AF4630">
        <w:rPr>
          <w:sz w:val="16"/>
          <w:szCs w:val="16"/>
        </w:rPr>
        <w:t xml:space="preserve"> </w:t>
      </w:r>
      <w:bookmarkStart w:name="_Hlk157413881" w:id="11"/>
      <w:r w:rsidR="00844A80">
        <w:rPr>
          <w:sz w:val="16"/>
          <w:szCs w:val="16"/>
        </w:rPr>
        <w:t xml:space="preserve">ACCAN. 2022. </w:t>
      </w:r>
      <w:r w:rsidRPr="00670B89" w:rsidR="00844A80">
        <w:rPr>
          <w:i/>
          <w:iCs/>
          <w:sz w:val="16"/>
          <w:szCs w:val="16"/>
        </w:rPr>
        <w:t>Pre-Budget Submission 2022-2023</w:t>
      </w:r>
      <w:r w:rsidR="00844A80">
        <w:rPr>
          <w:sz w:val="16"/>
          <w:szCs w:val="16"/>
        </w:rPr>
        <w:t xml:space="preserve">. p.9. Available at: </w:t>
      </w:r>
      <w:hyperlink w:history="1" r:id="rId39">
        <w:r w:rsidRPr="00223511" w:rsidR="00844A80">
          <w:rPr>
            <w:rStyle w:val="Hyperlink"/>
            <w:sz w:val="16"/>
            <w:szCs w:val="16"/>
          </w:rPr>
          <w:t>https://accan.org.au/accans-work/submissions/1953-accan-pre-budget-submission-2022-2023?highlight=WyJwcmUtYnVkZ2V0Il0=</w:t>
        </w:r>
      </w:hyperlink>
      <w:bookmarkEnd w:id="11"/>
      <w:r w:rsidR="00844A80">
        <w:rPr>
          <w:sz w:val="16"/>
          <w:szCs w:val="16"/>
        </w:rPr>
        <w:t xml:space="preserve">. </w:t>
      </w:r>
    </w:p>
  </w:footnote>
  <w:footnote w:id="69">
    <w:p w:rsidRPr="009828E0" w:rsidR="003A6F81" w:rsidRDefault="003A6F81" w14:paraId="37D3373E" w14:textId="44104A8B">
      <w:pPr>
        <w:pStyle w:val="FootnoteText"/>
        <w:rPr>
          <w:sz w:val="16"/>
          <w:szCs w:val="16"/>
        </w:rPr>
      </w:pPr>
      <w:r w:rsidRPr="009828E0">
        <w:rPr>
          <w:rStyle w:val="FootnoteReference"/>
          <w:sz w:val="16"/>
          <w:szCs w:val="16"/>
        </w:rPr>
        <w:footnoteRef/>
      </w:r>
      <w:r w:rsidRPr="009828E0">
        <w:rPr>
          <w:sz w:val="16"/>
          <w:szCs w:val="16"/>
        </w:rPr>
        <w:t xml:space="preserve"> </w:t>
      </w:r>
      <w:r w:rsidRPr="009828E0" w:rsidR="00576892">
        <w:rPr>
          <w:sz w:val="16"/>
          <w:szCs w:val="16"/>
        </w:rPr>
        <w:t xml:space="preserve">DITRDCA. 2023. </w:t>
      </w:r>
      <w:r w:rsidRPr="00670B89" w:rsidR="00576892">
        <w:rPr>
          <w:i/>
          <w:iCs/>
          <w:sz w:val="16"/>
          <w:szCs w:val="16"/>
        </w:rPr>
        <w:t>Mobile Black Spot Program</w:t>
      </w:r>
      <w:r w:rsidRPr="009828E0" w:rsidR="00576892">
        <w:rPr>
          <w:sz w:val="16"/>
          <w:szCs w:val="16"/>
        </w:rPr>
        <w:t xml:space="preserve">. Available at: </w:t>
      </w:r>
      <w:hyperlink w:history="1" r:id="rId40">
        <w:r w:rsidRPr="009828E0" w:rsidR="00576892">
          <w:rPr>
            <w:rStyle w:val="Hyperlink"/>
            <w:sz w:val="16"/>
            <w:szCs w:val="16"/>
          </w:rPr>
          <w:t>https://www.infrastructure.gov.au/media-communications-arts/phone/mobile-services-and-coverage/mobile-black-spot-program</w:t>
        </w:r>
      </w:hyperlink>
      <w:r w:rsidRPr="009828E0" w:rsidR="00576892">
        <w:rPr>
          <w:sz w:val="16"/>
          <w:szCs w:val="16"/>
        </w:rPr>
        <w:t xml:space="preserve">. </w:t>
      </w:r>
    </w:p>
  </w:footnote>
  <w:footnote w:id="70">
    <w:p w:rsidRPr="009828E0" w:rsidR="00593351" w:rsidRDefault="00593351" w14:paraId="735F2107" w14:textId="6EFBAF84">
      <w:pPr>
        <w:pStyle w:val="FootnoteText"/>
        <w:rPr>
          <w:sz w:val="16"/>
          <w:szCs w:val="16"/>
        </w:rPr>
      </w:pPr>
      <w:r w:rsidRPr="009828E0">
        <w:rPr>
          <w:rStyle w:val="FootnoteReference"/>
          <w:sz w:val="16"/>
          <w:szCs w:val="16"/>
        </w:rPr>
        <w:footnoteRef/>
      </w:r>
      <w:r w:rsidRPr="009828E0">
        <w:rPr>
          <w:sz w:val="16"/>
          <w:szCs w:val="16"/>
        </w:rPr>
        <w:t xml:space="preserve"> </w:t>
      </w:r>
      <w:r w:rsidRPr="009828E0" w:rsidR="00576892">
        <w:rPr>
          <w:sz w:val="16"/>
          <w:szCs w:val="16"/>
        </w:rPr>
        <w:t xml:space="preserve">Ibid. </w:t>
      </w:r>
    </w:p>
  </w:footnote>
  <w:footnote w:id="71">
    <w:p w:rsidR="00182945" w:rsidRDefault="00182945" w14:paraId="43607D2C" w14:textId="034858AD">
      <w:pPr>
        <w:pStyle w:val="FootnoteText"/>
      </w:pPr>
      <w:r>
        <w:rPr>
          <w:rStyle w:val="FootnoteReference"/>
        </w:rPr>
        <w:footnoteRef/>
      </w:r>
      <w:r>
        <w:t xml:space="preserve"> </w:t>
      </w:r>
      <w:r w:rsidRPr="009828E0">
        <w:rPr>
          <w:sz w:val="16"/>
          <w:szCs w:val="16"/>
        </w:rPr>
        <w:t xml:space="preserve">First Nations Digital Inclusion Advisory Group. 2023. </w:t>
      </w:r>
      <w:r w:rsidRPr="00670B89">
        <w:rPr>
          <w:i/>
          <w:iCs/>
          <w:sz w:val="16"/>
          <w:szCs w:val="16"/>
        </w:rPr>
        <w:t>Initial Report</w:t>
      </w:r>
      <w:r w:rsidRPr="009828E0">
        <w:rPr>
          <w:sz w:val="16"/>
          <w:szCs w:val="16"/>
        </w:rPr>
        <w:t xml:space="preserve">. Available at: </w:t>
      </w:r>
      <w:hyperlink w:history="1" r:id="rId41">
        <w:r w:rsidRPr="009828E0">
          <w:rPr>
            <w:rStyle w:val="Hyperlink"/>
            <w:sz w:val="16"/>
            <w:szCs w:val="16"/>
          </w:rPr>
          <w:t>https://www.digitalinclusion.gov.au/sites/default/files/documents/first-nations-digital-inclusion-advisory-group-initial-report.pdf</w:t>
        </w:r>
      </w:hyperlink>
      <w:r w:rsidRPr="009828E0">
        <w:rPr>
          <w:sz w:val="16"/>
          <w:szCs w:val="16"/>
        </w:rPr>
        <w:t>.</w:t>
      </w:r>
    </w:p>
  </w:footnote>
  <w:footnote w:id="72">
    <w:p w:rsidRPr="009828E0" w:rsidR="00D71956" w:rsidRDefault="00D71956" w14:paraId="4FEB082B" w14:textId="5A9AA353">
      <w:pPr>
        <w:pStyle w:val="FootnoteText"/>
        <w:rPr>
          <w:sz w:val="16"/>
          <w:szCs w:val="16"/>
        </w:rPr>
      </w:pPr>
      <w:r w:rsidRPr="009828E0">
        <w:rPr>
          <w:rStyle w:val="FootnoteReference"/>
          <w:sz w:val="16"/>
          <w:szCs w:val="16"/>
        </w:rPr>
        <w:footnoteRef/>
      </w:r>
      <w:r w:rsidRPr="009828E0">
        <w:rPr>
          <w:sz w:val="16"/>
          <w:szCs w:val="16"/>
        </w:rPr>
        <w:t xml:space="preserve"> </w:t>
      </w:r>
      <w:r w:rsidRPr="009828E0" w:rsidR="00D63B61">
        <w:rPr>
          <w:sz w:val="16"/>
          <w:szCs w:val="16"/>
        </w:rPr>
        <w:t xml:space="preserve">First Nations Digital Inclusion Advisory Group. 2023. </w:t>
      </w:r>
      <w:r w:rsidRPr="00670B89" w:rsidR="00D63B61">
        <w:rPr>
          <w:i/>
          <w:iCs/>
          <w:sz w:val="16"/>
          <w:szCs w:val="16"/>
        </w:rPr>
        <w:t>Initial Report</w:t>
      </w:r>
      <w:r w:rsidRPr="009828E0" w:rsidR="00D63B61">
        <w:rPr>
          <w:sz w:val="16"/>
          <w:szCs w:val="16"/>
        </w:rPr>
        <w:t xml:space="preserve">. </w:t>
      </w:r>
      <w:r w:rsidR="00182945">
        <w:rPr>
          <w:sz w:val="16"/>
          <w:szCs w:val="16"/>
        </w:rPr>
        <w:t>p</w:t>
      </w:r>
      <w:r w:rsidRPr="009828E0" w:rsidR="004A16C4">
        <w:rPr>
          <w:sz w:val="16"/>
          <w:szCs w:val="16"/>
        </w:rPr>
        <w:t xml:space="preserve">.21. Available at: </w:t>
      </w:r>
      <w:hyperlink w:history="1" r:id="rId42">
        <w:r w:rsidRPr="009828E0" w:rsidR="004A16C4">
          <w:rPr>
            <w:rStyle w:val="Hyperlink"/>
            <w:sz w:val="16"/>
            <w:szCs w:val="16"/>
          </w:rPr>
          <w:t>https://www.digitalinclusion.gov.au/sites/default/files/documents/first-nations-digital-inclusion-advisory-group-initial-report.pdf</w:t>
        </w:r>
      </w:hyperlink>
      <w:r w:rsidRPr="009828E0">
        <w:rPr>
          <w:sz w:val="16"/>
          <w:szCs w:val="16"/>
        </w:rPr>
        <w:t xml:space="preserve">. </w:t>
      </w:r>
    </w:p>
  </w:footnote>
  <w:footnote w:id="73">
    <w:p w:rsidRPr="009828E0" w:rsidR="00E42EDC" w:rsidRDefault="00E42EDC" w14:paraId="029C076A" w14:textId="100246BD">
      <w:pPr>
        <w:pStyle w:val="FootnoteText"/>
        <w:rPr>
          <w:sz w:val="16"/>
          <w:szCs w:val="16"/>
        </w:rPr>
      </w:pPr>
      <w:r w:rsidRPr="009828E0">
        <w:rPr>
          <w:rStyle w:val="FootnoteReference"/>
          <w:sz w:val="16"/>
          <w:szCs w:val="16"/>
        </w:rPr>
        <w:footnoteRef/>
      </w:r>
      <w:r w:rsidRPr="009828E0">
        <w:rPr>
          <w:sz w:val="16"/>
          <w:szCs w:val="16"/>
        </w:rPr>
        <w:t xml:space="preserve"> Ibid. </w:t>
      </w:r>
    </w:p>
  </w:footnote>
  <w:footnote w:id="74">
    <w:p w:rsidRPr="009828E0" w:rsidR="003674A6" w:rsidRDefault="003674A6" w14:paraId="35421248" w14:textId="01C7CCA8">
      <w:pPr>
        <w:pStyle w:val="FootnoteText"/>
        <w:rPr>
          <w:sz w:val="16"/>
          <w:szCs w:val="16"/>
        </w:rPr>
      </w:pPr>
      <w:r w:rsidRPr="009828E0">
        <w:rPr>
          <w:rStyle w:val="FootnoteReference"/>
          <w:sz w:val="16"/>
          <w:szCs w:val="16"/>
        </w:rPr>
        <w:footnoteRef/>
      </w:r>
      <w:r w:rsidRPr="009828E0">
        <w:rPr>
          <w:sz w:val="16"/>
          <w:szCs w:val="16"/>
        </w:rPr>
        <w:t xml:space="preserve"> </w:t>
      </w:r>
      <w:r w:rsidRPr="009828E0" w:rsidR="00215BBE">
        <w:rPr>
          <w:sz w:val="16"/>
          <w:szCs w:val="16"/>
        </w:rPr>
        <w:t xml:space="preserve">Ibid p.42. </w:t>
      </w:r>
      <w:r w:rsidRPr="009828E0" w:rsidR="00C46C08">
        <w:rPr>
          <w:sz w:val="16"/>
          <w:szCs w:val="16"/>
        </w:rPr>
        <w:t xml:space="preserve"> </w:t>
      </w:r>
    </w:p>
  </w:footnote>
  <w:footnote w:id="75">
    <w:p w:rsidRPr="009828E0" w:rsidR="00C23BBD" w:rsidRDefault="00C23BBD" w14:paraId="409FD118" w14:textId="00AD3069">
      <w:pPr>
        <w:pStyle w:val="FootnoteText"/>
        <w:rPr>
          <w:sz w:val="16"/>
          <w:szCs w:val="16"/>
        </w:rPr>
      </w:pPr>
      <w:r w:rsidRPr="009828E0">
        <w:rPr>
          <w:rStyle w:val="FootnoteReference"/>
          <w:sz w:val="16"/>
          <w:szCs w:val="16"/>
        </w:rPr>
        <w:footnoteRef/>
      </w:r>
      <w:r w:rsidRPr="009828E0">
        <w:rPr>
          <w:sz w:val="16"/>
          <w:szCs w:val="16"/>
        </w:rPr>
        <w:t xml:space="preserve"> </w:t>
      </w:r>
      <w:r w:rsidRPr="009828E0" w:rsidR="009540E4">
        <w:rPr>
          <w:sz w:val="16"/>
          <w:szCs w:val="16"/>
        </w:rPr>
        <w:t xml:space="preserve">Ibid p.42. </w:t>
      </w:r>
      <w:r w:rsidRPr="009828E0">
        <w:rPr>
          <w:sz w:val="16"/>
          <w:szCs w:val="16"/>
        </w:rPr>
        <w:t xml:space="preserve"> </w:t>
      </w:r>
    </w:p>
  </w:footnote>
  <w:footnote w:id="76">
    <w:p w:rsidR="000B42D2" w:rsidRDefault="000B42D2" w14:paraId="595B3965" w14:textId="1B9D79E3">
      <w:pPr>
        <w:pStyle w:val="FootnoteText"/>
      </w:pPr>
      <w:r w:rsidRPr="009828E0">
        <w:rPr>
          <w:rStyle w:val="FootnoteReference"/>
          <w:sz w:val="16"/>
          <w:szCs w:val="16"/>
        </w:rPr>
        <w:footnoteRef/>
      </w:r>
      <w:r w:rsidRPr="009828E0">
        <w:rPr>
          <w:sz w:val="16"/>
          <w:szCs w:val="16"/>
        </w:rPr>
        <w:t xml:space="preserve"> </w:t>
      </w:r>
      <w:r w:rsidRPr="009828E0" w:rsidR="009540E4">
        <w:rPr>
          <w:sz w:val="16"/>
          <w:szCs w:val="16"/>
        </w:rPr>
        <w:t xml:space="preserve">NIAA. 2023. </w:t>
      </w:r>
      <w:r w:rsidRPr="00670B89" w:rsidR="009540E4">
        <w:rPr>
          <w:i/>
          <w:iCs/>
          <w:sz w:val="16"/>
          <w:szCs w:val="16"/>
        </w:rPr>
        <w:t>First Nations Digital Inclusion Plan 2023-2026</w:t>
      </w:r>
      <w:r w:rsidRPr="009828E0" w:rsidR="009540E4">
        <w:rPr>
          <w:sz w:val="16"/>
          <w:szCs w:val="16"/>
        </w:rPr>
        <w:t xml:space="preserve">. </w:t>
      </w:r>
      <w:r w:rsidRPr="009828E0" w:rsidR="00121A2E">
        <w:rPr>
          <w:sz w:val="16"/>
          <w:szCs w:val="16"/>
        </w:rPr>
        <w:t xml:space="preserve">p.12. Available at: </w:t>
      </w:r>
      <w:hyperlink w:history="1" r:id="rId43">
        <w:r w:rsidRPr="009828E0" w:rsidR="00121A2E">
          <w:rPr>
            <w:rStyle w:val="Hyperlink"/>
            <w:sz w:val="16"/>
            <w:szCs w:val="16"/>
          </w:rPr>
          <w:t>https://www.niaa.gov.au/sites/default/files/publications/first-nations-digital-inclusion-plan-2023-2026.pdf</w:t>
        </w:r>
      </w:hyperlink>
      <w:r w:rsidRPr="009828E0" w:rsidR="00121A2E">
        <w:rPr>
          <w:sz w:val="16"/>
          <w:szCs w:val="16"/>
        </w:rPr>
        <w:t>.</w:t>
      </w:r>
      <w:r w:rsidR="00121A2E">
        <w:t xml:space="preserve"> </w:t>
      </w:r>
      <w:r>
        <w:t xml:space="preserve"> </w:t>
      </w:r>
    </w:p>
  </w:footnote>
  <w:footnote w:id="77">
    <w:p w:rsidR="00C743FC" w:rsidRDefault="00C743FC" w14:paraId="2D9DE31E" w14:textId="3EBE4594">
      <w:pPr>
        <w:pStyle w:val="FootnoteText"/>
      </w:pPr>
      <w:r w:rsidRPr="009828E0">
        <w:rPr>
          <w:rStyle w:val="FootnoteReference"/>
          <w:sz w:val="16"/>
          <w:szCs w:val="16"/>
        </w:rPr>
        <w:footnoteRef/>
      </w:r>
      <w:r w:rsidRPr="009828E0">
        <w:rPr>
          <w:sz w:val="16"/>
          <w:szCs w:val="16"/>
        </w:rPr>
        <w:t xml:space="preserve"> </w:t>
      </w:r>
      <w:r w:rsidRPr="009828E0" w:rsidR="009828E0">
        <w:rPr>
          <w:sz w:val="16"/>
          <w:szCs w:val="16"/>
        </w:rPr>
        <w:t xml:space="preserve">Ibid. p.15. </w:t>
      </w:r>
    </w:p>
  </w:footnote>
  <w:footnote w:id="78">
    <w:p w:rsidRPr="000867CC" w:rsidR="00FA403F" w:rsidRDefault="00FA403F" w14:paraId="3D32094D" w14:textId="31E1119D">
      <w:pPr>
        <w:pStyle w:val="FootnoteText"/>
        <w:rPr>
          <w:rFonts w:asciiTheme="minorHAnsi" w:hAnsiTheme="minorHAnsi" w:cstheme="minorHAnsi"/>
          <w:sz w:val="16"/>
          <w:szCs w:val="16"/>
        </w:rPr>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w:t>
      </w:r>
      <w:r w:rsidRPr="000867CC" w:rsidR="00D16FBC">
        <w:rPr>
          <w:rFonts w:asciiTheme="minorHAnsi" w:hAnsiTheme="minorHAnsi" w:cstheme="minorHAnsi"/>
          <w:sz w:val="16"/>
          <w:szCs w:val="16"/>
        </w:rPr>
        <w:t xml:space="preserve">DITRDCA. 2023. </w:t>
      </w:r>
      <w:r w:rsidRPr="00670B89" w:rsidR="00D16FBC">
        <w:rPr>
          <w:rFonts w:asciiTheme="minorHAnsi" w:hAnsiTheme="minorHAnsi" w:cstheme="minorHAnsi"/>
          <w:i/>
          <w:iCs/>
          <w:sz w:val="16"/>
          <w:szCs w:val="16"/>
        </w:rPr>
        <w:t>Mobile Black Spot Program</w:t>
      </w:r>
      <w:r w:rsidRPr="000867CC" w:rsidR="00D16FBC">
        <w:rPr>
          <w:rFonts w:asciiTheme="minorHAnsi" w:hAnsiTheme="minorHAnsi" w:cstheme="minorHAnsi"/>
          <w:sz w:val="16"/>
          <w:szCs w:val="16"/>
        </w:rPr>
        <w:t xml:space="preserve">. Available at: </w:t>
      </w:r>
      <w:hyperlink w:history="1" r:id="rId44">
        <w:r w:rsidRPr="000867CC" w:rsidR="00D16FBC">
          <w:rPr>
            <w:rStyle w:val="Hyperlink"/>
            <w:rFonts w:asciiTheme="minorHAnsi" w:hAnsiTheme="minorHAnsi" w:cstheme="minorHAnsi"/>
            <w:sz w:val="16"/>
            <w:szCs w:val="16"/>
          </w:rPr>
          <w:t>https://www.infrastructure.gov.au/media-communications-arts/phone/mobile-services-and-coverage/mobile-black-spot-program</w:t>
        </w:r>
      </w:hyperlink>
      <w:r w:rsidRPr="000867CC" w:rsidR="00D16FBC">
        <w:rPr>
          <w:rFonts w:asciiTheme="minorHAnsi" w:hAnsiTheme="minorHAnsi" w:cstheme="minorHAnsi"/>
          <w:sz w:val="16"/>
          <w:szCs w:val="16"/>
        </w:rPr>
        <w:t xml:space="preserve">. </w:t>
      </w:r>
    </w:p>
  </w:footnote>
  <w:footnote w:id="79">
    <w:p w:rsidRPr="000867CC" w:rsidR="00471AB6" w:rsidRDefault="00471AB6" w14:paraId="77C7FA8C" w14:textId="664424BB">
      <w:pPr>
        <w:pStyle w:val="FootnoteText"/>
        <w:rPr>
          <w:rFonts w:asciiTheme="minorHAnsi" w:hAnsiTheme="minorHAnsi" w:cstheme="minorHAnsi"/>
          <w:sz w:val="16"/>
          <w:szCs w:val="16"/>
        </w:rPr>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w:t>
      </w:r>
      <w:r w:rsidRPr="000867CC" w:rsidR="006821DB">
        <w:rPr>
          <w:rFonts w:asciiTheme="minorHAnsi" w:hAnsiTheme="minorHAnsi" w:cstheme="minorHAnsi"/>
          <w:sz w:val="16"/>
          <w:szCs w:val="16"/>
        </w:rPr>
        <w:t>NIAA. 2023</w:t>
      </w:r>
      <w:r w:rsidRPr="00F02AFD" w:rsidR="006821DB">
        <w:rPr>
          <w:rFonts w:asciiTheme="minorHAnsi" w:hAnsiTheme="minorHAnsi" w:cstheme="minorHAnsi"/>
          <w:i/>
          <w:iCs/>
          <w:sz w:val="16"/>
          <w:szCs w:val="16"/>
        </w:rPr>
        <w:t>. First Nations Digital Inclusion Plan 2023-2026</w:t>
      </w:r>
      <w:r w:rsidRPr="000867CC" w:rsidR="006821DB">
        <w:rPr>
          <w:rFonts w:asciiTheme="minorHAnsi" w:hAnsiTheme="minorHAnsi" w:cstheme="minorHAnsi"/>
          <w:sz w:val="16"/>
          <w:szCs w:val="16"/>
        </w:rPr>
        <w:t>. p.1</w:t>
      </w:r>
      <w:r w:rsidRPr="000867CC" w:rsidR="00527679">
        <w:rPr>
          <w:rFonts w:asciiTheme="minorHAnsi" w:hAnsiTheme="minorHAnsi" w:cstheme="minorHAnsi"/>
          <w:sz w:val="16"/>
          <w:szCs w:val="16"/>
        </w:rPr>
        <w:t>3</w:t>
      </w:r>
      <w:r w:rsidRPr="000867CC" w:rsidR="006821DB">
        <w:rPr>
          <w:rFonts w:asciiTheme="minorHAnsi" w:hAnsiTheme="minorHAnsi" w:cstheme="minorHAnsi"/>
          <w:sz w:val="16"/>
          <w:szCs w:val="16"/>
        </w:rPr>
        <w:t xml:space="preserve">. Available at: </w:t>
      </w:r>
      <w:hyperlink w:history="1" r:id="rId45">
        <w:r w:rsidRPr="000867CC" w:rsidR="006821DB">
          <w:rPr>
            <w:rStyle w:val="Hyperlink"/>
            <w:rFonts w:asciiTheme="minorHAnsi" w:hAnsiTheme="minorHAnsi" w:cstheme="minorHAnsi"/>
            <w:sz w:val="16"/>
            <w:szCs w:val="16"/>
          </w:rPr>
          <w:t>https://www.niaa.gov.au/sites/default/files/publications/first-nations-digital-inclusion-plan-2023-2026.pdf</w:t>
        </w:r>
      </w:hyperlink>
      <w:r w:rsidRPr="000867CC" w:rsidR="006821DB">
        <w:rPr>
          <w:rFonts w:asciiTheme="minorHAnsi" w:hAnsiTheme="minorHAnsi" w:cstheme="minorHAnsi"/>
          <w:sz w:val="16"/>
          <w:szCs w:val="16"/>
        </w:rPr>
        <w:t xml:space="preserve">.  </w:t>
      </w:r>
    </w:p>
  </w:footnote>
  <w:footnote w:id="80">
    <w:p w:rsidRPr="000867CC" w:rsidR="002D6767" w:rsidP="002D6767" w:rsidRDefault="002D6767" w14:paraId="1DF346A7" w14:textId="77777777">
      <w:pPr>
        <w:pStyle w:val="FootnoteText"/>
        <w:rPr>
          <w:rFonts w:asciiTheme="minorHAnsi" w:hAnsiTheme="minorHAnsi" w:cstheme="minorHAnsi"/>
          <w:sz w:val="16"/>
          <w:szCs w:val="16"/>
        </w:rPr>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NIAA. </w:t>
      </w:r>
      <w:r w:rsidRPr="00F02AFD">
        <w:rPr>
          <w:rFonts w:asciiTheme="minorHAnsi" w:hAnsiTheme="minorHAnsi" w:cstheme="minorHAnsi"/>
          <w:i/>
          <w:iCs/>
          <w:sz w:val="16"/>
          <w:szCs w:val="16"/>
        </w:rPr>
        <w:t>Regional Telecommunications Review</w:t>
      </w:r>
      <w:r w:rsidRPr="000867CC">
        <w:rPr>
          <w:rFonts w:asciiTheme="minorHAnsi" w:hAnsiTheme="minorHAnsi" w:cstheme="minorHAnsi"/>
          <w:sz w:val="16"/>
          <w:szCs w:val="16"/>
        </w:rPr>
        <w:t xml:space="preserve">. Available at: </w:t>
      </w:r>
      <w:hyperlink w:history="1" r:id="rId46">
        <w:r w:rsidRPr="000867CC">
          <w:rPr>
            <w:rStyle w:val="Hyperlink"/>
            <w:rFonts w:asciiTheme="minorHAnsi" w:hAnsiTheme="minorHAnsi" w:cstheme="minorHAnsi"/>
            <w:sz w:val="16"/>
            <w:szCs w:val="16"/>
          </w:rPr>
          <w:t>https://www.niaa.gov.au/indigenous-affairs/closing-gap/implementation-measures/regional-telecommunications-review</w:t>
        </w:r>
      </w:hyperlink>
      <w:r w:rsidRPr="000867CC">
        <w:rPr>
          <w:rFonts w:asciiTheme="minorHAnsi" w:hAnsiTheme="minorHAnsi" w:cstheme="minorHAnsi"/>
          <w:sz w:val="16"/>
          <w:szCs w:val="16"/>
        </w:rPr>
        <w:t xml:space="preserve">. </w:t>
      </w:r>
    </w:p>
  </w:footnote>
  <w:footnote w:id="81">
    <w:p w:rsidRPr="000867CC" w:rsidR="00450F05" w:rsidRDefault="00450F05" w14:paraId="44976876" w14:textId="1642B1B3">
      <w:pPr>
        <w:pStyle w:val="FootnoteText"/>
        <w:rPr>
          <w:rFonts w:asciiTheme="minorHAnsi" w:hAnsiTheme="minorHAnsi" w:cstheme="minorHAnsi"/>
          <w:sz w:val="16"/>
          <w:szCs w:val="16"/>
        </w:rPr>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w:t>
      </w:r>
      <w:r w:rsidRPr="000867CC" w:rsidR="00527679">
        <w:rPr>
          <w:rFonts w:asciiTheme="minorHAnsi" w:hAnsiTheme="minorHAnsi" w:cstheme="minorHAnsi"/>
          <w:sz w:val="16"/>
          <w:szCs w:val="16"/>
        </w:rPr>
        <w:t xml:space="preserve">First Nations Digital Inclusion Advisory Group. 2023. </w:t>
      </w:r>
      <w:r w:rsidRPr="00F02AFD" w:rsidR="00527679">
        <w:rPr>
          <w:rFonts w:asciiTheme="minorHAnsi" w:hAnsiTheme="minorHAnsi" w:cstheme="minorHAnsi"/>
          <w:i/>
          <w:iCs/>
          <w:sz w:val="16"/>
          <w:szCs w:val="16"/>
        </w:rPr>
        <w:t>Initial Report.</w:t>
      </w:r>
      <w:r w:rsidRPr="000867CC" w:rsidR="00527679">
        <w:rPr>
          <w:rFonts w:asciiTheme="minorHAnsi" w:hAnsiTheme="minorHAnsi" w:cstheme="minorHAnsi"/>
          <w:sz w:val="16"/>
          <w:szCs w:val="16"/>
        </w:rPr>
        <w:t xml:space="preserve"> p.3. Available at: </w:t>
      </w:r>
      <w:hyperlink w:history="1" r:id="rId47">
        <w:r w:rsidRPr="000867CC" w:rsidR="00527679">
          <w:rPr>
            <w:rStyle w:val="Hyperlink"/>
            <w:rFonts w:asciiTheme="minorHAnsi" w:hAnsiTheme="minorHAnsi" w:cstheme="minorHAnsi"/>
            <w:sz w:val="16"/>
            <w:szCs w:val="16"/>
          </w:rPr>
          <w:t>https://www.digitalinclusion.gov.au/sites/default/files/documents/first-nations-digital-inclusion-advisory-group-initial-report.pdf</w:t>
        </w:r>
      </w:hyperlink>
      <w:r w:rsidRPr="000867CC" w:rsidR="00527679">
        <w:rPr>
          <w:rFonts w:asciiTheme="minorHAnsi" w:hAnsiTheme="minorHAnsi" w:cstheme="minorHAnsi"/>
          <w:sz w:val="16"/>
          <w:szCs w:val="16"/>
        </w:rPr>
        <w:t xml:space="preserve">. </w:t>
      </w:r>
    </w:p>
  </w:footnote>
  <w:footnote w:id="82">
    <w:p w:rsidRPr="000867CC" w:rsidR="007F3407" w:rsidRDefault="007F3407" w14:paraId="79D1CB9E" w14:textId="7BD1887E">
      <w:pPr>
        <w:pStyle w:val="FootnoteText"/>
        <w:rPr>
          <w:rFonts w:asciiTheme="minorHAnsi" w:hAnsiTheme="minorHAnsi" w:cstheme="minorHAnsi"/>
          <w:b/>
          <w:bCs/>
          <w:sz w:val="16"/>
          <w:szCs w:val="16"/>
        </w:rPr>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w:t>
      </w:r>
      <w:r w:rsidRPr="000867CC" w:rsidR="00527679">
        <w:rPr>
          <w:rFonts w:asciiTheme="minorHAnsi" w:hAnsiTheme="minorHAnsi" w:cstheme="minorHAnsi"/>
          <w:sz w:val="16"/>
          <w:szCs w:val="16"/>
        </w:rPr>
        <w:t xml:space="preserve">Australian Digital Inclusion Index. 2023. </w:t>
      </w:r>
      <w:r w:rsidRPr="00F02AFD" w:rsidR="000867CC">
        <w:rPr>
          <w:rFonts w:asciiTheme="minorHAnsi" w:hAnsiTheme="minorHAnsi" w:cstheme="minorHAnsi"/>
          <w:i/>
          <w:iCs/>
          <w:sz w:val="16"/>
          <w:szCs w:val="16"/>
        </w:rPr>
        <w:t>Measuring Australia’s Digital Divide</w:t>
      </w:r>
      <w:r w:rsidRPr="000867CC" w:rsidR="000867CC">
        <w:rPr>
          <w:rFonts w:asciiTheme="minorHAnsi" w:hAnsiTheme="minorHAnsi" w:cstheme="minorHAnsi"/>
          <w:sz w:val="16"/>
          <w:szCs w:val="16"/>
        </w:rPr>
        <w:t xml:space="preserve">. p.6. </w:t>
      </w:r>
      <w:r w:rsidRPr="000867CC" w:rsidR="00527679">
        <w:rPr>
          <w:rFonts w:asciiTheme="minorHAnsi" w:hAnsiTheme="minorHAnsi" w:cstheme="minorHAnsi"/>
          <w:sz w:val="16"/>
          <w:szCs w:val="16"/>
        </w:rPr>
        <w:t xml:space="preserve">Available: </w:t>
      </w:r>
      <w:hyperlink w:history="1" r:id="rId48">
        <w:r w:rsidRPr="000867CC" w:rsidR="00527679">
          <w:rPr>
            <w:rStyle w:val="Hyperlink"/>
            <w:rFonts w:asciiTheme="minorHAnsi" w:hAnsiTheme="minorHAnsi" w:cstheme="minorHAnsi"/>
            <w:sz w:val="16"/>
            <w:szCs w:val="16"/>
          </w:rPr>
          <w:t>https://www.digitalinclusionindex.org.au/key-findings-and-next-steps/</w:t>
        </w:r>
      </w:hyperlink>
      <w:r w:rsidRPr="000867CC" w:rsidR="00527679">
        <w:rPr>
          <w:rFonts w:asciiTheme="minorHAnsi" w:hAnsiTheme="minorHAnsi" w:cstheme="minorHAnsi"/>
          <w:sz w:val="16"/>
          <w:szCs w:val="16"/>
        </w:rPr>
        <w:t>.</w:t>
      </w:r>
    </w:p>
  </w:footnote>
  <w:footnote w:id="83">
    <w:p w:rsidR="00F21A0A" w:rsidRDefault="00F21A0A" w14:paraId="4D35FF95" w14:textId="01196DB3">
      <w:pPr>
        <w:pStyle w:val="FootnoteText"/>
      </w:pPr>
      <w:r w:rsidRPr="000867CC">
        <w:rPr>
          <w:rStyle w:val="FootnoteReference"/>
          <w:rFonts w:asciiTheme="minorHAnsi" w:hAnsiTheme="minorHAnsi" w:cstheme="minorHAnsi"/>
          <w:sz w:val="16"/>
          <w:szCs w:val="16"/>
        </w:rPr>
        <w:footnoteRef/>
      </w:r>
      <w:r w:rsidRPr="000867CC">
        <w:rPr>
          <w:rFonts w:asciiTheme="minorHAnsi" w:hAnsiTheme="minorHAnsi" w:cstheme="minorHAnsi"/>
          <w:sz w:val="16"/>
          <w:szCs w:val="16"/>
        </w:rPr>
        <w:t xml:space="preserve"> </w:t>
      </w:r>
      <w:r w:rsidRPr="000867CC" w:rsidR="00844A80">
        <w:rPr>
          <w:rFonts w:asciiTheme="minorHAnsi" w:hAnsiTheme="minorHAnsi" w:cstheme="minorHAnsi"/>
          <w:sz w:val="16"/>
          <w:szCs w:val="16"/>
        </w:rPr>
        <w:t xml:space="preserve">Australian Digital Inclusion Index. 2023. </w:t>
      </w:r>
      <w:r w:rsidRPr="00F02AFD" w:rsidR="00844A80">
        <w:rPr>
          <w:rFonts w:asciiTheme="minorHAnsi" w:hAnsiTheme="minorHAnsi" w:cstheme="minorHAnsi"/>
          <w:i/>
          <w:iCs/>
          <w:sz w:val="16"/>
          <w:szCs w:val="16"/>
        </w:rPr>
        <w:t>Measuring Australia’s Digital Divide</w:t>
      </w:r>
      <w:r w:rsidRPr="000867CC" w:rsidR="00844A80">
        <w:rPr>
          <w:rFonts w:asciiTheme="minorHAnsi" w:hAnsiTheme="minorHAnsi" w:cstheme="minorHAnsi"/>
          <w:sz w:val="16"/>
          <w:szCs w:val="16"/>
        </w:rPr>
        <w:t xml:space="preserve">. p.6. Available: </w:t>
      </w:r>
      <w:hyperlink w:history="1" r:id="rId49">
        <w:r w:rsidRPr="000867CC" w:rsidR="00844A80">
          <w:rPr>
            <w:rStyle w:val="Hyperlink"/>
            <w:rFonts w:asciiTheme="minorHAnsi" w:hAnsiTheme="minorHAnsi" w:cstheme="minorHAnsi"/>
            <w:sz w:val="16"/>
            <w:szCs w:val="16"/>
          </w:rPr>
          <w:t>https://www.digitalinclusionindex.org.au/key-findings-and-next-steps/</w:t>
        </w:r>
      </w:hyperlink>
      <w:r w:rsidRPr="000867CC" w:rsidR="00844A80">
        <w:rPr>
          <w:rFonts w:asciiTheme="minorHAnsi" w:hAnsiTheme="minorHAnsi" w:cstheme="minorHAnsi"/>
          <w:sz w:val="16"/>
          <w:szCs w:val="16"/>
        </w:rPr>
        <w:t>.</w:t>
      </w:r>
    </w:p>
  </w:footnote>
  <w:footnote w:id="84">
    <w:p w:rsidR="00DC0908" w:rsidRDefault="00DC0908" w14:paraId="7FDED26A" w14:textId="69A6E826">
      <w:pPr>
        <w:pStyle w:val="FootnoteText"/>
      </w:pPr>
      <w:r w:rsidRPr="000867CC">
        <w:rPr>
          <w:rStyle w:val="FootnoteReference"/>
          <w:sz w:val="16"/>
          <w:szCs w:val="16"/>
        </w:rPr>
        <w:footnoteRef/>
      </w:r>
      <w:r w:rsidRPr="000867CC">
        <w:rPr>
          <w:sz w:val="16"/>
          <w:szCs w:val="16"/>
        </w:rPr>
        <w:t xml:space="preserve"> Ibid p</w:t>
      </w:r>
      <w:r w:rsidR="00BE1344">
        <w:rPr>
          <w:sz w:val="16"/>
          <w:szCs w:val="16"/>
        </w:rPr>
        <w:t>.</w:t>
      </w:r>
      <w:r w:rsidRPr="000867CC">
        <w:rPr>
          <w:sz w:val="16"/>
          <w:szCs w:val="16"/>
        </w:rPr>
        <w:t xml:space="preserve">6. </w:t>
      </w:r>
    </w:p>
  </w:footnote>
  <w:footnote w:id="85">
    <w:p w:rsidR="007D1265" w:rsidRDefault="007D1265" w14:paraId="458AB765" w14:textId="65FAB47D">
      <w:pPr>
        <w:pStyle w:val="FootnoteText"/>
      </w:pPr>
      <w:r>
        <w:rPr>
          <w:rStyle w:val="FootnoteReference"/>
        </w:rPr>
        <w:footnoteRef/>
      </w:r>
      <w:r>
        <w:t xml:space="preserve"> </w:t>
      </w:r>
      <w:r w:rsidRPr="000D05C0" w:rsidR="000D05C0">
        <w:rPr>
          <w:sz w:val="16"/>
          <w:szCs w:val="16"/>
        </w:rPr>
        <w:t xml:space="preserve">ACCC. 2023. </w:t>
      </w:r>
      <w:r w:rsidRPr="00F02AFD" w:rsidR="000D05C0">
        <w:rPr>
          <w:i/>
          <w:iCs/>
          <w:sz w:val="16"/>
          <w:szCs w:val="16"/>
        </w:rPr>
        <w:t>Regional Mobile Infrastructure Inquiry</w:t>
      </w:r>
      <w:r w:rsidRPr="000D05C0" w:rsidR="000D05C0">
        <w:rPr>
          <w:sz w:val="16"/>
          <w:szCs w:val="16"/>
        </w:rPr>
        <w:t xml:space="preserve">. p.1. Available at: </w:t>
      </w:r>
      <w:hyperlink w:history="1" r:id="rId50">
        <w:r w:rsidRPr="000D05C0" w:rsidR="000D05C0">
          <w:rPr>
            <w:rStyle w:val="Hyperlink"/>
            <w:sz w:val="16"/>
            <w:szCs w:val="16"/>
          </w:rPr>
          <w:t>https://www.accc.gov.au/system/files/Regional%20Mobile%20Infrastructure%20Inquiry%20final%20report.pdf</w:t>
        </w:r>
      </w:hyperlink>
      <w:r w:rsidR="000D05C0">
        <w:rPr>
          <w:sz w:val="16"/>
          <w:szCs w:val="16"/>
        </w:rPr>
        <w:t xml:space="preserve">. </w:t>
      </w:r>
    </w:p>
  </w:footnote>
  <w:footnote w:id="86">
    <w:p w:rsidRPr="009E7F9F" w:rsidR="008A5D8A" w:rsidRDefault="008A5D8A" w14:paraId="63231AEF" w14:textId="7BEC10E1">
      <w:pPr>
        <w:pStyle w:val="FootnoteText"/>
        <w:rPr>
          <w:sz w:val="16"/>
          <w:szCs w:val="16"/>
        </w:rPr>
      </w:pPr>
      <w:r w:rsidRPr="009E7F9F">
        <w:rPr>
          <w:rStyle w:val="FootnoteReference"/>
          <w:sz w:val="16"/>
          <w:szCs w:val="16"/>
        </w:rPr>
        <w:footnoteRef/>
      </w:r>
      <w:r w:rsidRPr="009E7F9F">
        <w:rPr>
          <w:sz w:val="16"/>
          <w:szCs w:val="16"/>
        </w:rPr>
        <w:t xml:space="preserve"> </w:t>
      </w:r>
      <w:r w:rsidRPr="009E7F9F" w:rsidR="009E7F9F">
        <w:rPr>
          <w:sz w:val="16"/>
          <w:szCs w:val="16"/>
        </w:rPr>
        <w:t xml:space="preserve">ACCC. 2023. </w:t>
      </w:r>
      <w:r w:rsidRPr="00F02AFD" w:rsidR="009E7F9F">
        <w:rPr>
          <w:i/>
          <w:iCs/>
          <w:sz w:val="16"/>
          <w:szCs w:val="16"/>
        </w:rPr>
        <w:t>Regional Mobile Infrastructure Inquiry</w:t>
      </w:r>
      <w:r w:rsidRPr="009E7F9F" w:rsidR="009E7F9F">
        <w:rPr>
          <w:sz w:val="16"/>
          <w:szCs w:val="16"/>
        </w:rPr>
        <w:t xml:space="preserve">. p.97. Available at: </w:t>
      </w:r>
      <w:hyperlink w:history="1" r:id="rId51">
        <w:r w:rsidRPr="009E7F9F" w:rsidR="009E7F9F">
          <w:rPr>
            <w:rStyle w:val="Hyperlink"/>
            <w:sz w:val="16"/>
            <w:szCs w:val="16"/>
          </w:rPr>
          <w:t>https://www.accc.gov.au/system/files/Regional%20Mobile%20Infrastructure%20Inquiry%20final%20report.pdf</w:t>
        </w:r>
      </w:hyperlink>
      <w:r w:rsidRPr="009E7F9F" w:rsidR="009E7F9F">
        <w:rPr>
          <w:sz w:val="16"/>
          <w:szCs w:val="16"/>
        </w:rPr>
        <w:t xml:space="preserve">. </w:t>
      </w:r>
    </w:p>
  </w:footnote>
  <w:footnote w:id="87">
    <w:p w:rsidRPr="009E7F9F" w:rsidR="00E0584E" w:rsidP="009E7F9F" w:rsidRDefault="00F31EEC" w14:paraId="71BC8A8D" w14:textId="15CD8667">
      <w:pPr>
        <w:pStyle w:val="NoSpacing"/>
        <w:rPr>
          <w:sz w:val="16"/>
          <w:szCs w:val="16"/>
        </w:rPr>
      </w:pPr>
      <w:r w:rsidRPr="009E7F9F">
        <w:rPr>
          <w:rStyle w:val="FootnoteReference"/>
          <w:sz w:val="16"/>
          <w:szCs w:val="16"/>
        </w:rPr>
        <w:footnoteRef/>
      </w:r>
      <w:r w:rsidRPr="009E7F9F" w:rsidR="009E7F9F">
        <w:rPr>
          <w:sz w:val="16"/>
          <w:szCs w:val="16"/>
        </w:rPr>
        <w:t xml:space="preserve"> QUT Digital Media Research Centre. 2023. </w:t>
      </w:r>
      <w:r w:rsidRPr="00F02AFD" w:rsidR="009E7F9F">
        <w:rPr>
          <w:i/>
          <w:iCs/>
          <w:sz w:val="16"/>
          <w:szCs w:val="16"/>
        </w:rPr>
        <w:t xml:space="preserve">Connecting in the gulf: digital inclusion of </w:t>
      </w:r>
      <w:r w:rsidR="00E537AB">
        <w:rPr>
          <w:i/>
          <w:iCs/>
          <w:sz w:val="16"/>
          <w:szCs w:val="16"/>
        </w:rPr>
        <w:t>I</w:t>
      </w:r>
      <w:r w:rsidRPr="00F02AFD" w:rsidR="00E537AB">
        <w:rPr>
          <w:i/>
          <w:iCs/>
          <w:sz w:val="16"/>
          <w:szCs w:val="16"/>
        </w:rPr>
        <w:t xml:space="preserve">ndigenous </w:t>
      </w:r>
      <w:r w:rsidRPr="00F02AFD" w:rsidR="009E7F9F">
        <w:rPr>
          <w:i/>
          <w:iCs/>
          <w:sz w:val="16"/>
          <w:szCs w:val="16"/>
        </w:rPr>
        <w:t xml:space="preserve">families living on </w:t>
      </w:r>
      <w:r w:rsidR="003707A9">
        <w:rPr>
          <w:i/>
          <w:iCs/>
          <w:sz w:val="16"/>
          <w:szCs w:val="16"/>
        </w:rPr>
        <w:t>M</w:t>
      </w:r>
      <w:r w:rsidRPr="00F02AFD" w:rsidR="003707A9">
        <w:rPr>
          <w:i/>
          <w:iCs/>
          <w:sz w:val="16"/>
          <w:szCs w:val="16"/>
        </w:rPr>
        <w:t xml:space="preserve">ornington </w:t>
      </w:r>
      <w:r w:rsidR="003707A9">
        <w:rPr>
          <w:i/>
          <w:iCs/>
          <w:sz w:val="16"/>
          <w:szCs w:val="16"/>
        </w:rPr>
        <w:t>I</w:t>
      </w:r>
      <w:r w:rsidRPr="00F02AFD" w:rsidR="003707A9">
        <w:rPr>
          <w:i/>
          <w:iCs/>
          <w:sz w:val="16"/>
          <w:szCs w:val="16"/>
        </w:rPr>
        <w:t>sland</w:t>
      </w:r>
      <w:r w:rsidRPr="00F02AFD" w:rsidR="009E7F9F">
        <w:rPr>
          <w:i/>
          <w:iCs/>
          <w:sz w:val="16"/>
          <w:szCs w:val="16"/>
        </w:rPr>
        <w:t>.</w:t>
      </w:r>
      <w:r w:rsidRPr="009E7F9F" w:rsidR="009E7F9F">
        <w:rPr>
          <w:sz w:val="16"/>
          <w:szCs w:val="16"/>
        </w:rPr>
        <w:t xml:space="preserve"> </w:t>
      </w:r>
      <w:r w:rsidR="009E7F9F">
        <w:rPr>
          <w:sz w:val="16"/>
          <w:szCs w:val="16"/>
        </w:rPr>
        <w:t>p</w:t>
      </w:r>
      <w:r w:rsidRPr="009E7F9F" w:rsidR="009E7F9F">
        <w:rPr>
          <w:sz w:val="16"/>
          <w:szCs w:val="16"/>
        </w:rPr>
        <w:t xml:space="preserve">.39. Available at: </w:t>
      </w:r>
      <w:hyperlink w:history="1" r:id="rId52">
        <w:r w:rsidRPr="009E7F9F" w:rsidR="009E7F9F">
          <w:rPr>
            <w:rStyle w:val="Hyperlink"/>
            <w:sz w:val="16"/>
            <w:szCs w:val="16"/>
          </w:rPr>
          <w:t>https://research.qut.edu.au/dmrc/wp-content/uploads/sites/5/2023/03/Connecting-in-the-Gulf-Final-Report_March2023-1.pdf</w:t>
        </w:r>
      </w:hyperlink>
      <w:r w:rsidRPr="009E7F9F" w:rsidR="009E7F9F">
        <w:rPr>
          <w:sz w:val="16"/>
          <w:szCs w:val="16"/>
        </w:rPr>
        <w:t xml:space="preserve">. </w:t>
      </w:r>
    </w:p>
  </w:footnote>
  <w:footnote w:id="88">
    <w:p w:rsidRPr="009E7F9F" w:rsidR="00E0584E" w:rsidRDefault="00E0584E" w14:paraId="627A6DE5" w14:textId="4324F3CA">
      <w:pPr>
        <w:pStyle w:val="FootnoteText"/>
        <w:rPr>
          <w:sz w:val="16"/>
          <w:szCs w:val="16"/>
        </w:rPr>
      </w:pPr>
      <w:r w:rsidRPr="009E7F9F">
        <w:rPr>
          <w:rStyle w:val="FootnoteReference"/>
          <w:sz w:val="16"/>
          <w:szCs w:val="16"/>
        </w:rPr>
        <w:footnoteRef/>
      </w:r>
      <w:r w:rsidRPr="009E7F9F">
        <w:rPr>
          <w:sz w:val="16"/>
          <w:szCs w:val="16"/>
        </w:rPr>
        <w:t xml:space="preserve"> Ibid p</w:t>
      </w:r>
      <w:r w:rsidR="00BE1344">
        <w:rPr>
          <w:sz w:val="16"/>
          <w:szCs w:val="16"/>
        </w:rPr>
        <w:t>.</w:t>
      </w:r>
      <w:r w:rsidRPr="009E7F9F">
        <w:rPr>
          <w:sz w:val="16"/>
          <w:szCs w:val="16"/>
        </w:rPr>
        <w:t xml:space="preserve">39. </w:t>
      </w:r>
    </w:p>
  </w:footnote>
  <w:footnote w:id="89">
    <w:p w:rsidRPr="009E7F9F" w:rsidR="00810B73" w:rsidRDefault="00810B73" w14:paraId="5E8CF794" w14:textId="7E73F6C6">
      <w:pPr>
        <w:pStyle w:val="FootnoteText"/>
        <w:rPr>
          <w:sz w:val="16"/>
          <w:szCs w:val="16"/>
        </w:rPr>
      </w:pPr>
      <w:r w:rsidRPr="009E7F9F">
        <w:rPr>
          <w:rStyle w:val="FootnoteReference"/>
          <w:sz w:val="16"/>
          <w:szCs w:val="16"/>
        </w:rPr>
        <w:footnoteRef/>
      </w:r>
      <w:r w:rsidRPr="009E7F9F">
        <w:rPr>
          <w:sz w:val="16"/>
          <w:szCs w:val="16"/>
        </w:rPr>
        <w:t xml:space="preserve"> </w:t>
      </w:r>
      <w:r w:rsidRPr="009E7F9F" w:rsidR="009E7F9F">
        <w:rPr>
          <w:rFonts w:asciiTheme="minorHAnsi" w:hAnsiTheme="minorHAnsi" w:cstheme="minorHAnsi"/>
          <w:sz w:val="16"/>
          <w:szCs w:val="16"/>
        </w:rPr>
        <w:t xml:space="preserve">Australian Digital Inclusion Index. 2023. </w:t>
      </w:r>
      <w:r w:rsidRPr="00F02AFD" w:rsidR="009E7F9F">
        <w:rPr>
          <w:rFonts w:asciiTheme="minorHAnsi" w:hAnsiTheme="minorHAnsi" w:cstheme="minorHAnsi"/>
          <w:i/>
          <w:iCs/>
          <w:sz w:val="16"/>
          <w:szCs w:val="16"/>
        </w:rPr>
        <w:t>Measuring Australia’s Digital Divide</w:t>
      </w:r>
      <w:r w:rsidRPr="009E7F9F" w:rsidR="009E7F9F">
        <w:rPr>
          <w:rFonts w:asciiTheme="minorHAnsi" w:hAnsiTheme="minorHAnsi" w:cstheme="minorHAnsi"/>
          <w:sz w:val="16"/>
          <w:szCs w:val="16"/>
        </w:rPr>
        <w:t xml:space="preserve">. p.6. Available: </w:t>
      </w:r>
      <w:hyperlink w:history="1" r:id="rId53">
        <w:r w:rsidRPr="009E7F9F" w:rsidR="009E7F9F">
          <w:rPr>
            <w:rStyle w:val="Hyperlink"/>
            <w:rFonts w:asciiTheme="minorHAnsi" w:hAnsiTheme="minorHAnsi" w:cstheme="minorHAnsi"/>
            <w:sz w:val="16"/>
            <w:szCs w:val="16"/>
          </w:rPr>
          <w:t>https://www.digitalinclusionindex.org.au/key-findings-and-next-steps/</w:t>
        </w:r>
      </w:hyperlink>
      <w:r w:rsidRPr="009E7F9F" w:rsidR="009E7F9F">
        <w:rPr>
          <w:rFonts w:asciiTheme="minorHAnsi" w:hAnsiTheme="minorHAnsi" w:cstheme="minorHAnsi"/>
          <w:sz w:val="16"/>
          <w:szCs w:val="16"/>
        </w:rPr>
        <w:t>.</w:t>
      </w:r>
    </w:p>
  </w:footnote>
  <w:footnote w:id="90">
    <w:p w:rsidRPr="009E7F9F" w:rsidR="00CF5B88" w:rsidRDefault="00CF5B88" w14:paraId="67BFA50D" w14:textId="6892E03F">
      <w:pPr>
        <w:pStyle w:val="FootnoteText"/>
        <w:rPr>
          <w:sz w:val="16"/>
          <w:szCs w:val="16"/>
        </w:rPr>
      </w:pPr>
      <w:r w:rsidRPr="009E7F9F">
        <w:rPr>
          <w:rStyle w:val="FootnoteReference"/>
          <w:sz w:val="16"/>
          <w:szCs w:val="16"/>
        </w:rPr>
        <w:footnoteRef/>
      </w:r>
      <w:r w:rsidRPr="009E7F9F">
        <w:rPr>
          <w:sz w:val="16"/>
          <w:szCs w:val="16"/>
        </w:rPr>
        <w:t xml:space="preserve"> </w:t>
      </w:r>
      <w:r w:rsidR="009E7F9F">
        <w:rPr>
          <w:sz w:val="16"/>
          <w:szCs w:val="16"/>
        </w:rPr>
        <w:t xml:space="preserve">Ibid. </w:t>
      </w:r>
      <w:r w:rsidRPr="009E7F9F">
        <w:rPr>
          <w:sz w:val="16"/>
          <w:szCs w:val="16"/>
        </w:rPr>
        <w:t xml:space="preserve"> </w:t>
      </w:r>
    </w:p>
  </w:footnote>
  <w:footnote w:id="91">
    <w:p w:rsidRPr="009E7F9F" w:rsidR="002F0AF4" w:rsidRDefault="002F0AF4" w14:paraId="7C118090" w14:textId="70DD5A77">
      <w:pPr>
        <w:pStyle w:val="FootnoteText"/>
        <w:rPr>
          <w:sz w:val="16"/>
          <w:szCs w:val="16"/>
        </w:rPr>
      </w:pPr>
      <w:r w:rsidRPr="009E7F9F">
        <w:rPr>
          <w:rStyle w:val="FootnoteReference"/>
          <w:sz w:val="16"/>
          <w:szCs w:val="16"/>
        </w:rPr>
        <w:footnoteRef/>
      </w:r>
      <w:r w:rsidRPr="009E7F9F">
        <w:rPr>
          <w:sz w:val="16"/>
          <w:szCs w:val="16"/>
        </w:rPr>
        <w:t xml:space="preserve"> </w:t>
      </w:r>
      <w:r w:rsidRPr="009E7F9F" w:rsidR="009E7F9F">
        <w:rPr>
          <w:sz w:val="16"/>
          <w:szCs w:val="16"/>
        </w:rPr>
        <w:t>First Nations Digital Inclusion Advisory Group. 2023</w:t>
      </w:r>
      <w:r w:rsidRPr="00F02AFD" w:rsidR="009E7F9F">
        <w:rPr>
          <w:i/>
          <w:iCs/>
          <w:sz w:val="16"/>
          <w:szCs w:val="16"/>
        </w:rPr>
        <w:t>. Initial Report</w:t>
      </w:r>
      <w:r w:rsidRPr="009E7F9F" w:rsidR="009E7F9F">
        <w:rPr>
          <w:sz w:val="16"/>
          <w:szCs w:val="16"/>
        </w:rPr>
        <w:t xml:space="preserve">. </w:t>
      </w:r>
      <w:r w:rsidR="009E7F9F">
        <w:rPr>
          <w:sz w:val="16"/>
          <w:szCs w:val="16"/>
        </w:rPr>
        <w:t>p</w:t>
      </w:r>
      <w:r w:rsidRPr="009E7F9F" w:rsidR="009E7F9F">
        <w:rPr>
          <w:sz w:val="16"/>
          <w:szCs w:val="16"/>
        </w:rPr>
        <w:t xml:space="preserve">.21. Available at: </w:t>
      </w:r>
      <w:hyperlink w:history="1" r:id="rId54">
        <w:r w:rsidRPr="009E7F9F" w:rsidR="009E7F9F">
          <w:rPr>
            <w:rStyle w:val="Hyperlink"/>
            <w:sz w:val="16"/>
            <w:szCs w:val="16"/>
          </w:rPr>
          <w:t>https://www.digitalinclusion.gov.au/sites/default/files/documents/first-nations-digital-inclusion-advisory-group-initial-report.pdf</w:t>
        </w:r>
      </w:hyperlink>
      <w:r w:rsidRPr="009E7F9F" w:rsidR="009E7F9F">
        <w:rPr>
          <w:sz w:val="16"/>
          <w:szCs w:val="16"/>
        </w:rPr>
        <w:t>.</w:t>
      </w:r>
    </w:p>
  </w:footnote>
  <w:footnote w:id="92">
    <w:p w:rsidR="00AD5A2D" w:rsidRDefault="00AD5A2D" w14:paraId="356B7CE3" w14:textId="25E34349">
      <w:pPr>
        <w:pStyle w:val="FootnoteText"/>
      </w:pPr>
      <w:r w:rsidRPr="00874E01">
        <w:rPr>
          <w:rStyle w:val="FootnoteReference"/>
          <w:sz w:val="16"/>
          <w:szCs w:val="16"/>
        </w:rPr>
        <w:footnoteRef/>
      </w:r>
      <w:r w:rsidRPr="00874E01">
        <w:rPr>
          <w:sz w:val="16"/>
          <w:szCs w:val="16"/>
        </w:rPr>
        <w:t xml:space="preserve"> RMIT. 2023. </w:t>
      </w:r>
      <w:r w:rsidRPr="00F02AFD" w:rsidR="00874E01">
        <w:rPr>
          <w:i/>
          <w:iCs/>
          <w:sz w:val="16"/>
          <w:szCs w:val="16"/>
        </w:rPr>
        <w:t>Remote First Nations communities are among the most digitally excluded people in Australia: report.</w:t>
      </w:r>
      <w:r w:rsidRPr="00874E01" w:rsidR="00874E01">
        <w:rPr>
          <w:sz w:val="16"/>
          <w:szCs w:val="16"/>
        </w:rPr>
        <w:t xml:space="preserve"> Available at: </w:t>
      </w:r>
      <w:hyperlink w:history="1" w:anchor=":~:text=About%2043%25%20of%20the%201%2C545,to%20close%20the%20digital%20gap" r:id="rId55">
        <w:r w:rsidRPr="00874E01" w:rsidR="00874E01">
          <w:rPr>
            <w:rStyle w:val="Hyperlink"/>
            <w:sz w:val="16"/>
            <w:szCs w:val="16"/>
          </w:rPr>
          <w:t>https://www.rmit.edu.au/news/all-news/2023/sep/mapping-digital-gap#:~:text=About%2043%25%20of%20the%201%2C545,to%20close%20the%20digital%20gap</w:t>
        </w:r>
      </w:hyperlink>
      <w:r w:rsidRPr="00874E01" w:rsidR="00874E01">
        <w:rPr>
          <w:sz w:val="16"/>
          <w:szCs w:val="16"/>
        </w:rPr>
        <w:t>.</w:t>
      </w:r>
    </w:p>
  </w:footnote>
  <w:footnote w:id="93">
    <w:p w:rsidR="00380AD4" w:rsidRDefault="00380AD4" w14:paraId="410288B3" w14:textId="167A7C56">
      <w:pPr>
        <w:pStyle w:val="FootnoteText"/>
      </w:pPr>
      <w:r w:rsidRPr="00380AD4">
        <w:rPr>
          <w:rStyle w:val="FootnoteReference"/>
          <w:sz w:val="16"/>
          <w:szCs w:val="16"/>
        </w:rPr>
        <w:footnoteRef/>
      </w:r>
      <w:r w:rsidRPr="00380AD4">
        <w:rPr>
          <w:sz w:val="16"/>
          <w:szCs w:val="16"/>
        </w:rPr>
        <w:t xml:space="preserve"> RMIT. 2023. </w:t>
      </w:r>
      <w:r w:rsidRPr="00F02AFD">
        <w:rPr>
          <w:i/>
          <w:iCs/>
          <w:sz w:val="16"/>
          <w:szCs w:val="16"/>
        </w:rPr>
        <w:t>Remote First Nations communities are among the most digitally excluded people in Australia: report</w:t>
      </w:r>
      <w:r w:rsidRPr="00380AD4">
        <w:rPr>
          <w:sz w:val="16"/>
          <w:szCs w:val="16"/>
        </w:rPr>
        <w:t xml:space="preserve">. Available at: </w:t>
      </w:r>
      <w:hyperlink w:history="1" w:anchor=":~:text=About%2043%25%20of%20the%201%2C545,to%20close%20the%20digital%20gap" r:id="rId56">
        <w:r w:rsidRPr="00380AD4">
          <w:rPr>
            <w:rStyle w:val="Hyperlink"/>
            <w:sz w:val="16"/>
            <w:szCs w:val="16"/>
          </w:rPr>
          <w:t>https://www.rmit.edu.au/news/all-news/2023/sep/mapping-digital-gap#:~:text=About%2043%25%20of%20the%201%2C545,to%20close%20the%20digital%20gap</w:t>
        </w:r>
      </w:hyperlink>
      <w:r w:rsidRPr="00380AD4">
        <w:rPr>
          <w:sz w:val="16"/>
          <w:szCs w:val="16"/>
        </w:rPr>
        <w:t>.</w:t>
      </w:r>
    </w:p>
  </w:footnote>
  <w:footnote w:id="94">
    <w:p w:rsidRPr="00DD31A0" w:rsidR="00197344" w:rsidRDefault="00197344" w14:paraId="605D8B3F" w14:textId="20D4193B">
      <w:pPr>
        <w:pStyle w:val="FootnoteText"/>
        <w:rPr>
          <w:sz w:val="16"/>
          <w:szCs w:val="16"/>
        </w:rPr>
      </w:pPr>
      <w:r w:rsidRPr="00197344">
        <w:rPr>
          <w:rStyle w:val="FootnoteReference"/>
          <w:sz w:val="16"/>
          <w:szCs w:val="16"/>
        </w:rPr>
        <w:footnoteRef/>
      </w:r>
      <w:r w:rsidRPr="00197344">
        <w:rPr>
          <w:sz w:val="16"/>
          <w:szCs w:val="16"/>
        </w:rPr>
        <w:t xml:space="preserve"> First Nations Digital Inclusion Advisory Group. 2023. </w:t>
      </w:r>
      <w:r w:rsidRPr="00F02AFD">
        <w:rPr>
          <w:i/>
          <w:iCs/>
          <w:sz w:val="16"/>
          <w:szCs w:val="16"/>
        </w:rPr>
        <w:t>Initial Report</w:t>
      </w:r>
      <w:r w:rsidRPr="00197344">
        <w:rPr>
          <w:sz w:val="16"/>
          <w:szCs w:val="16"/>
        </w:rPr>
        <w:t xml:space="preserve">. p.21. Available at: </w:t>
      </w:r>
      <w:hyperlink w:history="1" r:id="rId57">
        <w:r w:rsidRPr="00DD31A0">
          <w:rPr>
            <w:rStyle w:val="Hyperlink"/>
            <w:sz w:val="16"/>
            <w:szCs w:val="16"/>
          </w:rPr>
          <w:t>https://www.digitalinclusion.gov.au/sites/default/files/documents/first-nations-digital-inclusion-advisory-group-initial-report.pdf</w:t>
        </w:r>
      </w:hyperlink>
      <w:r w:rsidRPr="00DD31A0">
        <w:rPr>
          <w:sz w:val="16"/>
          <w:szCs w:val="16"/>
        </w:rPr>
        <w:t>.</w:t>
      </w:r>
    </w:p>
  </w:footnote>
  <w:footnote w:id="95">
    <w:p w:rsidRPr="00DD31A0" w:rsidR="00462020" w:rsidRDefault="00462020" w14:paraId="22850B26" w14:textId="5D9FE3C8">
      <w:pPr>
        <w:pStyle w:val="FootnoteText"/>
        <w:rPr>
          <w:sz w:val="16"/>
          <w:szCs w:val="16"/>
        </w:rPr>
      </w:pPr>
      <w:r w:rsidRPr="00DD31A0">
        <w:rPr>
          <w:rStyle w:val="FootnoteReference"/>
          <w:sz w:val="16"/>
          <w:szCs w:val="16"/>
        </w:rPr>
        <w:footnoteRef/>
      </w:r>
      <w:r w:rsidRPr="00DD31A0">
        <w:rPr>
          <w:sz w:val="16"/>
          <w:szCs w:val="16"/>
        </w:rPr>
        <w:t xml:space="preserve"> </w:t>
      </w:r>
      <w:r w:rsidRPr="00DD31A0" w:rsidR="009E7F9F">
        <w:rPr>
          <w:sz w:val="16"/>
          <w:szCs w:val="16"/>
        </w:rPr>
        <w:t>Ibid</w:t>
      </w:r>
      <w:r w:rsidRPr="00DD31A0" w:rsidR="00197344">
        <w:rPr>
          <w:sz w:val="16"/>
          <w:szCs w:val="16"/>
        </w:rPr>
        <w:t xml:space="preserve">. </w:t>
      </w:r>
    </w:p>
  </w:footnote>
  <w:footnote w:id="96">
    <w:p w:rsidRPr="00DD31A0" w:rsidR="00462020" w:rsidP="00462020" w:rsidRDefault="00462020" w14:paraId="0F10C94B" w14:textId="7BA95B21">
      <w:pPr>
        <w:pStyle w:val="FootnoteText"/>
        <w:rPr>
          <w:sz w:val="16"/>
          <w:szCs w:val="16"/>
        </w:rPr>
      </w:pPr>
      <w:r w:rsidRPr="00DD31A0">
        <w:rPr>
          <w:rStyle w:val="FootnoteReference"/>
          <w:sz w:val="16"/>
          <w:szCs w:val="16"/>
        </w:rPr>
        <w:footnoteRef/>
      </w:r>
      <w:r w:rsidRPr="00DD31A0">
        <w:rPr>
          <w:sz w:val="16"/>
          <w:szCs w:val="16"/>
        </w:rPr>
        <w:t xml:space="preserve"> Ibid p</w:t>
      </w:r>
      <w:r w:rsidR="00BE1344">
        <w:rPr>
          <w:sz w:val="16"/>
          <w:szCs w:val="16"/>
        </w:rPr>
        <w:t>.</w:t>
      </w:r>
      <w:r w:rsidRPr="00DD31A0">
        <w:rPr>
          <w:sz w:val="16"/>
          <w:szCs w:val="16"/>
        </w:rPr>
        <w:t>29.</w:t>
      </w:r>
    </w:p>
  </w:footnote>
  <w:footnote w:id="97">
    <w:p w:rsidRPr="00DD31A0" w:rsidR="00462020" w:rsidP="00462020" w:rsidRDefault="00462020" w14:paraId="77D9BA6B" w14:textId="35853D55">
      <w:pPr>
        <w:pStyle w:val="FootnoteText"/>
        <w:rPr>
          <w:sz w:val="16"/>
          <w:szCs w:val="16"/>
        </w:rPr>
      </w:pPr>
      <w:r w:rsidRPr="00DD31A0">
        <w:rPr>
          <w:rStyle w:val="FootnoteReference"/>
          <w:sz w:val="16"/>
          <w:szCs w:val="16"/>
        </w:rPr>
        <w:footnoteRef/>
      </w:r>
      <w:r w:rsidRPr="00DD31A0">
        <w:rPr>
          <w:sz w:val="16"/>
          <w:szCs w:val="16"/>
        </w:rPr>
        <w:t xml:space="preserve"> Ibid p</w:t>
      </w:r>
      <w:r w:rsidRPr="00DD31A0" w:rsidR="001F7E07">
        <w:rPr>
          <w:sz w:val="16"/>
          <w:szCs w:val="16"/>
        </w:rPr>
        <w:t>.</w:t>
      </w:r>
      <w:r w:rsidRPr="00DD31A0">
        <w:rPr>
          <w:sz w:val="16"/>
          <w:szCs w:val="16"/>
        </w:rPr>
        <w:t xml:space="preserve">4. </w:t>
      </w:r>
    </w:p>
  </w:footnote>
  <w:footnote w:id="98">
    <w:p w:rsidRPr="00DD31A0" w:rsidR="00366FF7" w:rsidRDefault="00366FF7" w14:paraId="2166528C" w14:textId="6CD5B2CD">
      <w:pPr>
        <w:pStyle w:val="FootnoteText"/>
        <w:rPr>
          <w:sz w:val="16"/>
          <w:szCs w:val="16"/>
        </w:rPr>
      </w:pPr>
      <w:r w:rsidRPr="00DD31A0">
        <w:rPr>
          <w:rStyle w:val="FootnoteReference"/>
          <w:sz w:val="16"/>
          <w:szCs w:val="16"/>
        </w:rPr>
        <w:footnoteRef/>
      </w:r>
      <w:r w:rsidRPr="00DD31A0">
        <w:rPr>
          <w:sz w:val="16"/>
          <w:szCs w:val="16"/>
        </w:rPr>
        <w:t xml:space="preserve"> Ibid. p.4. </w:t>
      </w:r>
    </w:p>
  </w:footnote>
  <w:footnote w:id="99">
    <w:p w:rsidR="003504E5" w:rsidP="003504E5" w:rsidRDefault="003504E5" w14:paraId="21FC6D26" w14:textId="77777777">
      <w:pPr>
        <w:pStyle w:val="FootnoteText"/>
      </w:pPr>
      <w:r w:rsidRPr="00DD31A0">
        <w:rPr>
          <w:rStyle w:val="FootnoteReference"/>
          <w:sz w:val="16"/>
          <w:szCs w:val="16"/>
        </w:rPr>
        <w:footnoteRef/>
      </w:r>
      <w:r w:rsidRPr="00DD31A0">
        <w:rPr>
          <w:sz w:val="16"/>
          <w:szCs w:val="16"/>
        </w:rPr>
        <w:t xml:space="preserve"> Ibid. p.4.</w:t>
      </w:r>
      <w:r>
        <w:t xml:space="preserve"> </w:t>
      </w:r>
    </w:p>
  </w:footnote>
  <w:footnote w:id="100">
    <w:p w:rsidRPr="004041F4" w:rsidR="000235A5" w:rsidRDefault="000235A5" w14:paraId="7AE46161" w14:textId="215E4F2B">
      <w:pPr>
        <w:pStyle w:val="FootnoteText"/>
        <w:rPr>
          <w:sz w:val="16"/>
          <w:szCs w:val="16"/>
        </w:rPr>
      </w:pPr>
      <w:r w:rsidRPr="004041F4">
        <w:rPr>
          <w:rStyle w:val="FootnoteReference"/>
          <w:sz w:val="16"/>
          <w:szCs w:val="16"/>
        </w:rPr>
        <w:footnoteRef/>
      </w:r>
      <w:r w:rsidRPr="004041F4" w:rsidR="009A2522">
        <w:rPr>
          <w:sz w:val="16"/>
          <w:szCs w:val="16"/>
        </w:rPr>
        <w:t xml:space="preserve">ACCAN. 2023. </w:t>
      </w:r>
      <w:r w:rsidRPr="00A32032" w:rsidR="009A2522">
        <w:rPr>
          <w:i/>
          <w:iCs/>
          <w:sz w:val="16"/>
          <w:szCs w:val="16"/>
        </w:rPr>
        <w:t>Select Committee on Australia’s Disaster Resilience</w:t>
      </w:r>
      <w:r w:rsidRPr="004041F4" w:rsidR="009A2522">
        <w:rPr>
          <w:sz w:val="16"/>
          <w:szCs w:val="16"/>
        </w:rPr>
        <w:t xml:space="preserve">. </w:t>
      </w:r>
      <w:r w:rsidRPr="004041F4" w:rsidR="00951615">
        <w:rPr>
          <w:sz w:val="16"/>
          <w:szCs w:val="16"/>
        </w:rPr>
        <w:t xml:space="preserve">p.1. Available at: </w:t>
      </w:r>
      <w:hyperlink w:history="1" r:id="rId58">
        <w:r w:rsidRPr="004041F4" w:rsidR="00951615">
          <w:rPr>
            <w:rStyle w:val="Hyperlink"/>
            <w:sz w:val="16"/>
            <w:szCs w:val="16"/>
          </w:rPr>
          <w:t>https://accan.org.au/files/Submissions/2023/ACCAN%20Submission%20to%20the%20Select%20Committee%20on%20Australias%20Disaster%20Resilience.pdf</w:t>
        </w:r>
      </w:hyperlink>
      <w:r w:rsidRPr="004041F4" w:rsidR="00951615">
        <w:rPr>
          <w:sz w:val="16"/>
          <w:szCs w:val="16"/>
        </w:rPr>
        <w:t xml:space="preserve">. </w:t>
      </w:r>
    </w:p>
  </w:footnote>
  <w:footnote w:id="101">
    <w:p w:rsidRPr="004041F4" w:rsidR="004433FB" w:rsidP="004433FB" w:rsidRDefault="004433FB" w14:paraId="393E7B7E" w14:textId="1D12F7F7">
      <w:pPr>
        <w:pStyle w:val="FootnoteText"/>
        <w:rPr>
          <w:sz w:val="16"/>
          <w:szCs w:val="16"/>
        </w:rPr>
      </w:pPr>
      <w:r w:rsidRPr="004041F4">
        <w:rPr>
          <w:rStyle w:val="FootnoteReference"/>
          <w:sz w:val="16"/>
          <w:szCs w:val="16"/>
        </w:rPr>
        <w:footnoteRef/>
      </w:r>
      <w:r w:rsidRPr="004041F4">
        <w:rPr>
          <w:sz w:val="16"/>
          <w:szCs w:val="16"/>
        </w:rPr>
        <w:t xml:space="preserve"> </w:t>
      </w:r>
      <w:r w:rsidRPr="004041F4" w:rsidR="000A07B1">
        <w:rPr>
          <w:sz w:val="16"/>
          <w:szCs w:val="16"/>
        </w:rPr>
        <w:t xml:space="preserve">DITRCA. 2023. </w:t>
      </w:r>
      <w:r w:rsidRPr="00A32032" w:rsidR="000A07B1">
        <w:rPr>
          <w:i/>
          <w:iCs/>
          <w:sz w:val="16"/>
          <w:szCs w:val="16"/>
        </w:rPr>
        <w:t>Budget 2023-24: Connecting, informing and protecting Australians</w:t>
      </w:r>
      <w:r w:rsidRPr="004041F4" w:rsidR="000A07B1">
        <w:rPr>
          <w:sz w:val="16"/>
          <w:szCs w:val="16"/>
        </w:rPr>
        <w:t xml:space="preserve">. Available at: </w:t>
      </w:r>
      <w:r w:rsidRPr="004041F4" w:rsidR="004041F4">
        <w:rPr>
          <w:sz w:val="16"/>
          <w:szCs w:val="16"/>
        </w:rPr>
        <w:t xml:space="preserve"> </w:t>
      </w:r>
      <w:hyperlink w:history="1" r:id="rId59">
        <w:r w:rsidRPr="004041F4" w:rsidR="004041F4">
          <w:rPr>
            <w:rStyle w:val="Hyperlink"/>
            <w:sz w:val="16"/>
            <w:szCs w:val="16"/>
          </w:rPr>
          <w:t>https://minister.infrastructure.gov.au/rowland/media-release/budget-2023-24-connecting-informing-and-protecting-australians</w:t>
        </w:r>
      </w:hyperlink>
      <w:r w:rsidRPr="004041F4" w:rsidR="004041F4">
        <w:rPr>
          <w:sz w:val="16"/>
          <w:szCs w:val="16"/>
        </w:rPr>
        <w:t>.</w:t>
      </w:r>
      <w:r w:rsidRPr="004041F4">
        <w:rPr>
          <w:sz w:val="16"/>
          <w:szCs w:val="16"/>
        </w:rPr>
        <w:t xml:space="preserve"> </w:t>
      </w:r>
    </w:p>
  </w:footnote>
  <w:footnote w:id="102">
    <w:p w:rsidRPr="004041F4" w:rsidR="004759B5" w:rsidRDefault="004759B5" w14:paraId="761206B1" w14:textId="14160977">
      <w:pPr>
        <w:pStyle w:val="FootnoteText"/>
        <w:rPr>
          <w:sz w:val="16"/>
          <w:szCs w:val="16"/>
        </w:rPr>
      </w:pPr>
      <w:r w:rsidRPr="004041F4">
        <w:rPr>
          <w:rStyle w:val="FootnoteReference"/>
          <w:sz w:val="16"/>
          <w:szCs w:val="16"/>
        </w:rPr>
        <w:footnoteRef/>
      </w:r>
      <w:r w:rsidRPr="004041F4">
        <w:rPr>
          <w:sz w:val="16"/>
          <w:szCs w:val="16"/>
        </w:rPr>
        <w:t xml:space="preserve"> </w:t>
      </w:r>
      <w:r w:rsidRPr="004041F4" w:rsidR="004041F4">
        <w:rPr>
          <w:sz w:val="16"/>
          <w:szCs w:val="16"/>
        </w:rPr>
        <w:t xml:space="preserve">ACCC. 2023. </w:t>
      </w:r>
      <w:r w:rsidRPr="00A32032" w:rsidR="004041F4">
        <w:rPr>
          <w:i/>
          <w:iCs/>
          <w:sz w:val="16"/>
          <w:szCs w:val="16"/>
        </w:rPr>
        <w:t>Communications Market Report 2022-2023</w:t>
      </w:r>
      <w:r w:rsidRPr="004041F4" w:rsidR="004041F4">
        <w:rPr>
          <w:sz w:val="16"/>
          <w:szCs w:val="16"/>
        </w:rPr>
        <w:t xml:space="preserve">. </w:t>
      </w:r>
      <w:r w:rsidR="008758AE">
        <w:rPr>
          <w:sz w:val="16"/>
          <w:szCs w:val="16"/>
        </w:rPr>
        <w:t>p</w:t>
      </w:r>
      <w:r w:rsidRPr="004041F4" w:rsidR="004041F4">
        <w:rPr>
          <w:sz w:val="16"/>
          <w:szCs w:val="16"/>
        </w:rPr>
        <w:t xml:space="preserve">.9. Available at: </w:t>
      </w:r>
      <w:hyperlink w:history="1" r:id="rId60">
        <w:r w:rsidRPr="004041F4" w:rsidR="004041F4">
          <w:rPr>
            <w:rStyle w:val="Hyperlink"/>
            <w:sz w:val="16"/>
            <w:szCs w:val="16"/>
          </w:rPr>
          <w:t>https://www.accc.gov.au/system/files/communications-market-report-2022-23.pdf</w:t>
        </w:r>
      </w:hyperlink>
      <w:r w:rsidR="00844A80">
        <w:rPr>
          <w:rStyle w:val="Hyperlink"/>
          <w:sz w:val="16"/>
          <w:szCs w:val="16"/>
        </w:rPr>
        <w:t>.</w:t>
      </w:r>
    </w:p>
  </w:footnote>
  <w:footnote w:id="103">
    <w:p w:rsidRPr="004041F4" w:rsidR="00AB2A9C" w:rsidRDefault="00AB2A9C" w14:paraId="440FB97D" w14:textId="4C659009">
      <w:pPr>
        <w:pStyle w:val="FootnoteText"/>
        <w:rPr>
          <w:sz w:val="16"/>
          <w:szCs w:val="16"/>
        </w:rPr>
      </w:pPr>
      <w:r w:rsidRPr="004041F4">
        <w:rPr>
          <w:rStyle w:val="FootnoteReference"/>
          <w:sz w:val="16"/>
          <w:szCs w:val="16"/>
        </w:rPr>
        <w:footnoteRef/>
      </w:r>
      <w:r w:rsidRPr="004041F4">
        <w:rPr>
          <w:sz w:val="16"/>
          <w:szCs w:val="16"/>
        </w:rPr>
        <w:t xml:space="preserve"> </w:t>
      </w:r>
      <w:r w:rsidR="005F73F8">
        <w:rPr>
          <w:sz w:val="16"/>
          <w:szCs w:val="16"/>
        </w:rPr>
        <w:t xml:space="preserve">Ibid. </w:t>
      </w:r>
    </w:p>
  </w:footnote>
  <w:footnote w:id="104">
    <w:p w:rsidRPr="004041F4" w:rsidR="00EE161E" w:rsidRDefault="00EE161E" w14:paraId="7B684380" w14:textId="46F1417B">
      <w:pPr>
        <w:pStyle w:val="FootnoteText"/>
        <w:rPr>
          <w:sz w:val="16"/>
          <w:szCs w:val="16"/>
        </w:rPr>
      </w:pPr>
      <w:r w:rsidRPr="004041F4">
        <w:rPr>
          <w:rStyle w:val="FootnoteReference"/>
          <w:sz w:val="16"/>
          <w:szCs w:val="16"/>
        </w:rPr>
        <w:footnoteRef/>
      </w:r>
      <w:r w:rsidRPr="004041F4">
        <w:rPr>
          <w:sz w:val="16"/>
          <w:szCs w:val="16"/>
        </w:rPr>
        <w:t xml:space="preserve"> </w:t>
      </w:r>
      <w:r w:rsidRPr="004041F4" w:rsidR="005F73F8">
        <w:rPr>
          <w:sz w:val="16"/>
          <w:szCs w:val="16"/>
        </w:rPr>
        <w:t xml:space="preserve">ACCC. 2023. </w:t>
      </w:r>
      <w:r w:rsidRPr="00A32032" w:rsidR="005F73F8">
        <w:rPr>
          <w:i/>
          <w:iCs/>
          <w:sz w:val="16"/>
          <w:szCs w:val="16"/>
        </w:rPr>
        <w:t>Communications Market Report 2022-2023</w:t>
      </w:r>
      <w:r w:rsidRPr="004041F4" w:rsidR="005F73F8">
        <w:rPr>
          <w:sz w:val="16"/>
          <w:szCs w:val="16"/>
        </w:rPr>
        <w:t xml:space="preserve">. </w:t>
      </w:r>
      <w:r w:rsidR="005F73F8">
        <w:rPr>
          <w:sz w:val="16"/>
          <w:szCs w:val="16"/>
        </w:rPr>
        <w:t>p</w:t>
      </w:r>
      <w:r w:rsidRPr="004041F4" w:rsidR="005F73F8">
        <w:rPr>
          <w:sz w:val="16"/>
          <w:szCs w:val="16"/>
        </w:rPr>
        <w:t xml:space="preserve">.9. Available at: </w:t>
      </w:r>
      <w:hyperlink w:history="1" r:id="rId61">
        <w:r w:rsidRPr="004041F4" w:rsidR="005F73F8">
          <w:rPr>
            <w:rStyle w:val="Hyperlink"/>
            <w:sz w:val="16"/>
            <w:szCs w:val="16"/>
          </w:rPr>
          <w:t>https://www.accc.gov.au/system/files/communications-market-report-2022-23.pdf</w:t>
        </w:r>
      </w:hyperlink>
      <w:r w:rsidR="005F73F8">
        <w:rPr>
          <w:rStyle w:val="Hyperlink"/>
          <w:sz w:val="16"/>
          <w:szCs w:val="16"/>
        </w:rPr>
        <w:t>.</w:t>
      </w:r>
    </w:p>
  </w:footnote>
  <w:footnote w:id="105">
    <w:p w:rsidRPr="004041F4" w:rsidR="00671BBF" w:rsidRDefault="00671BBF" w14:paraId="0226FA5B" w14:textId="5EF13F1B">
      <w:pPr>
        <w:pStyle w:val="FootnoteText"/>
        <w:rPr>
          <w:sz w:val="16"/>
          <w:szCs w:val="16"/>
        </w:rPr>
      </w:pPr>
      <w:r w:rsidRPr="004041F4">
        <w:rPr>
          <w:rStyle w:val="FootnoteReference"/>
          <w:sz w:val="16"/>
          <w:szCs w:val="16"/>
        </w:rPr>
        <w:footnoteRef/>
      </w:r>
      <w:r w:rsidRPr="004041F4">
        <w:rPr>
          <w:sz w:val="16"/>
          <w:szCs w:val="16"/>
        </w:rPr>
        <w:t xml:space="preserve"> Ibid p</w:t>
      </w:r>
      <w:r w:rsidR="005F73F8">
        <w:rPr>
          <w:sz w:val="16"/>
          <w:szCs w:val="16"/>
        </w:rPr>
        <w:t>.</w:t>
      </w:r>
      <w:r w:rsidRPr="004041F4">
        <w:rPr>
          <w:sz w:val="16"/>
          <w:szCs w:val="16"/>
        </w:rPr>
        <w:t xml:space="preserve">10. </w:t>
      </w:r>
    </w:p>
  </w:footnote>
  <w:footnote w:id="106">
    <w:p w:rsidRPr="004041F4" w:rsidR="00C21B6A" w:rsidRDefault="00C21B6A" w14:paraId="00C2EAA5" w14:textId="05847DEE">
      <w:pPr>
        <w:pStyle w:val="FootnoteText"/>
        <w:rPr>
          <w:sz w:val="16"/>
          <w:szCs w:val="16"/>
        </w:rPr>
      </w:pPr>
      <w:r w:rsidRPr="004041F4">
        <w:rPr>
          <w:rStyle w:val="FootnoteReference"/>
          <w:sz w:val="16"/>
          <w:szCs w:val="16"/>
        </w:rPr>
        <w:footnoteRef/>
      </w:r>
      <w:r w:rsidRPr="004041F4">
        <w:rPr>
          <w:sz w:val="16"/>
          <w:szCs w:val="16"/>
        </w:rPr>
        <w:t xml:space="preserve"> Ibid</w:t>
      </w:r>
      <w:r w:rsidR="00FD1098">
        <w:rPr>
          <w:sz w:val="16"/>
          <w:szCs w:val="16"/>
        </w:rPr>
        <w:t xml:space="preserve"> p.9. </w:t>
      </w:r>
    </w:p>
  </w:footnote>
  <w:footnote w:id="107">
    <w:p w:rsidR="00302B35" w:rsidRDefault="00302B35" w14:paraId="5B56DC5E" w14:textId="4A9A7EA0">
      <w:pPr>
        <w:pStyle w:val="FootnoteText"/>
      </w:pPr>
      <w:r w:rsidRPr="004041F4">
        <w:rPr>
          <w:rStyle w:val="FootnoteReference"/>
          <w:sz w:val="16"/>
          <w:szCs w:val="16"/>
        </w:rPr>
        <w:footnoteRef/>
      </w:r>
      <w:r w:rsidRPr="004041F4">
        <w:rPr>
          <w:sz w:val="16"/>
          <w:szCs w:val="16"/>
        </w:rPr>
        <w:t xml:space="preserve"> Ibid</w:t>
      </w:r>
      <w:r w:rsidR="00FD1098">
        <w:rPr>
          <w:sz w:val="16"/>
          <w:szCs w:val="16"/>
        </w:rPr>
        <w:t xml:space="preserve"> p.9. </w:t>
      </w:r>
    </w:p>
  </w:footnote>
  <w:footnote w:id="108">
    <w:p w:rsidRPr="00F6076F" w:rsidR="00741951" w:rsidP="00741951" w:rsidRDefault="00741951" w14:paraId="00D2CDC5" w14:textId="48C540BB">
      <w:pPr>
        <w:pStyle w:val="FootnoteText"/>
        <w:rPr>
          <w:sz w:val="16"/>
          <w:szCs w:val="16"/>
        </w:rPr>
      </w:pPr>
      <w:r w:rsidRPr="00F6076F">
        <w:rPr>
          <w:rStyle w:val="FootnoteReference"/>
          <w:sz w:val="16"/>
          <w:szCs w:val="16"/>
        </w:rPr>
        <w:footnoteRef/>
      </w:r>
      <w:r w:rsidRPr="00F6076F">
        <w:rPr>
          <w:sz w:val="16"/>
          <w:szCs w:val="16"/>
        </w:rPr>
        <w:t xml:space="preserve"> </w:t>
      </w:r>
      <w:r w:rsidRPr="00F6076F" w:rsidR="00346BD5">
        <w:rPr>
          <w:sz w:val="16"/>
          <w:szCs w:val="16"/>
        </w:rPr>
        <w:t xml:space="preserve">ACMA. 2023. </w:t>
      </w:r>
      <w:r w:rsidRPr="00A32032" w:rsidR="00346BD5">
        <w:rPr>
          <w:i/>
          <w:iCs/>
          <w:sz w:val="16"/>
          <w:szCs w:val="16"/>
        </w:rPr>
        <w:t>Communications and Media in Australia. Trends and Developments in telecommunications 2022-2023</w:t>
      </w:r>
      <w:r w:rsidRPr="00F6076F" w:rsidR="00346BD5">
        <w:rPr>
          <w:sz w:val="16"/>
          <w:szCs w:val="16"/>
        </w:rPr>
        <w:t xml:space="preserve">. </w:t>
      </w:r>
      <w:r w:rsidRPr="00F6076F" w:rsidR="0072403B">
        <w:rPr>
          <w:sz w:val="16"/>
          <w:szCs w:val="16"/>
        </w:rPr>
        <w:t>p</w:t>
      </w:r>
      <w:r w:rsidRPr="00F6076F" w:rsidR="00346BD5">
        <w:rPr>
          <w:sz w:val="16"/>
          <w:szCs w:val="16"/>
        </w:rPr>
        <w:t xml:space="preserve">.17. Available at: </w:t>
      </w:r>
      <w:hyperlink w:history="1" r:id="rId62">
        <w:r w:rsidRPr="00F6076F" w:rsidR="00346BD5">
          <w:rPr>
            <w:rStyle w:val="Hyperlink"/>
            <w:sz w:val="16"/>
            <w:szCs w:val="16"/>
          </w:rPr>
          <w:t>https://www.acma.gov.au/sites/default/files/2023-12/Trends%20and%20developments%20in%20telecommunications%202022-23_0.pdf</w:t>
        </w:r>
      </w:hyperlink>
      <w:r w:rsidRPr="00F6076F" w:rsidR="00346BD5">
        <w:rPr>
          <w:sz w:val="16"/>
          <w:szCs w:val="16"/>
        </w:rPr>
        <w:t xml:space="preserve">. </w:t>
      </w:r>
    </w:p>
  </w:footnote>
  <w:footnote w:id="109">
    <w:p w:rsidRPr="00F6076F" w:rsidR="00C65B09" w:rsidP="00C65B09" w:rsidRDefault="00C65B09" w14:paraId="6F5323D3" w14:textId="5A978641">
      <w:pPr>
        <w:pStyle w:val="FootnoteText"/>
        <w:rPr>
          <w:sz w:val="16"/>
          <w:szCs w:val="16"/>
        </w:rPr>
      </w:pPr>
      <w:r w:rsidRPr="00F6076F">
        <w:rPr>
          <w:rStyle w:val="FootnoteReference"/>
          <w:sz w:val="16"/>
          <w:szCs w:val="16"/>
        </w:rPr>
        <w:footnoteRef/>
      </w:r>
      <w:r w:rsidRPr="00F6076F">
        <w:rPr>
          <w:sz w:val="16"/>
          <w:szCs w:val="16"/>
        </w:rPr>
        <w:t xml:space="preserve"> Ibid p</w:t>
      </w:r>
      <w:r w:rsidRPr="00F6076F" w:rsidR="0072403B">
        <w:rPr>
          <w:sz w:val="16"/>
          <w:szCs w:val="16"/>
        </w:rPr>
        <w:t>.</w:t>
      </w:r>
      <w:r w:rsidRPr="00F6076F">
        <w:rPr>
          <w:sz w:val="16"/>
          <w:szCs w:val="16"/>
        </w:rPr>
        <w:t xml:space="preserve">19. </w:t>
      </w:r>
    </w:p>
  </w:footnote>
  <w:footnote w:id="110">
    <w:p w:rsidRPr="00F6076F" w:rsidR="00F74A0A" w:rsidRDefault="00F74A0A" w14:paraId="497008E6" w14:textId="652917B1">
      <w:pPr>
        <w:pStyle w:val="FootnoteText"/>
        <w:rPr>
          <w:sz w:val="16"/>
          <w:szCs w:val="16"/>
        </w:rPr>
      </w:pPr>
      <w:r w:rsidRPr="00F6076F">
        <w:rPr>
          <w:rStyle w:val="FootnoteReference"/>
          <w:sz w:val="16"/>
          <w:szCs w:val="16"/>
        </w:rPr>
        <w:footnoteRef/>
      </w:r>
      <w:r w:rsidRPr="00F6076F">
        <w:rPr>
          <w:sz w:val="16"/>
          <w:szCs w:val="16"/>
        </w:rPr>
        <w:t xml:space="preserve"> </w:t>
      </w:r>
      <w:r w:rsidRPr="00F6076F" w:rsidR="009078AF">
        <w:rPr>
          <w:sz w:val="16"/>
          <w:szCs w:val="16"/>
        </w:rPr>
        <w:t xml:space="preserve">PWC. 2023. </w:t>
      </w:r>
      <w:r w:rsidRPr="00A32032" w:rsidR="009078AF">
        <w:rPr>
          <w:i/>
          <w:iCs/>
          <w:sz w:val="16"/>
          <w:szCs w:val="16"/>
        </w:rPr>
        <w:t>Connecting Canadians through resilien</w:t>
      </w:r>
      <w:r w:rsidRPr="00A32032" w:rsidR="00E45A88">
        <w:rPr>
          <w:i/>
          <w:iCs/>
          <w:sz w:val="16"/>
          <w:szCs w:val="16"/>
        </w:rPr>
        <w:t>t networks – the impact of the telecom sector in 2022 and beyond</w:t>
      </w:r>
      <w:r w:rsidRPr="00F6076F" w:rsidR="00E45A88">
        <w:rPr>
          <w:sz w:val="16"/>
          <w:szCs w:val="16"/>
        </w:rPr>
        <w:t xml:space="preserve">. </w:t>
      </w:r>
      <w:r w:rsidRPr="00F6076F" w:rsidR="00826C23">
        <w:rPr>
          <w:sz w:val="16"/>
          <w:szCs w:val="16"/>
        </w:rPr>
        <w:t xml:space="preserve">Available at: </w:t>
      </w:r>
      <w:hyperlink w:history="1" r:id="rId63">
        <w:r w:rsidRPr="00F6076F" w:rsidR="00826C23">
          <w:rPr>
            <w:rStyle w:val="Hyperlink"/>
            <w:sz w:val="16"/>
            <w:szCs w:val="16"/>
          </w:rPr>
          <w:t>https://canadatelecoms.ca/wp-content/uploads/2023/11/Connecting-Canadians-through-resilient-networks.pdf</w:t>
        </w:r>
      </w:hyperlink>
      <w:r w:rsidRPr="00F6076F" w:rsidR="00826C23">
        <w:rPr>
          <w:sz w:val="16"/>
          <w:szCs w:val="16"/>
        </w:rPr>
        <w:t xml:space="preserve">. </w:t>
      </w:r>
    </w:p>
  </w:footnote>
  <w:footnote w:id="111">
    <w:p w:rsidRPr="00F6076F" w:rsidR="009C68CB" w:rsidRDefault="009C68CB" w14:paraId="3EEB0835" w14:textId="1E45F05F">
      <w:pPr>
        <w:pStyle w:val="FootnoteText"/>
        <w:rPr>
          <w:sz w:val="16"/>
          <w:szCs w:val="16"/>
        </w:rPr>
      </w:pPr>
      <w:r w:rsidRPr="00F6076F">
        <w:rPr>
          <w:rStyle w:val="FootnoteReference"/>
          <w:sz w:val="16"/>
          <w:szCs w:val="16"/>
        </w:rPr>
        <w:footnoteRef/>
      </w:r>
      <w:r w:rsidRPr="00F6076F">
        <w:rPr>
          <w:sz w:val="16"/>
          <w:szCs w:val="16"/>
        </w:rPr>
        <w:t xml:space="preserve"> </w:t>
      </w:r>
      <w:r w:rsidRPr="00F6076F" w:rsidR="00844A80">
        <w:rPr>
          <w:sz w:val="16"/>
          <w:szCs w:val="16"/>
        </w:rPr>
        <w:t xml:space="preserve">PWC. 2023. </w:t>
      </w:r>
      <w:r w:rsidRPr="00A32032" w:rsidR="00844A80">
        <w:rPr>
          <w:i/>
          <w:iCs/>
          <w:sz w:val="16"/>
          <w:szCs w:val="16"/>
        </w:rPr>
        <w:t>Connecting Canadians through resilient networks – the impact of the telecom sector in 2022 and beyond</w:t>
      </w:r>
      <w:r w:rsidRPr="00F6076F" w:rsidR="00844A80">
        <w:rPr>
          <w:sz w:val="16"/>
          <w:szCs w:val="16"/>
        </w:rPr>
        <w:t>.</w:t>
      </w:r>
      <w:r w:rsidR="00844A80">
        <w:rPr>
          <w:sz w:val="16"/>
          <w:szCs w:val="16"/>
        </w:rPr>
        <w:t xml:space="preserve"> p.4.</w:t>
      </w:r>
      <w:r w:rsidRPr="00F6076F" w:rsidR="00844A80">
        <w:rPr>
          <w:sz w:val="16"/>
          <w:szCs w:val="16"/>
        </w:rPr>
        <w:t xml:space="preserve"> Available at: </w:t>
      </w:r>
      <w:hyperlink w:history="1" r:id="rId64">
        <w:r w:rsidRPr="00F6076F" w:rsidR="00844A80">
          <w:rPr>
            <w:rStyle w:val="Hyperlink"/>
            <w:sz w:val="16"/>
            <w:szCs w:val="16"/>
          </w:rPr>
          <w:t>https://canadatelecoms.ca/wp-content/uploads/2023/11/Connecting-Canadians-through-resilient-networks.pdf</w:t>
        </w:r>
      </w:hyperlink>
      <w:r w:rsidRPr="00F6076F" w:rsidR="00844A80">
        <w:rPr>
          <w:sz w:val="16"/>
          <w:szCs w:val="16"/>
        </w:rPr>
        <w:t>.</w:t>
      </w:r>
    </w:p>
  </w:footnote>
  <w:footnote w:id="112">
    <w:p w:rsidR="002328DD" w:rsidRDefault="002328DD" w14:paraId="7A0D92B7" w14:textId="4EA7AB94">
      <w:pPr>
        <w:pStyle w:val="FootnoteText"/>
      </w:pPr>
      <w:r>
        <w:rPr>
          <w:rStyle w:val="FootnoteReference"/>
        </w:rPr>
        <w:footnoteRef/>
      </w:r>
      <w:r>
        <w:t xml:space="preserve"> </w:t>
      </w:r>
      <w:r w:rsidRPr="00F6076F">
        <w:rPr>
          <w:sz w:val="16"/>
          <w:szCs w:val="16"/>
        </w:rPr>
        <w:t xml:space="preserve">ACCAN. 2022. </w:t>
      </w:r>
      <w:r w:rsidRPr="00A32032">
        <w:rPr>
          <w:i/>
          <w:iCs/>
          <w:sz w:val="16"/>
          <w:szCs w:val="16"/>
        </w:rPr>
        <w:t>ACCAN Research Snapshot: Consumer expectations- reliability and fairness</w:t>
      </w:r>
      <w:r w:rsidRPr="00F6076F">
        <w:rPr>
          <w:sz w:val="16"/>
          <w:szCs w:val="16"/>
        </w:rPr>
        <w:t xml:space="preserve">. p.1. Available at: </w:t>
      </w:r>
      <w:hyperlink w:history="1" r:id="rId65">
        <w:r w:rsidRPr="00F6076F">
          <w:rPr>
            <w:rStyle w:val="Hyperlink"/>
            <w:sz w:val="16"/>
            <w:szCs w:val="16"/>
          </w:rPr>
          <w:t>https://accan.org.au/accans-work/research/2003-consumer-expectations-2022</w:t>
        </w:r>
      </w:hyperlink>
      <w:r w:rsidRPr="00F6076F">
        <w:rPr>
          <w:sz w:val="16"/>
          <w:szCs w:val="16"/>
        </w:rPr>
        <w:t>.</w:t>
      </w:r>
    </w:p>
  </w:footnote>
  <w:footnote w:id="113">
    <w:p w:rsidRPr="00F6076F" w:rsidR="00624EBA" w:rsidRDefault="00624EBA" w14:paraId="300E786C" w14:textId="06CA241A">
      <w:pPr>
        <w:pStyle w:val="FootnoteText"/>
        <w:rPr>
          <w:sz w:val="16"/>
          <w:szCs w:val="16"/>
        </w:rPr>
      </w:pPr>
      <w:r w:rsidRPr="00F6076F">
        <w:rPr>
          <w:rStyle w:val="FootnoteReference"/>
          <w:sz w:val="16"/>
          <w:szCs w:val="16"/>
        </w:rPr>
        <w:footnoteRef/>
      </w:r>
      <w:r w:rsidRPr="00F6076F" w:rsidR="005855A7">
        <w:rPr>
          <w:sz w:val="16"/>
          <w:szCs w:val="16"/>
        </w:rPr>
        <w:t xml:space="preserve"> </w:t>
      </w:r>
      <w:r w:rsidR="002328DD">
        <w:rPr>
          <w:sz w:val="16"/>
          <w:szCs w:val="16"/>
        </w:rPr>
        <w:t>Ibid.</w:t>
      </w:r>
      <w:r w:rsidRPr="00F6076F" w:rsidR="005106BA">
        <w:rPr>
          <w:sz w:val="16"/>
          <w:szCs w:val="16"/>
        </w:rPr>
        <w:t xml:space="preserve"> </w:t>
      </w:r>
    </w:p>
  </w:footnote>
  <w:footnote w:id="114">
    <w:p w:rsidRPr="00F6076F" w:rsidR="00525907" w:rsidRDefault="00525907" w14:paraId="3DF369DB" w14:textId="52512073">
      <w:pPr>
        <w:pStyle w:val="FootnoteText"/>
        <w:rPr>
          <w:sz w:val="16"/>
          <w:szCs w:val="16"/>
        </w:rPr>
      </w:pPr>
      <w:r w:rsidRPr="00F6076F">
        <w:rPr>
          <w:rStyle w:val="FootnoteReference"/>
          <w:sz w:val="16"/>
          <w:szCs w:val="16"/>
        </w:rPr>
        <w:footnoteRef/>
      </w:r>
      <w:r w:rsidRPr="00F6076F">
        <w:rPr>
          <w:sz w:val="16"/>
          <w:szCs w:val="16"/>
        </w:rPr>
        <w:t xml:space="preserve"> Ibid p</w:t>
      </w:r>
      <w:r w:rsidRPr="00F6076F" w:rsidR="0072403B">
        <w:rPr>
          <w:sz w:val="16"/>
          <w:szCs w:val="16"/>
        </w:rPr>
        <w:t>.</w:t>
      </w:r>
      <w:r w:rsidRPr="00F6076F">
        <w:rPr>
          <w:sz w:val="16"/>
          <w:szCs w:val="16"/>
        </w:rPr>
        <w:t xml:space="preserve">2. </w:t>
      </w:r>
    </w:p>
  </w:footnote>
  <w:footnote w:id="115">
    <w:p w:rsidRPr="009332DF" w:rsidR="00F17862" w:rsidRDefault="00F17862" w14:paraId="6E086D5D" w14:textId="6D6DB2B3">
      <w:pPr>
        <w:pStyle w:val="FootnoteText"/>
        <w:rPr>
          <w:sz w:val="16"/>
          <w:szCs w:val="16"/>
        </w:rPr>
      </w:pPr>
      <w:r w:rsidRPr="009332DF">
        <w:rPr>
          <w:rStyle w:val="FootnoteReference"/>
          <w:sz w:val="16"/>
          <w:szCs w:val="16"/>
        </w:rPr>
        <w:footnoteRef/>
      </w:r>
      <w:r w:rsidRPr="009332DF">
        <w:rPr>
          <w:sz w:val="16"/>
          <w:szCs w:val="16"/>
        </w:rPr>
        <w:t xml:space="preserve"> </w:t>
      </w:r>
      <w:r w:rsidRPr="009332DF" w:rsidR="00483B99">
        <w:rPr>
          <w:sz w:val="16"/>
          <w:szCs w:val="16"/>
        </w:rPr>
        <w:t xml:space="preserve">ACCAN. 2023. </w:t>
      </w:r>
      <w:r w:rsidRPr="00A32032" w:rsidR="00483B99">
        <w:rPr>
          <w:i/>
          <w:iCs/>
          <w:sz w:val="16"/>
          <w:szCs w:val="16"/>
        </w:rPr>
        <w:t>ACCAN Submission to the Senate Inquiry on the Optus Network Outage</w:t>
      </w:r>
      <w:r w:rsidRPr="009332DF" w:rsidR="00483B99">
        <w:rPr>
          <w:sz w:val="16"/>
          <w:szCs w:val="16"/>
        </w:rPr>
        <w:t xml:space="preserve">. </w:t>
      </w:r>
      <w:r w:rsidRPr="009332DF" w:rsidR="00916C19">
        <w:rPr>
          <w:sz w:val="16"/>
          <w:szCs w:val="16"/>
        </w:rPr>
        <w:t>p</w:t>
      </w:r>
      <w:r w:rsidRPr="009332DF" w:rsidR="00483B99">
        <w:rPr>
          <w:sz w:val="16"/>
          <w:szCs w:val="16"/>
        </w:rPr>
        <w:t xml:space="preserve">.1. Available at: </w:t>
      </w:r>
      <w:hyperlink w:history="1" r:id="rId66">
        <w:r w:rsidRPr="009332DF" w:rsidR="00862F28">
          <w:rPr>
            <w:rStyle w:val="Hyperlink"/>
            <w:sz w:val="16"/>
            <w:szCs w:val="16"/>
          </w:rPr>
          <w:t>https://accan.org.au/accans-work/submissions/2258-optus-network-outage?highlight=WyJvcHR1cyIsIm9wdHVzJyIsIidvcHR1cyIsIm9wdHVzJ3MiXQ==</w:t>
        </w:r>
      </w:hyperlink>
      <w:r w:rsidRPr="009332DF" w:rsidR="00862F28">
        <w:rPr>
          <w:sz w:val="16"/>
          <w:szCs w:val="16"/>
        </w:rPr>
        <w:t xml:space="preserve">. </w:t>
      </w:r>
    </w:p>
  </w:footnote>
  <w:footnote w:id="116">
    <w:p w:rsidRPr="009332DF" w:rsidR="00E76A4F" w:rsidRDefault="00E76A4F" w14:paraId="43C2BD8B" w14:textId="504228A0">
      <w:pPr>
        <w:pStyle w:val="FootnoteText"/>
        <w:rPr>
          <w:sz w:val="16"/>
          <w:szCs w:val="16"/>
        </w:rPr>
      </w:pPr>
      <w:r w:rsidRPr="009332DF">
        <w:rPr>
          <w:rStyle w:val="FootnoteReference"/>
          <w:sz w:val="16"/>
          <w:szCs w:val="16"/>
        </w:rPr>
        <w:footnoteRef/>
      </w:r>
      <w:r w:rsidRPr="009332DF">
        <w:rPr>
          <w:sz w:val="16"/>
          <w:szCs w:val="16"/>
        </w:rPr>
        <w:t xml:space="preserve"> </w:t>
      </w:r>
      <w:r w:rsidRPr="009332DF" w:rsidR="00A7234A">
        <w:rPr>
          <w:sz w:val="16"/>
          <w:szCs w:val="16"/>
        </w:rPr>
        <w:t xml:space="preserve">Ibid. p.2. </w:t>
      </w:r>
      <w:r w:rsidRPr="009332DF">
        <w:rPr>
          <w:sz w:val="16"/>
          <w:szCs w:val="16"/>
        </w:rPr>
        <w:t xml:space="preserve"> </w:t>
      </w:r>
    </w:p>
  </w:footnote>
  <w:footnote w:id="117">
    <w:p w:rsidRPr="009332DF" w:rsidR="00406A7E" w:rsidP="00DB2754" w:rsidRDefault="00406A7E" w14:paraId="5F6DC8AE" w14:textId="0292B49B">
      <w:pPr>
        <w:pStyle w:val="FootnoteText"/>
        <w:rPr>
          <w:sz w:val="16"/>
          <w:szCs w:val="16"/>
        </w:rPr>
      </w:pPr>
      <w:r w:rsidRPr="009332DF">
        <w:rPr>
          <w:rStyle w:val="FootnoteReference"/>
          <w:sz w:val="16"/>
          <w:szCs w:val="16"/>
        </w:rPr>
        <w:footnoteRef/>
      </w:r>
      <w:r w:rsidRPr="009332DF">
        <w:rPr>
          <w:sz w:val="16"/>
          <w:szCs w:val="16"/>
        </w:rPr>
        <w:t xml:space="preserve"> </w:t>
      </w:r>
      <w:r w:rsidRPr="009332DF" w:rsidR="00544AE5">
        <w:rPr>
          <w:sz w:val="16"/>
          <w:szCs w:val="16"/>
        </w:rPr>
        <w:t xml:space="preserve">Parliament of Australia. 2023. </w:t>
      </w:r>
      <w:r w:rsidRPr="00A32032" w:rsidR="00544AE5">
        <w:rPr>
          <w:i/>
          <w:iCs/>
          <w:sz w:val="16"/>
          <w:szCs w:val="16"/>
        </w:rPr>
        <w:t>Connecting the country: Mission</w:t>
      </w:r>
      <w:r w:rsidRPr="00A32032" w:rsidR="00DB2754">
        <w:rPr>
          <w:i/>
          <w:iCs/>
          <w:sz w:val="16"/>
          <w:szCs w:val="16"/>
        </w:rPr>
        <w:t xml:space="preserve"> Critical - Inquiry into co-investment in multi-carrier regional mobile infrastructure</w:t>
      </w:r>
      <w:r w:rsidRPr="009332DF" w:rsidR="00DB2754">
        <w:rPr>
          <w:sz w:val="16"/>
          <w:szCs w:val="16"/>
        </w:rPr>
        <w:t xml:space="preserve">. </w:t>
      </w:r>
      <w:r w:rsidRPr="009332DF" w:rsidR="00916C19">
        <w:rPr>
          <w:sz w:val="16"/>
          <w:szCs w:val="16"/>
        </w:rPr>
        <w:t>p</w:t>
      </w:r>
      <w:r w:rsidRPr="009332DF" w:rsidR="00126310">
        <w:rPr>
          <w:sz w:val="16"/>
          <w:szCs w:val="16"/>
        </w:rPr>
        <w:t xml:space="preserve">. XV. Available at: </w:t>
      </w:r>
      <w:hyperlink w:history="1" r:id="rId67">
        <w:r w:rsidRPr="009332DF" w:rsidR="00126310">
          <w:rPr>
            <w:rStyle w:val="Hyperlink"/>
            <w:sz w:val="16"/>
            <w:szCs w:val="16"/>
          </w:rPr>
          <w:t>https://parlinfo.aph.gov.au/parlInfo/download/committees/reportrep/RB000010/toc_pdf/ConnectingthecountryMissioncritical.pdf</w:t>
        </w:r>
      </w:hyperlink>
      <w:r w:rsidRPr="009332DF" w:rsidR="00126310">
        <w:rPr>
          <w:sz w:val="16"/>
          <w:szCs w:val="16"/>
        </w:rPr>
        <w:t xml:space="preserve">. </w:t>
      </w:r>
    </w:p>
  </w:footnote>
  <w:footnote w:id="118">
    <w:p w:rsidR="00BF3F84" w:rsidRDefault="00BF3F84" w14:paraId="2B649BF1" w14:textId="436CEF2C">
      <w:pPr>
        <w:pStyle w:val="FootnoteText"/>
      </w:pPr>
      <w:r w:rsidRPr="009332DF">
        <w:rPr>
          <w:rStyle w:val="FootnoteReference"/>
          <w:sz w:val="16"/>
          <w:szCs w:val="16"/>
        </w:rPr>
        <w:footnoteRef/>
      </w:r>
      <w:r w:rsidRPr="009332DF">
        <w:rPr>
          <w:sz w:val="16"/>
          <w:szCs w:val="16"/>
        </w:rPr>
        <w:t xml:space="preserve"> </w:t>
      </w:r>
      <w:r w:rsidRPr="009332DF" w:rsidR="00916C19">
        <w:rPr>
          <w:sz w:val="16"/>
          <w:szCs w:val="16"/>
        </w:rPr>
        <w:t xml:space="preserve">ACCAN. 2023. </w:t>
      </w:r>
      <w:r w:rsidRPr="00A32032" w:rsidR="00916C19">
        <w:rPr>
          <w:i/>
          <w:iCs/>
          <w:sz w:val="16"/>
          <w:szCs w:val="16"/>
        </w:rPr>
        <w:t>ACCAN Submission to the Senate Inquiry on the Optus Network Outage</w:t>
      </w:r>
      <w:r w:rsidRPr="009332DF" w:rsidR="00916C19">
        <w:rPr>
          <w:sz w:val="16"/>
          <w:szCs w:val="16"/>
        </w:rPr>
        <w:t xml:space="preserve">. p.2. Available at: </w:t>
      </w:r>
      <w:hyperlink w:history="1" r:id="rId68">
        <w:r w:rsidRPr="009332DF" w:rsidR="00916C19">
          <w:rPr>
            <w:rStyle w:val="Hyperlink"/>
            <w:sz w:val="16"/>
            <w:szCs w:val="16"/>
          </w:rPr>
          <w:t>https://accan.org.au/accans-work/submissions/2258-optus-network-outage?highlight=WyJvcHR1cyIsIm9wdHVzJyIsIidvcHR1cyIsIm9wdHVzJ3MiXQ==</w:t>
        </w:r>
      </w:hyperlink>
      <w:r w:rsidRPr="009332DF" w:rsidR="00916C19">
        <w:rPr>
          <w:sz w:val="16"/>
          <w:szCs w:val="16"/>
        </w:rPr>
        <w:t>.</w:t>
      </w:r>
    </w:p>
  </w:footnote>
  <w:footnote w:id="119">
    <w:p w:rsidRPr="00F6076F" w:rsidR="00D27C7F" w:rsidP="00D27C7F" w:rsidRDefault="00D27C7F" w14:paraId="714BCC97" w14:textId="44C456B4">
      <w:pPr>
        <w:pStyle w:val="FootnoteText"/>
        <w:rPr>
          <w:sz w:val="16"/>
          <w:szCs w:val="16"/>
        </w:rPr>
      </w:pPr>
      <w:r w:rsidRPr="00F6076F">
        <w:rPr>
          <w:rStyle w:val="FootnoteReference"/>
          <w:sz w:val="16"/>
          <w:szCs w:val="16"/>
        </w:rPr>
        <w:footnoteRef/>
      </w:r>
      <w:r w:rsidRPr="00F6076F">
        <w:rPr>
          <w:sz w:val="16"/>
          <w:szCs w:val="16"/>
        </w:rPr>
        <w:t xml:space="preserve"> DITRDCA. 2023. </w:t>
      </w:r>
      <w:r w:rsidRPr="00A32032">
        <w:rPr>
          <w:i/>
          <w:iCs/>
          <w:sz w:val="16"/>
          <w:szCs w:val="16"/>
        </w:rPr>
        <w:t xml:space="preserve">Mobile </w:t>
      </w:r>
      <w:r w:rsidR="00B004DA">
        <w:rPr>
          <w:i/>
          <w:iCs/>
          <w:sz w:val="16"/>
          <w:szCs w:val="16"/>
        </w:rPr>
        <w:t>N</w:t>
      </w:r>
      <w:r w:rsidRPr="00A32032" w:rsidR="00B004DA">
        <w:rPr>
          <w:i/>
          <w:iCs/>
          <w:sz w:val="16"/>
          <w:szCs w:val="16"/>
        </w:rPr>
        <w:t xml:space="preserve">etwork </w:t>
      </w:r>
      <w:r w:rsidR="00B004DA">
        <w:rPr>
          <w:i/>
          <w:iCs/>
          <w:sz w:val="16"/>
          <w:szCs w:val="16"/>
        </w:rPr>
        <w:t>H</w:t>
      </w:r>
      <w:r w:rsidRPr="00A32032" w:rsidR="00B004DA">
        <w:rPr>
          <w:i/>
          <w:iCs/>
          <w:sz w:val="16"/>
          <w:szCs w:val="16"/>
        </w:rPr>
        <w:t xml:space="preserve">ardening </w:t>
      </w:r>
      <w:r w:rsidR="00B004DA">
        <w:rPr>
          <w:i/>
          <w:iCs/>
          <w:sz w:val="16"/>
          <w:szCs w:val="16"/>
        </w:rPr>
        <w:t>P</w:t>
      </w:r>
      <w:r w:rsidRPr="00A32032" w:rsidR="00B004DA">
        <w:rPr>
          <w:i/>
          <w:iCs/>
          <w:sz w:val="16"/>
          <w:szCs w:val="16"/>
        </w:rPr>
        <w:t>rogram</w:t>
      </w:r>
      <w:r w:rsidRPr="00F6076F">
        <w:rPr>
          <w:sz w:val="16"/>
          <w:szCs w:val="16"/>
        </w:rPr>
        <w:t xml:space="preserve">: </w:t>
      </w:r>
      <w:hyperlink w:history="1" r:id="rId69">
        <w:r w:rsidRPr="00F6076F">
          <w:rPr>
            <w:rStyle w:val="Hyperlink"/>
            <w:sz w:val="16"/>
            <w:szCs w:val="16"/>
          </w:rPr>
          <w:t>https://www.infrastructure.gov.au/media-communications-arts/phone/mobile-network-hardening-program</w:t>
        </w:r>
      </w:hyperlink>
      <w:r w:rsidRPr="00F6076F">
        <w:rPr>
          <w:sz w:val="16"/>
          <w:szCs w:val="16"/>
        </w:rPr>
        <w:t xml:space="preserve">. </w:t>
      </w:r>
    </w:p>
  </w:footnote>
  <w:footnote w:id="120">
    <w:p w:rsidR="00EC6C86" w:rsidRDefault="00EC6C86" w14:paraId="597B5EAF" w14:textId="121CE115">
      <w:pPr>
        <w:pStyle w:val="FootnoteText"/>
      </w:pPr>
      <w:r>
        <w:rPr>
          <w:rStyle w:val="FootnoteReference"/>
        </w:rPr>
        <w:footnoteRef/>
      </w:r>
      <w:r>
        <w:t xml:space="preserve"> </w:t>
      </w:r>
      <w:r>
        <w:rPr>
          <w:sz w:val="16"/>
          <w:szCs w:val="16"/>
        </w:rPr>
        <w:t xml:space="preserve">ACCAN. 2022. </w:t>
      </w:r>
      <w:r w:rsidRPr="00670B89">
        <w:rPr>
          <w:i/>
          <w:iCs/>
          <w:sz w:val="16"/>
          <w:szCs w:val="16"/>
        </w:rPr>
        <w:t>Pre-Budget Submission 2022-2023</w:t>
      </w:r>
      <w:r>
        <w:rPr>
          <w:sz w:val="16"/>
          <w:szCs w:val="16"/>
        </w:rPr>
        <w:t xml:space="preserve">. Available at: </w:t>
      </w:r>
      <w:hyperlink w:history="1" r:id="rId70">
        <w:r w:rsidRPr="00223511">
          <w:rPr>
            <w:rStyle w:val="Hyperlink"/>
            <w:sz w:val="16"/>
            <w:szCs w:val="16"/>
          </w:rPr>
          <w:t>https://accan.org.au/accans-work/submissions/1953-accan-pre-budget-submission-2022-2023?highlight=WyJwcmUtYnVkZ2V0Il0=</w:t>
        </w:r>
      </w:hyperlink>
      <w:r>
        <w:rPr>
          <w:rStyle w:val="Hyperlink"/>
          <w:sz w:val="16"/>
          <w:szCs w:val="16"/>
        </w:rPr>
        <w:t xml:space="preserve">. </w:t>
      </w:r>
      <w:r w:rsidRPr="00B806B8">
        <w:rPr>
          <w:sz w:val="16"/>
          <w:szCs w:val="16"/>
        </w:rPr>
        <w:t xml:space="preserve">ACCAN. 2023. </w:t>
      </w:r>
      <w:r w:rsidRPr="00A32032">
        <w:rPr>
          <w:i/>
          <w:iCs/>
          <w:sz w:val="16"/>
          <w:szCs w:val="16"/>
        </w:rPr>
        <w:t>Pre-Budget Submission 2023-2024</w:t>
      </w:r>
      <w:r w:rsidRPr="00B806B8">
        <w:rPr>
          <w:sz w:val="16"/>
          <w:szCs w:val="16"/>
        </w:rPr>
        <w:t xml:space="preserve">. Available at:  </w:t>
      </w:r>
      <w:hyperlink w:history="1" r:id="rId71">
        <w:r w:rsidRPr="00B806B8">
          <w:rPr>
            <w:rStyle w:val="Hyperlink"/>
            <w:sz w:val="16"/>
            <w:szCs w:val="16"/>
          </w:rPr>
          <w:t>https://accan.org.au/accans-work/submissions/2055-pre-budget-submission-2023-2024?highlight=WyJwcmUiXQ==</w:t>
        </w:r>
      </w:hyperlink>
      <w:r w:rsidRPr="00B806B8">
        <w:rPr>
          <w:sz w:val="16"/>
          <w:szCs w:val="16"/>
        </w:rPr>
        <w:t>.</w:t>
      </w:r>
    </w:p>
  </w:footnote>
  <w:footnote w:id="121">
    <w:p w:rsidRPr="009332DF" w:rsidR="003C6395" w:rsidRDefault="003C6395" w14:paraId="6ACFB655" w14:textId="50FD7E6F">
      <w:pPr>
        <w:pStyle w:val="FootnoteText"/>
        <w:rPr>
          <w:sz w:val="16"/>
          <w:szCs w:val="16"/>
        </w:rPr>
      </w:pPr>
      <w:r w:rsidRPr="009332DF">
        <w:rPr>
          <w:rStyle w:val="FootnoteReference"/>
          <w:sz w:val="16"/>
          <w:szCs w:val="16"/>
        </w:rPr>
        <w:footnoteRef/>
      </w:r>
      <w:r w:rsidRPr="009332DF">
        <w:rPr>
          <w:sz w:val="16"/>
          <w:szCs w:val="16"/>
        </w:rPr>
        <w:t xml:space="preserve"> </w:t>
      </w:r>
      <w:r w:rsidRPr="009332DF">
        <w:rPr>
          <w:rStyle w:val="normaltextrun"/>
          <w:rFonts w:cs="Calibri"/>
          <w:color w:val="000000"/>
          <w:sz w:val="16"/>
          <w:szCs w:val="16"/>
          <w:shd w:val="clear" w:color="auto" w:fill="FFFFFF"/>
        </w:rPr>
        <w:t>ACMA</w:t>
      </w:r>
      <w:r w:rsidRPr="009332DF" w:rsidR="00EC70AF">
        <w:rPr>
          <w:rStyle w:val="normaltextrun"/>
          <w:rFonts w:cs="Calibri"/>
          <w:color w:val="000000"/>
          <w:sz w:val="16"/>
          <w:szCs w:val="16"/>
          <w:shd w:val="clear" w:color="auto" w:fill="FFFFFF"/>
        </w:rPr>
        <w:t>.</w:t>
      </w:r>
      <w:r w:rsidRPr="009332DF">
        <w:rPr>
          <w:rStyle w:val="normaltextrun"/>
          <w:rFonts w:cs="Calibri"/>
          <w:color w:val="000000"/>
          <w:sz w:val="16"/>
          <w:szCs w:val="16"/>
          <w:shd w:val="clear" w:color="auto" w:fill="FFFFFF"/>
        </w:rPr>
        <w:t>202</w:t>
      </w:r>
      <w:r w:rsidRPr="009332DF" w:rsidR="00EC70AF">
        <w:rPr>
          <w:rStyle w:val="normaltextrun"/>
          <w:rFonts w:cs="Calibri"/>
          <w:color w:val="000000"/>
          <w:sz w:val="16"/>
          <w:szCs w:val="16"/>
          <w:shd w:val="clear" w:color="auto" w:fill="FFFFFF"/>
        </w:rPr>
        <w:t xml:space="preserve">3. </w:t>
      </w:r>
      <w:r w:rsidRPr="009332DF">
        <w:rPr>
          <w:rStyle w:val="normaltextrun"/>
          <w:rFonts w:cs="Calibri"/>
          <w:i/>
          <w:iCs/>
          <w:color w:val="000000"/>
          <w:sz w:val="16"/>
          <w:szCs w:val="16"/>
          <w:shd w:val="clear" w:color="auto" w:fill="FFFFFF"/>
        </w:rPr>
        <w:t>How we communicate: Executive summary and key findings</w:t>
      </w:r>
      <w:r w:rsidRPr="009332DF">
        <w:rPr>
          <w:rStyle w:val="normaltextrun"/>
          <w:rFonts w:cs="Calibri"/>
          <w:color w:val="000000"/>
          <w:sz w:val="16"/>
          <w:szCs w:val="16"/>
          <w:shd w:val="clear" w:color="auto" w:fill="FFFFFF"/>
        </w:rPr>
        <w:t>.</w:t>
      </w:r>
      <w:r w:rsidRPr="009332DF" w:rsidR="00EC70AF">
        <w:rPr>
          <w:rStyle w:val="normaltextrun"/>
          <w:rFonts w:cs="Calibri"/>
          <w:color w:val="000000"/>
          <w:sz w:val="16"/>
          <w:szCs w:val="16"/>
          <w:shd w:val="clear" w:color="auto" w:fill="FFFFFF"/>
        </w:rPr>
        <w:t xml:space="preserve"> </w:t>
      </w:r>
      <w:r w:rsidR="00D525B2">
        <w:rPr>
          <w:rStyle w:val="normaltextrun"/>
          <w:rFonts w:cs="Calibri"/>
          <w:color w:val="000000"/>
          <w:sz w:val="16"/>
          <w:szCs w:val="16"/>
          <w:shd w:val="clear" w:color="auto" w:fill="FFFFFF"/>
        </w:rPr>
        <w:t>p</w:t>
      </w:r>
      <w:r w:rsidRPr="009332DF" w:rsidR="00EC70AF">
        <w:rPr>
          <w:rStyle w:val="normaltextrun"/>
          <w:rFonts w:cs="Calibri"/>
          <w:color w:val="000000"/>
          <w:sz w:val="16"/>
          <w:szCs w:val="16"/>
          <w:shd w:val="clear" w:color="auto" w:fill="FFFFFF"/>
        </w:rPr>
        <w:t>.1.</w:t>
      </w:r>
      <w:r w:rsidRPr="009332DF">
        <w:rPr>
          <w:rStyle w:val="normaltextrun"/>
          <w:rFonts w:cs="Calibri"/>
          <w:color w:val="000000"/>
          <w:sz w:val="16"/>
          <w:szCs w:val="16"/>
          <w:shd w:val="clear" w:color="auto" w:fill="FFFFFF"/>
        </w:rPr>
        <w:t xml:space="preserve"> Available at: </w:t>
      </w:r>
      <w:hyperlink w:history="1" w:anchor=":~:text=Our%20How%20we%20communicate%20interactive,social%20media%20sites%20and%20apps" r:id="rId72">
        <w:r w:rsidRPr="009332DF" w:rsidR="00EC70AF">
          <w:rPr>
            <w:rStyle w:val="Hyperlink"/>
            <w:rFonts w:cs="Calibri"/>
            <w:sz w:val="16"/>
            <w:szCs w:val="16"/>
            <w:shd w:val="clear" w:color="auto" w:fill="FFFFFF"/>
          </w:rPr>
          <w:t>https://www.acma.gov.au/publications/2023-12/report/communications-and-media-australia-how-we-communicate#:~:text=Our%20How%20we%20communicate%20interactive,social%20media%20sites%20and%20apps</w:t>
        </w:r>
      </w:hyperlink>
      <w:r w:rsidRPr="009332DF" w:rsidR="00EC70AF">
        <w:rPr>
          <w:rStyle w:val="normaltextrun"/>
          <w:rFonts w:cs="Calibri"/>
          <w:color w:val="000000"/>
          <w:sz w:val="16"/>
          <w:szCs w:val="16"/>
          <w:shd w:val="clear" w:color="auto" w:fill="FFFFFF"/>
        </w:rPr>
        <w:t xml:space="preserve">. </w:t>
      </w:r>
      <w:r w:rsidRPr="009332DF" w:rsidR="00960503">
        <w:rPr>
          <w:rStyle w:val="eop"/>
          <w:rFonts w:cs="Calibri"/>
          <w:color w:val="000000"/>
          <w:sz w:val="16"/>
          <w:szCs w:val="16"/>
          <w:shd w:val="clear" w:color="auto" w:fill="FFFFFF"/>
        </w:rPr>
        <w:t xml:space="preserve"> </w:t>
      </w:r>
    </w:p>
  </w:footnote>
  <w:footnote w:id="122">
    <w:p w:rsidRPr="006F62FB" w:rsidR="00793079" w:rsidP="00793079" w:rsidRDefault="00793079" w14:paraId="7454B842" w14:textId="30B85953">
      <w:pPr>
        <w:pStyle w:val="FootnoteText"/>
        <w:rPr>
          <w:sz w:val="16"/>
          <w:szCs w:val="16"/>
        </w:rPr>
      </w:pPr>
      <w:r w:rsidRPr="006F62FB">
        <w:rPr>
          <w:rStyle w:val="FootnoteReference"/>
          <w:sz w:val="16"/>
          <w:szCs w:val="16"/>
        </w:rPr>
        <w:footnoteRef/>
      </w:r>
      <w:r w:rsidRPr="006F62FB">
        <w:rPr>
          <w:sz w:val="16"/>
          <w:szCs w:val="16"/>
        </w:rPr>
        <w:t xml:space="preserve"> </w:t>
      </w:r>
      <w:r w:rsidRPr="006F62FB" w:rsidR="000B03E5">
        <w:rPr>
          <w:sz w:val="16"/>
          <w:szCs w:val="16"/>
        </w:rPr>
        <w:t xml:space="preserve">ACCAN. 2023. </w:t>
      </w:r>
      <w:r w:rsidRPr="00A32032" w:rsidR="000B03E5">
        <w:rPr>
          <w:i/>
          <w:iCs/>
          <w:sz w:val="16"/>
          <w:szCs w:val="16"/>
        </w:rPr>
        <w:t>Influence of International Digital Platforms</w:t>
      </w:r>
      <w:r w:rsidRPr="006F62FB" w:rsidR="000B03E5">
        <w:rPr>
          <w:sz w:val="16"/>
          <w:szCs w:val="16"/>
        </w:rPr>
        <w:t>.</w:t>
      </w:r>
      <w:r w:rsidRPr="006F62FB" w:rsidR="00FB68F3">
        <w:rPr>
          <w:sz w:val="16"/>
          <w:szCs w:val="16"/>
        </w:rPr>
        <w:t xml:space="preserve"> p.3. Available at:</w:t>
      </w:r>
      <w:r w:rsidRPr="006F62FB" w:rsidR="000B03E5">
        <w:rPr>
          <w:sz w:val="16"/>
          <w:szCs w:val="16"/>
        </w:rPr>
        <w:t xml:space="preserve"> </w:t>
      </w:r>
      <w:hyperlink w:history="1" r:id="rId73">
        <w:r w:rsidRPr="006F62FB" w:rsidR="00FB68F3">
          <w:rPr>
            <w:rStyle w:val="Hyperlink"/>
            <w:sz w:val="16"/>
            <w:szCs w:val="16"/>
          </w:rPr>
          <w:t>https://accan.org.au/accans-work/submissions/2074-influence-of-international-digital-platforms</w:t>
        </w:r>
      </w:hyperlink>
      <w:r w:rsidRPr="006F62FB" w:rsidR="00FB68F3">
        <w:rPr>
          <w:sz w:val="16"/>
          <w:szCs w:val="16"/>
        </w:rPr>
        <w:t xml:space="preserve">. </w:t>
      </w:r>
    </w:p>
  </w:footnote>
  <w:footnote w:id="123">
    <w:p w:rsidR="00793079" w:rsidP="00793079" w:rsidRDefault="00793079" w14:paraId="712DA15A" w14:textId="46810066">
      <w:pPr>
        <w:pStyle w:val="FootnoteText"/>
      </w:pPr>
      <w:r w:rsidRPr="006F62FB">
        <w:rPr>
          <w:rStyle w:val="FootnoteReference"/>
          <w:sz w:val="16"/>
          <w:szCs w:val="16"/>
        </w:rPr>
        <w:footnoteRef/>
      </w:r>
      <w:r w:rsidRPr="006F62FB" w:rsidR="00845016">
        <w:rPr>
          <w:sz w:val="16"/>
          <w:szCs w:val="16"/>
        </w:rPr>
        <w:t xml:space="preserve"> ACCAN. 2023. </w:t>
      </w:r>
      <w:r w:rsidRPr="00A32032" w:rsidR="008245D8">
        <w:rPr>
          <w:i/>
          <w:iCs/>
          <w:sz w:val="16"/>
          <w:szCs w:val="16"/>
        </w:rPr>
        <w:t>Digital Platforms: Government consultation on ACCC’s regulatory reform recommendations Consultation Paper</w:t>
      </w:r>
      <w:r w:rsidRPr="006F62FB" w:rsidR="008245D8">
        <w:rPr>
          <w:sz w:val="16"/>
          <w:szCs w:val="16"/>
        </w:rPr>
        <w:t xml:space="preserve">. p.2. Available at: </w:t>
      </w:r>
      <w:hyperlink w:history="1" r:id="rId74">
        <w:r w:rsidRPr="006F62FB" w:rsidR="006F62FB">
          <w:rPr>
            <w:rStyle w:val="Hyperlink"/>
            <w:sz w:val="16"/>
            <w:szCs w:val="16"/>
          </w:rPr>
          <w:t>https://accan.org.au/accans-work/submissions/2061-digital-platforms-regulatory-reforms</w:t>
        </w:r>
      </w:hyperlink>
      <w:r w:rsidRPr="006F62FB" w:rsidR="006F62FB">
        <w:rPr>
          <w:sz w:val="16"/>
          <w:szCs w:val="16"/>
        </w:rPr>
        <w:t xml:space="preserve">. </w:t>
      </w:r>
    </w:p>
  </w:footnote>
  <w:footnote w:id="124">
    <w:p w:rsidRPr="00B250E8" w:rsidR="003A2582" w:rsidRDefault="003A2582" w14:paraId="2CF2F581" w14:textId="639FF6B0">
      <w:pPr>
        <w:pStyle w:val="FootnoteText"/>
        <w:rPr>
          <w:sz w:val="16"/>
          <w:szCs w:val="16"/>
        </w:rPr>
      </w:pPr>
      <w:r w:rsidRPr="00B250E8">
        <w:rPr>
          <w:rStyle w:val="FootnoteReference"/>
          <w:sz w:val="16"/>
          <w:szCs w:val="16"/>
        </w:rPr>
        <w:footnoteRef/>
      </w:r>
      <w:r w:rsidRPr="00B250E8">
        <w:rPr>
          <w:sz w:val="16"/>
          <w:szCs w:val="16"/>
        </w:rPr>
        <w:t xml:space="preserve"> </w:t>
      </w:r>
      <w:r w:rsidRPr="00B250E8" w:rsidR="00A31D50">
        <w:rPr>
          <w:sz w:val="16"/>
          <w:szCs w:val="16"/>
        </w:rPr>
        <w:t xml:space="preserve">ACCAN. 2023. </w:t>
      </w:r>
      <w:r w:rsidRPr="00A32032" w:rsidR="00A31D50">
        <w:rPr>
          <w:i/>
          <w:iCs/>
          <w:sz w:val="16"/>
          <w:szCs w:val="16"/>
        </w:rPr>
        <w:t>Influence of International Digital Platforms</w:t>
      </w:r>
      <w:r w:rsidRPr="00B250E8" w:rsidR="00A31D50">
        <w:rPr>
          <w:sz w:val="16"/>
          <w:szCs w:val="16"/>
        </w:rPr>
        <w:t xml:space="preserve">. p.3. Available at: </w:t>
      </w:r>
      <w:hyperlink w:history="1" r:id="rId75">
        <w:r w:rsidRPr="00B250E8" w:rsidR="00A31D50">
          <w:rPr>
            <w:rStyle w:val="Hyperlink"/>
            <w:sz w:val="16"/>
            <w:szCs w:val="16"/>
          </w:rPr>
          <w:t>https://accan.org.au/accans-work/submissions/2074-influence-of-international-digital-platforms</w:t>
        </w:r>
      </w:hyperlink>
      <w:r w:rsidRPr="00B250E8" w:rsidR="00A31D50">
        <w:rPr>
          <w:sz w:val="16"/>
          <w:szCs w:val="16"/>
        </w:rPr>
        <w:t>.</w:t>
      </w:r>
    </w:p>
  </w:footnote>
  <w:footnote w:id="125">
    <w:p w:rsidRPr="00B806B8" w:rsidR="0053363E" w:rsidRDefault="0053363E" w14:paraId="262A7EEE" w14:textId="7EF8879C">
      <w:pPr>
        <w:pStyle w:val="FootnoteText"/>
        <w:rPr>
          <w:sz w:val="16"/>
          <w:szCs w:val="16"/>
        </w:rPr>
      </w:pPr>
      <w:r w:rsidRPr="00B806B8">
        <w:rPr>
          <w:rStyle w:val="FootnoteReference"/>
          <w:sz w:val="16"/>
          <w:szCs w:val="16"/>
        </w:rPr>
        <w:footnoteRef/>
      </w:r>
      <w:r w:rsidRPr="00B806B8">
        <w:rPr>
          <w:sz w:val="16"/>
          <w:szCs w:val="16"/>
        </w:rPr>
        <w:t xml:space="preserve"> </w:t>
      </w:r>
      <w:bookmarkStart w:name="_Hlk157413908" w:id="19"/>
      <w:r w:rsidRPr="00B806B8">
        <w:rPr>
          <w:sz w:val="16"/>
          <w:szCs w:val="16"/>
        </w:rPr>
        <w:t xml:space="preserve">ACCAN. 2023. </w:t>
      </w:r>
      <w:r w:rsidRPr="00A32032">
        <w:rPr>
          <w:i/>
          <w:iCs/>
          <w:sz w:val="16"/>
          <w:szCs w:val="16"/>
        </w:rPr>
        <w:t>Pre-Budget Submission 2023-2024</w:t>
      </w:r>
      <w:r w:rsidRPr="00B806B8">
        <w:rPr>
          <w:sz w:val="16"/>
          <w:szCs w:val="16"/>
        </w:rPr>
        <w:t xml:space="preserve">. p.13. Available at:  </w:t>
      </w:r>
      <w:hyperlink w:history="1" r:id="rId76">
        <w:r w:rsidRPr="00B806B8">
          <w:rPr>
            <w:rStyle w:val="Hyperlink"/>
            <w:sz w:val="16"/>
            <w:szCs w:val="16"/>
          </w:rPr>
          <w:t>https://accan.org.au/accans-work/submissions/2055-pre-budget-submission-2023-2024?highlight=WyJwcmUiXQ==</w:t>
        </w:r>
      </w:hyperlink>
      <w:r w:rsidRPr="00B806B8">
        <w:rPr>
          <w:sz w:val="16"/>
          <w:szCs w:val="16"/>
        </w:rPr>
        <w:t>.</w:t>
      </w:r>
      <w:bookmarkEnd w:id="19"/>
    </w:p>
  </w:footnote>
  <w:footnote w:id="126">
    <w:p w:rsidRPr="00B806B8" w:rsidR="00E32E76" w:rsidRDefault="00E32E76" w14:paraId="6E53440A" w14:textId="151871FF">
      <w:pPr>
        <w:pStyle w:val="FootnoteText"/>
        <w:rPr>
          <w:sz w:val="16"/>
          <w:szCs w:val="16"/>
        </w:rPr>
      </w:pPr>
      <w:r w:rsidRPr="00B806B8">
        <w:rPr>
          <w:rStyle w:val="FootnoteReference"/>
          <w:sz w:val="16"/>
          <w:szCs w:val="16"/>
        </w:rPr>
        <w:footnoteRef/>
      </w:r>
      <w:r w:rsidRPr="00B806B8">
        <w:rPr>
          <w:sz w:val="16"/>
          <w:szCs w:val="16"/>
        </w:rPr>
        <w:t xml:space="preserve"> Accessible Telecoms. Available at: </w:t>
      </w:r>
      <w:hyperlink w:history="1" r:id="rId77">
        <w:r w:rsidRPr="00B806B8">
          <w:rPr>
            <w:rStyle w:val="Hyperlink"/>
            <w:sz w:val="16"/>
            <w:szCs w:val="16"/>
          </w:rPr>
          <w:t>https://www.accessibletelecoms.org.au/</w:t>
        </w:r>
      </w:hyperlink>
      <w:r w:rsidRPr="00B806B8">
        <w:rPr>
          <w:sz w:val="16"/>
          <w:szCs w:val="16"/>
        </w:rPr>
        <w:t xml:space="preserve">. </w:t>
      </w:r>
    </w:p>
  </w:footnote>
  <w:footnote w:id="127">
    <w:p w:rsidRPr="00B806B8" w:rsidR="006F7150" w:rsidRDefault="006F7150" w14:paraId="592D2958" w14:textId="130DCD3C">
      <w:pPr>
        <w:pStyle w:val="FootnoteText"/>
        <w:rPr>
          <w:sz w:val="16"/>
          <w:szCs w:val="16"/>
        </w:rPr>
      </w:pPr>
      <w:r w:rsidRPr="00B806B8">
        <w:rPr>
          <w:rStyle w:val="FootnoteReference"/>
          <w:sz w:val="16"/>
          <w:szCs w:val="16"/>
        </w:rPr>
        <w:footnoteRef/>
      </w:r>
      <w:r w:rsidRPr="00B806B8">
        <w:rPr>
          <w:sz w:val="16"/>
          <w:szCs w:val="16"/>
        </w:rPr>
        <w:t xml:space="preserve"> </w:t>
      </w:r>
      <w:r w:rsidRPr="00B806B8" w:rsidR="00ED3CD5">
        <w:rPr>
          <w:sz w:val="16"/>
          <w:szCs w:val="16"/>
        </w:rPr>
        <w:t xml:space="preserve">The Accessible Telecoms website began achieving these </w:t>
      </w:r>
      <w:r w:rsidRPr="00B806B8" w:rsidR="001D3C36">
        <w:rPr>
          <w:sz w:val="16"/>
          <w:szCs w:val="16"/>
        </w:rPr>
        <w:t xml:space="preserve">statistics in </w:t>
      </w:r>
      <w:r w:rsidRPr="00B806B8" w:rsidR="007830AB">
        <w:rPr>
          <w:sz w:val="16"/>
          <w:szCs w:val="16"/>
        </w:rPr>
        <w:t xml:space="preserve">November 2023. </w:t>
      </w:r>
    </w:p>
  </w:footnote>
  <w:footnote w:id="128">
    <w:p w:rsidRPr="00B806B8" w:rsidR="00F575D5" w:rsidP="00F575D5" w:rsidRDefault="00F575D5" w14:paraId="62B26F47" w14:textId="41C8FB6B">
      <w:pPr>
        <w:pStyle w:val="FootnoteText"/>
        <w:rPr>
          <w:sz w:val="16"/>
          <w:szCs w:val="16"/>
          <w:lang w:val="en-US"/>
        </w:rPr>
      </w:pPr>
      <w:r w:rsidRPr="00B806B8">
        <w:rPr>
          <w:rStyle w:val="FootnoteReference"/>
          <w:sz w:val="16"/>
          <w:szCs w:val="16"/>
        </w:rPr>
        <w:footnoteRef/>
      </w:r>
      <w:r w:rsidRPr="00B806B8">
        <w:rPr>
          <w:sz w:val="16"/>
          <w:szCs w:val="16"/>
        </w:rPr>
        <w:t xml:space="preserve"> </w:t>
      </w:r>
      <w:r w:rsidRPr="00B806B8">
        <w:rPr>
          <w:sz w:val="16"/>
          <w:szCs w:val="16"/>
          <w:lang w:val="en-US"/>
        </w:rPr>
        <w:t xml:space="preserve">ACCAN. 2024. </w:t>
      </w:r>
      <w:r w:rsidRPr="00A32032">
        <w:rPr>
          <w:i/>
          <w:iCs/>
          <w:sz w:val="16"/>
          <w:szCs w:val="16"/>
          <w:lang w:val="en-US"/>
        </w:rPr>
        <w:t>Sub</w:t>
      </w:r>
      <w:r w:rsidRPr="00A32032" w:rsidR="0047250A">
        <w:rPr>
          <w:i/>
          <w:iCs/>
          <w:sz w:val="16"/>
          <w:szCs w:val="16"/>
          <w:lang w:val="en-US"/>
        </w:rPr>
        <w:t>mission on the</w:t>
      </w:r>
      <w:r w:rsidRPr="00A32032">
        <w:rPr>
          <w:i/>
          <w:iCs/>
          <w:sz w:val="16"/>
          <w:szCs w:val="16"/>
          <w:lang w:val="en-US"/>
        </w:rPr>
        <w:t xml:space="preserve"> </w:t>
      </w:r>
      <w:r w:rsidRPr="00A32032" w:rsidR="00697B44">
        <w:rPr>
          <w:bCs/>
          <w:i/>
          <w:iCs/>
          <w:sz w:val="16"/>
          <w:szCs w:val="16"/>
        </w:rPr>
        <w:t>Australian Government response to the Royal Commission into Violence, Abuse, Neglect and Exploitation of People with Disability.</w:t>
      </w:r>
      <w:r w:rsidRPr="00B806B8" w:rsidR="00697B44">
        <w:rPr>
          <w:bCs/>
          <w:sz w:val="16"/>
          <w:szCs w:val="16"/>
        </w:rPr>
        <w:t xml:space="preserve"> </w:t>
      </w:r>
      <w:r w:rsidR="00933B87">
        <w:rPr>
          <w:bCs/>
          <w:sz w:val="16"/>
          <w:szCs w:val="16"/>
        </w:rPr>
        <w:t xml:space="preserve">p.1. </w:t>
      </w:r>
      <w:r w:rsidRPr="00B806B8" w:rsidR="00697B44">
        <w:rPr>
          <w:bCs/>
          <w:sz w:val="16"/>
          <w:szCs w:val="16"/>
        </w:rPr>
        <w:t xml:space="preserve">Available at: </w:t>
      </w:r>
      <w:hyperlink w:history="1" r:id="rId78">
        <w:r w:rsidRPr="00A54CD2" w:rsidR="00933B87">
          <w:rPr>
            <w:rStyle w:val="Hyperlink"/>
            <w:bCs/>
            <w:sz w:val="16"/>
            <w:szCs w:val="16"/>
          </w:rPr>
          <w:t>https://accan.org.au/accans-work/submissions/2268-royal-commission-into-violence</w:t>
        </w:r>
      </w:hyperlink>
      <w:r w:rsidR="00933B87">
        <w:rPr>
          <w:bCs/>
          <w:color w:val="FF0000"/>
          <w:sz w:val="16"/>
          <w:szCs w:val="16"/>
        </w:rPr>
        <w:t xml:space="preserve">. </w:t>
      </w:r>
    </w:p>
  </w:footnote>
  <w:footnote w:id="129">
    <w:p w:rsidRPr="00825DD3" w:rsidR="0063462F" w:rsidRDefault="0063462F" w14:paraId="1DEE330B" w14:textId="0E0C05F0">
      <w:pPr>
        <w:pStyle w:val="FootnoteText"/>
        <w:rPr>
          <w:sz w:val="16"/>
          <w:szCs w:val="16"/>
        </w:rPr>
      </w:pPr>
      <w:r w:rsidRPr="00B806B8">
        <w:rPr>
          <w:rStyle w:val="FootnoteReference"/>
          <w:sz w:val="16"/>
          <w:szCs w:val="16"/>
        </w:rPr>
        <w:footnoteRef/>
      </w:r>
      <w:r w:rsidRPr="00B806B8">
        <w:rPr>
          <w:sz w:val="16"/>
          <w:szCs w:val="16"/>
        </w:rPr>
        <w:t xml:space="preserve"> ACCAN. 2023. </w:t>
      </w:r>
      <w:r w:rsidRPr="00A32032">
        <w:rPr>
          <w:i/>
          <w:iCs/>
          <w:sz w:val="16"/>
          <w:szCs w:val="16"/>
        </w:rPr>
        <w:t>Pre-Budget Submission 2023-2024</w:t>
      </w:r>
      <w:r w:rsidRPr="00B806B8">
        <w:rPr>
          <w:sz w:val="16"/>
          <w:szCs w:val="16"/>
        </w:rPr>
        <w:t xml:space="preserve">. p.13. Available at:  </w:t>
      </w:r>
      <w:hyperlink w:history="1" r:id="rId79">
        <w:r w:rsidRPr="00B806B8">
          <w:rPr>
            <w:rStyle w:val="Hyperlink"/>
            <w:sz w:val="16"/>
            <w:szCs w:val="16"/>
          </w:rPr>
          <w:t>https://accan.org.au/accans-work/submissions/2055-pre-budget-submission-2023-2024?highlight=WyJwcmUiXQ==</w:t>
        </w:r>
      </w:hyperlink>
      <w:r w:rsidRPr="00B806B8">
        <w:rPr>
          <w:sz w:val="16"/>
          <w:szCs w:val="16"/>
        </w:rPr>
        <w:t>.</w:t>
      </w:r>
    </w:p>
  </w:footnote>
  <w:footnote w:id="130">
    <w:p w:rsidRPr="00825DD3" w:rsidR="00584846" w:rsidRDefault="00584846" w14:paraId="0E1D4F67" w14:textId="79618197">
      <w:pPr>
        <w:pStyle w:val="FootnoteText"/>
        <w:rPr>
          <w:sz w:val="16"/>
          <w:szCs w:val="16"/>
        </w:rPr>
      </w:pPr>
      <w:r w:rsidRPr="00825DD3">
        <w:rPr>
          <w:rStyle w:val="FootnoteReference"/>
          <w:sz w:val="16"/>
          <w:szCs w:val="16"/>
        </w:rPr>
        <w:footnoteRef/>
      </w:r>
      <w:r w:rsidRPr="00825DD3">
        <w:rPr>
          <w:sz w:val="16"/>
          <w:szCs w:val="16"/>
        </w:rPr>
        <w:t xml:space="preserve"> </w:t>
      </w:r>
      <w:r w:rsidRPr="00825DD3" w:rsidR="00A26A47">
        <w:rPr>
          <w:sz w:val="16"/>
          <w:szCs w:val="16"/>
        </w:rPr>
        <w:t xml:space="preserve">ACCAN. 2023. </w:t>
      </w:r>
      <w:r w:rsidRPr="00A32032" w:rsidR="00A26A47">
        <w:rPr>
          <w:i/>
          <w:iCs/>
          <w:sz w:val="16"/>
          <w:szCs w:val="16"/>
        </w:rPr>
        <w:t>Pre-Budget Submission 2023-2024</w:t>
      </w:r>
      <w:r w:rsidRPr="00825DD3" w:rsidR="00A26A47">
        <w:rPr>
          <w:sz w:val="16"/>
          <w:szCs w:val="16"/>
        </w:rPr>
        <w:t xml:space="preserve">. p.13. Available at:  </w:t>
      </w:r>
      <w:hyperlink w:history="1" r:id="rId80">
        <w:r w:rsidRPr="00825DD3" w:rsidR="00A26A47">
          <w:rPr>
            <w:rStyle w:val="Hyperlink"/>
            <w:sz w:val="16"/>
            <w:szCs w:val="16"/>
          </w:rPr>
          <w:t>https://accan.org.au/accans-work/submissions/2055-pre-budget-submission-2023-2024?highlight=WyJwcmUiXQ==</w:t>
        </w:r>
      </w:hyperlink>
      <w:r w:rsidRPr="00825DD3" w:rsidR="00A26A47">
        <w:rPr>
          <w:sz w:val="16"/>
          <w:szCs w:val="16"/>
        </w:rPr>
        <w:t>.</w:t>
      </w:r>
    </w:p>
  </w:footnote>
  <w:footnote w:id="131">
    <w:p w:rsidRPr="00825DD3" w:rsidR="00F632D2" w:rsidRDefault="00F632D2" w14:paraId="31E0134E" w14:textId="1CB9FF6A">
      <w:pPr>
        <w:pStyle w:val="FootnoteText"/>
        <w:rPr>
          <w:sz w:val="16"/>
          <w:szCs w:val="16"/>
          <w:lang w:val="en-US"/>
        </w:rPr>
      </w:pPr>
      <w:r w:rsidRPr="00825DD3">
        <w:rPr>
          <w:rStyle w:val="FootnoteReference"/>
          <w:sz w:val="16"/>
          <w:szCs w:val="16"/>
        </w:rPr>
        <w:footnoteRef/>
      </w:r>
      <w:r w:rsidRPr="00825DD3">
        <w:rPr>
          <w:sz w:val="16"/>
          <w:szCs w:val="16"/>
        </w:rPr>
        <w:t xml:space="preserve"> </w:t>
      </w:r>
      <w:r w:rsidRPr="00825DD3">
        <w:rPr>
          <w:sz w:val="16"/>
          <w:szCs w:val="16"/>
          <w:lang w:val="en-US"/>
        </w:rPr>
        <w:t xml:space="preserve">ACCAN. 2024. </w:t>
      </w:r>
      <w:r w:rsidRPr="00A32032">
        <w:rPr>
          <w:i/>
          <w:iCs/>
          <w:sz w:val="16"/>
          <w:szCs w:val="16"/>
          <w:lang w:val="en-US"/>
        </w:rPr>
        <w:t xml:space="preserve">Submission on the </w:t>
      </w:r>
      <w:r w:rsidRPr="00A32032">
        <w:rPr>
          <w:bCs/>
          <w:i/>
          <w:iCs/>
          <w:sz w:val="16"/>
          <w:szCs w:val="16"/>
        </w:rPr>
        <w:t>Australian Government response to the Royal Commission into Violence, Abuse, Neglect and Exploitation of People with Disability</w:t>
      </w:r>
      <w:r w:rsidRPr="00825DD3">
        <w:rPr>
          <w:bCs/>
          <w:sz w:val="16"/>
          <w:szCs w:val="16"/>
        </w:rPr>
        <w:t xml:space="preserve">. </w:t>
      </w:r>
      <w:r w:rsidR="00150FF5">
        <w:rPr>
          <w:bCs/>
          <w:sz w:val="16"/>
          <w:szCs w:val="16"/>
        </w:rPr>
        <w:t>p.1.</w:t>
      </w:r>
      <w:r w:rsidRPr="00825DD3">
        <w:rPr>
          <w:bCs/>
          <w:sz w:val="16"/>
          <w:szCs w:val="16"/>
        </w:rPr>
        <w:t xml:space="preserve"> Available at: </w:t>
      </w:r>
      <w:hyperlink w:history="1" r:id="rId81">
        <w:r w:rsidRPr="00A54CD2" w:rsidR="0030453A">
          <w:rPr>
            <w:rStyle w:val="Hyperlink"/>
            <w:bCs/>
            <w:sz w:val="16"/>
            <w:szCs w:val="16"/>
          </w:rPr>
          <w:t>https://accan.org.au/accans-work/submissions/2268-royal-commission-into-violence</w:t>
        </w:r>
      </w:hyperlink>
      <w:r w:rsidR="0030453A">
        <w:rPr>
          <w:bCs/>
          <w:sz w:val="16"/>
          <w:szCs w:val="16"/>
        </w:rPr>
        <w:t xml:space="preserve">. </w:t>
      </w:r>
    </w:p>
  </w:footnote>
  <w:footnote w:id="132">
    <w:p w:rsidRPr="00825DD3" w:rsidR="008F3C4D" w:rsidRDefault="008F3C4D" w14:paraId="3B8C354C" w14:textId="1630C00D">
      <w:pPr>
        <w:pStyle w:val="FootnoteText"/>
        <w:rPr>
          <w:sz w:val="16"/>
          <w:szCs w:val="16"/>
        </w:rPr>
      </w:pPr>
      <w:r w:rsidRPr="00825DD3">
        <w:rPr>
          <w:rStyle w:val="FootnoteReference"/>
          <w:sz w:val="16"/>
          <w:szCs w:val="16"/>
        </w:rPr>
        <w:footnoteRef/>
      </w:r>
      <w:r w:rsidRPr="00825DD3">
        <w:rPr>
          <w:sz w:val="16"/>
          <w:szCs w:val="16"/>
        </w:rPr>
        <w:t xml:space="preserve"> Australian Digital Inclusion Index. 2023. Measuring Australia’s Digital Divide. p.10. Available: </w:t>
      </w:r>
      <w:hyperlink w:history="1" r:id="rId82">
        <w:r w:rsidRPr="00825DD3">
          <w:rPr>
            <w:rStyle w:val="Hyperlink"/>
            <w:sz w:val="16"/>
            <w:szCs w:val="16"/>
          </w:rPr>
          <w:t>https://www.digitalinclusionindex.org.au/key-findings-and-next-steps/</w:t>
        </w:r>
      </w:hyperlink>
      <w:r w:rsidRPr="00825DD3">
        <w:rPr>
          <w:sz w:val="16"/>
          <w:szCs w:val="16"/>
        </w:rPr>
        <w:t>.</w:t>
      </w:r>
    </w:p>
  </w:footnote>
  <w:footnote w:id="133">
    <w:p w:rsidRPr="00825DD3" w:rsidR="003153AE" w:rsidRDefault="003153AE" w14:paraId="4912E353" w14:textId="7747FF9A">
      <w:pPr>
        <w:pStyle w:val="FootnoteText"/>
        <w:rPr>
          <w:sz w:val="16"/>
          <w:szCs w:val="16"/>
        </w:rPr>
      </w:pPr>
      <w:r w:rsidRPr="00825DD3">
        <w:rPr>
          <w:rStyle w:val="FootnoteReference"/>
          <w:sz w:val="16"/>
          <w:szCs w:val="16"/>
        </w:rPr>
        <w:footnoteRef/>
      </w:r>
      <w:r w:rsidRPr="00825DD3">
        <w:rPr>
          <w:sz w:val="16"/>
          <w:szCs w:val="16"/>
        </w:rPr>
        <w:t xml:space="preserve"> European Bank for reconstruction and development. 2020. </w:t>
      </w:r>
      <w:r w:rsidRPr="00A32032" w:rsidR="00EB4C8F">
        <w:rPr>
          <w:i/>
          <w:iCs/>
          <w:sz w:val="16"/>
          <w:szCs w:val="16"/>
        </w:rPr>
        <w:t>Economic inclusion for people with disabilities: Challenges and responses.</w:t>
      </w:r>
      <w:r w:rsidRPr="00825DD3" w:rsidR="00EB4C8F">
        <w:rPr>
          <w:sz w:val="16"/>
          <w:szCs w:val="16"/>
        </w:rPr>
        <w:t xml:space="preserve"> p.3. Available: </w:t>
      </w:r>
      <w:hyperlink w:history="1" r:id="rId83">
        <w:r w:rsidRPr="00825DD3" w:rsidR="006164BD">
          <w:rPr>
            <w:rStyle w:val="Hyperlink"/>
            <w:sz w:val="16"/>
            <w:szCs w:val="16"/>
          </w:rPr>
          <w:t>https://www.ebrd.com/documents/corporate-strategy/report-economic-inclusion-for-people-with-disabilities.pdf</w:t>
        </w:r>
      </w:hyperlink>
      <w:r w:rsidRPr="00825DD3" w:rsidR="006164BD">
        <w:rPr>
          <w:sz w:val="16"/>
          <w:szCs w:val="16"/>
        </w:rPr>
        <w:t xml:space="preserve">. </w:t>
      </w:r>
    </w:p>
  </w:footnote>
  <w:footnote w:id="134">
    <w:p w:rsidR="005E6FB9" w:rsidRDefault="005E6FB9" w14:paraId="373E9641" w14:textId="03B7301C">
      <w:pPr>
        <w:pStyle w:val="FootnoteText"/>
      </w:pPr>
      <w:r w:rsidRPr="00825DD3">
        <w:rPr>
          <w:rStyle w:val="FootnoteReference"/>
          <w:sz w:val="16"/>
          <w:szCs w:val="16"/>
        </w:rPr>
        <w:footnoteRef/>
      </w:r>
      <w:r w:rsidRPr="00825DD3">
        <w:rPr>
          <w:sz w:val="16"/>
          <w:szCs w:val="16"/>
        </w:rPr>
        <w:t xml:space="preserve"> </w:t>
      </w:r>
      <w:r w:rsidRPr="00825DD3" w:rsidR="003F4012">
        <w:rPr>
          <w:sz w:val="16"/>
          <w:szCs w:val="16"/>
        </w:rPr>
        <w:t xml:space="preserve">Good things foundation. 2024. </w:t>
      </w:r>
      <w:r w:rsidRPr="00A32032" w:rsidR="003F4012">
        <w:rPr>
          <w:i/>
          <w:iCs/>
          <w:sz w:val="16"/>
          <w:szCs w:val="16"/>
        </w:rPr>
        <w:t>The economic impact of digital inclusion in the UK</w:t>
      </w:r>
      <w:r w:rsidRPr="00825DD3" w:rsidR="003F4012">
        <w:rPr>
          <w:sz w:val="16"/>
          <w:szCs w:val="16"/>
        </w:rPr>
        <w:t xml:space="preserve">.  </w:t>
      </w:r>
      <w:r w:rsidR="00946F93">
        <w:rPr>
          <w:sz w:val="16"/>
          <w:szCs w:val="16"/>
        </w:rPr>
        <w:t xml:space="preserve">Available at: </w:t>
      </w:r>
      <w:hyperlink w:history="1" r:id="rId84">
        <w:r w:rsidRPr="00E40B3E" w:rsidR="00A62137">
          <w:rPr>
            <w:rStyle w:val="Hyperlink"/>
            <w:sz w:val="16"/>
            <w:szCs w:val="16"/>
          </w:rPr>
          <w:t>https://www.goodthingsfoundation.org/insights/the-economic-impact-of-digital-inclusion-in-the-uk/</w:t>
        </w:r>
      </w:hyperlink>
      <w:r w:rsidRPr="00825DD3" w:rsidR="003F4012">
        <w:rPr>
          <w:sz w:val="16"/>
          <w:szCs w:val="16"/>
        </w:rPr>
        <w:t xml:space="preserve">. </w:t>
      </w:r>
    </w:p>
  </w:footnote>
  <w:footnote w:id="135">
    <w:p w:rsidRPr="00825DD3" w:rsidR="00C329EB" w:rsidRDefault="00C329EB" w14:paraId="560707CB" w14:textId="6BBD7A26">
      <w:pPr>
        <w:pStyle w:val="FootnoteText"/>
        <w:rPr>
          <w:sz w:val="16"/>
          <w:szCs w:val="16"/>
        </w:rPr>
      </w:pPr>
      <w:r w:rsidRPr="00825DD3">
        <w:rPr>
          <w:rStyle w:val="FootnoteReference"/>
          <w:sz w:val="16"/>
          <w:szCs w:val="16"/>
        </w:rPr>
        <w:footnoteRef/>
      </w:r>
      <w:r w:rsidRPr="00825DD3">
        <w:rPr>
          <w:sz w:val="16"/>
          <w:szCs w:val="16"/>
        </w:rPr>
        <w:t xml:space="preserve"> Good Things foundation. 2022. </w:t>
      </w:r>
      <w:r w:rsidRPr="00A32032">
        <w:rPr>
          <w:i/>
          <w:iCs/>
          <w:sz w:val="16"/>
          <w:szCs w:val="16"/>
        </w:rPr>
        <w:t>The economic case for digital inclusion Cebr 2022</w:t>
      </w:r>
      <w:r w:rsidRPr="00825DD3">
        <w:rPr>
          <w:sz w:val="16"/>
          <w:szCs w:val="16"/>
        </w:rPr>
        <w:t xml:space="preserve">. </w:t>
      </w:r>
      <w:r w:rsidR="00663C35">
        <w:rPr>
          <w:sz w:val="16"/>
          <w:szCs w:val="16"/>
        </w:rPr>
        <w:t>p</w:t>
      </w:r>
      <w:r w:rsidRPr="00825DD3">
        <w:rPr>
          <w:sz w:val="16"/>
          <w:szCs w:val="16"/>
        </w:rPr>
        <w:t xml:space="preserve">.2. Available at: </w:t>
      </w:r>
      <w:hyperlink w:history="1" r:id="rId85">
        <w:r w:rsidRPr="00825DD3">
          <w:rPr>
            <w:rStyle w:val="Hyperlink"/>
            <w:sz w:val="16"/>
            <w:szCs w:val="16"/>
          </w:rPr>
          <w:t>https://www.goodthingsfoundation.org/wp-content/uploads/2022/07/Good-Things-Foundation-and-CEBR-2022-%E2%80%93-Executive-Summary.pdf</w:t>
        </w:r>
      </w:hyperlink>
      <w:r w:rsidRPr="00825DD3">
        <w:rPr>
          <w:sz w:val="16"/>
          <w:szCs w:val="16"/>
        </w:rPr>
        <w:t xml:space="preserve">. </w:t>
      </w:r>
    </w:p>
  </w:footnote>
  <w:footnote w:id="136">
    <w:p w:rsidRPr="00825DD3" w:rsidR="00C53742" w:rsidRDefault="00C53742" w14:paraId="10467C9F" w14:textId="01F67FBC">
      <w:pPr>
        <w:pStyle w:val="FootnoteText"/>
        <w:rPr>
          <w:sz w:val="16"/>
          <w:szCs w:val="16"/>
        </w:rPr>
      </w:pPr>
      <w:r w:rsidRPr="00825DD3">
        <w:rPr>
          <w:rStyle w:val="FootnoteReference"/>
          <w:sz w:val="16"/>
          <w:szCs w:val="16"/>
        </w:rPr>
        <w:footnoteRef/>
      </w:r>
      <w:r w:rsidRPr="00825DD3">
        <w:rPr>
          <w:sz w:val="16"/>
          <w:szCs w:val="16"/>
        </w:rPr>
        <w:t xml:space="preserve"> ACCAN. 2023. </w:t>
      </w:r>
      <w:r w:rsidRPr="00A32032">
        <w:rPr>
          <w:i/>
          <w:iCs/>
          <w:sz w:val="16"/>
          <w:szCs w:val="16"/>
        </w:rPr>
        <w:t>ACCAN submission to the consultation on the initial data and digital strategy consultation</w:t>
      </w:r>
      <w:r w:rsidRPr="00825DD3">
        <w:rPr>
          <w:sz w:val="16"/>
          <w:szCs w:val="16"/>
        </w:rPr>
        <w:t xml:space="preserve">. </w:t>
      </w:r>
      <w:r w:rsidRPr="00825DD3" w:rsidR="005A29C4">
        <w:rPr>
          <w:sz w:val="16"/>
          <w:szCs w:val="16"/>
        </w:rPr>
        <w:t>p</w:t>
      </w:r>
      <w:r w:rsidRPr="00825DD3">
        <w:rPr>
          <w:sz w:val="16"/>
          <w:szCs w:val="16"/>
        </w:rPr>
        <w:t xml:space="preserve">.4. Available at: </w:t>
      </w:r>
      <w:hyperlink w:history="1" r:id="rId86">
        <w:r w:rsidRPr="00825DD3" w:rsidR="005A29C4">
          <w:rPr>
            <w:rStyle w:val="Hyperlink"/>
            <w:sz w:val="16"/>
            <w:szCs w:val="16"/>
          </w:rPr>
          <w:t>https://accan.org.au/accans-work/submissions/2173-initial-data-and-digital-government-strategy</w:t>
        </w:r>
      </w:hyperlink>
      <w:r w:rsidRPr="00825DD3" w:rsidR="005A29C4">
        <w:rPr>
          <w:sz w:val="16"/>
          <w:szCs w:val="16"/>
        </w:rPr>
        <w:t xml:space="preserve">. </w:t>
      </w:r>
    </w:p>
  </w:footnote>
  <w:footnote w:id="137">
    <w:p w:rsidRPr="00825DD3" w:rsidR="005473E6" w:rsidRDefault="005473E6" w14:paraId="3F8F3E11" w14:textId="01EB730E">
      <w:pPr>
        <w:pStyle w:val="FootnoteText"/>
        <w:rPr>
          <w:sz w:val="16"/>
          <w:szCs w:val="16"/>
        </w:rPr>
      </w:pPr>
      <w:r w:rsidRPr="00825DD3">
        <w:rPr>
          <w:rStyle w:val="FootnoteReference"/>
          <w:sz w:val="16"/>
          <w:szCs w:val="16"/>
        </w:rPr>
        <w:footnoteRef/>
      </w:r>
      <w:r w:rsidRPr="00825DD3">
        <w:rPr>
          <w:sz w:val="16"/>
          <w:szCs w:val="16"/>
        </w:rPr>
        <w:t xml:space="preserve"> </w:t>
      </w:r>
      <w:r w:rsidRPr="00825DD3" w:rsidR="00556D7F">
        <w:rPr>
          <w:sz w:val="16"/>
          <w:szCs w:val="16"/>
        </w:rPr>
        <w:t xml:space="preserve">ACCAN. 2023. </w:t>
      </w:r>
      <w:r w:rsidRPr="00A32032" w:rsidR="00556D7F">
        <w:rPr>
          <w:i/>
          <w:iCs/>
          <w:sz w:val="16"/>
          <w:szCs w:val="16"/>
        </w:rPr>
        <w:t>Pre-Budget Submission 2023-2024</w:t>
      </w:r>
      <w:r w:rsidRPr="00825DD3" w:rsidR="00556D7F">
        <w:rPr>
          <w:sz w:val="16"/>
          <w:szCs w:val="16"/>
        </w:rPr>
        <w:t xml:space="preserve">. p.14. Available at:  </w:t>
      </w:r>
      <w:hyperlink w:history="1" r:id="rId87">
        <w:r w:rsidRPr="00825DD3" w:rsidR="00556D7F">
          <w:rPr>
            <w:rStyle w:val="Hyperlink"/>
            <w:sz w:val="16"/>
            <w:szCs w:val="16"/>
          </w:rPr>
          <w:t>https://accan.org.au/accans-work/submissions/2055-pre-budget-submission-2023-2024?highlight=WyJwcmUiXQ==</w:t>
        </w:r>
      </w:hyperlink>
      <w:r w:rsidRPr="00825DD3" w:rsidR="00556D7F">
        <w:rPr>
          <w:sz w:val="16"/>
          <w:szCs w:val="16"/>
        </w:rPr>
        <w:t>.</w:t>
      </w:r>
    </w:p>
  </w:footnote>
  <w:footnote w:id="138">
    <w:p w:rsidRPr="00825DD3" w:rsidR="0052262E" w:rsidRDefault="0052262E" w14:paraId="44A0FE01" w14:textId="1B48ED53">
      <w:pPr>
        <w:pStyle w:val="FootnoteText"/>
        <w:rPr>
          <w:b/>
          <w:bCs/>
          <w:sz w:val="16"/>
          <w:szCs w:val="16"/>
          <w:lang w:val="en-US"/>
        </w:rPr>
      </w:pPr>
      <w:r w:rsidRPr="00825DD3">
        <w:rPr>
          <w:rStyle w:val="FootnoteReference"/>
          <w:sz w:val="16"/>
          <w:szCs w:val="16"/>
        </w:rPr>
        <w:footnoteRef/>
      </w:r>
      <w:r w:rsidRPr="00825DD3">
        <w:rPr>
          <w:sz w:val="16"/>
          <w:szCs w:val="16"/>
        </w:rPr>
        <w:t xml:space="preserve"> </w:t>
      </w:r>
      <w:r w:rsidRPr="00825DD3" w:rsidR="00A0511A">
        <w:rPr>
          <w:sz w:val="16"/>
          <w:szCs w:val="16"/>
        </w:rPr>
        <w:t xml:space="preserve">Public Interest Advocacy Centre. 2023. </w:t>
      </w:r>
      <w:r w:rsidRPr="00A32032" w:rsidR="00A0511A">
        <w:rPr>
          <w:i/>
          <w:iCs/>
          <w:sz w:val="16"/>
          <w:szCs w:val="16"/>
          <w:lang w:val="en-US"/>
        </w:rPr>
        <w:t>Australian Government urged to strengthen response on audio description</w:t>
      </w:r>
      <w:r w:rsidRPr="00825DD3" w:rsidR="00A0511A">
        <w:rPr>
          <w:sz w:val="16"/>
          <w:szCs w:val="16"/>
          <w:lang w:val="en-US"/>
        </w:rPr>
        <w:t xml:space="preserve">. Available at: </w:t>
      </w:r>
      <w:hyperlink w:history="1" r:id="rId88">
        <w:r w:rsidRPr="00825DD3" w:rsidR="006D18E4">
          <w:rPr>
            <w:rStyle w:val="Hyperlink"/>
            <w:sz w:val="16"/>
            <w:szCs w:val="16"/>
            <w:lang w:val="en-US"/>
          </w:rPr>
          <w:t>https://piac.asn.au/2023/05/23/australian-government-urged-to-strengthen-response-on-audio-description/</w:t>
        </w:r>
      </w:hyperlink>
      <w:r w:rsidRPr="00825DD3" w:rsidR="006D18E4">
        <w:rPr>
          <w:sz w:val="16"/>
          <w:szCs w:val="16"/>
          <w:lang w:val="en-US"/>
        </w:rPr>
        <w:t xml:space="preserve">. </w:t>
      </w:r>
    </w:p>
  </w:footnote>
  <w:footnote w:id="139">
    <w:p w:rsidR="00E82D5E" w:rsidRDefault="00E82D5E" w14:paraId="290C3111" w14:textId="623023FA">
      <w:pPr>
        <w:pStyle w:val="FootnoteText"/>
      </w:pPr>
      <w:r w:rsidRPr="00825DD3">
        <w:rPr>
          <w:rStyle w:val="FootnoteReference"/>
          <w:sz w:val="16"/>
          <w:szCs w:val="16"/>
        </w:rPr>
        <w:footnoteRef/>
      </w:r>
      <w:r w:rsidRPr="00825DD3">
        <w:rPr>
          <w:sz w:val="16"/>
          <w:szCs w:val="16"/>
        </w:rPr>
        <w:t xml:space="preserve"> </w:t>
      </w:r>
      <w:r w:rsidRPr="00825DD3" w:rsidR="006D18E4">
        <w:rPr>
          <w:sz w:val="16"/>
          <w:szCs w:val="16"/>
        </w:rPr>
        <w:t>ACCAN. 2023</w:t>
      </w:r>
      <w:r w:rsidRPr="00A32032" w:rsidR="006D18E4">
        <w:rPr>
          <w:i/>
          <w:iCs/>
          <w:sz w:val="16"/>
          <w:szCs w:val="16"/>
        </w:rPr>
        <w:t>. Pre-Budget Submission 2023-2024</w:t>
      </w:r>
      <w:r w:rsidRPr="00825DD3" w:rsidR="006D18E4">
        <w:rPr>
          <w:sz w:val="16"/>
          <w:szCs w:val="16"/>
        </w:rPr>
        <w:t xml:space="preserve">. p.14. Available at:  </w:t>
      </w:r>
      <w:hyperlink w:history="1" r:id="rId89">
        <w:r w:rsidRPr="00825DD3" w:rsidR="006D18E4">
          <w:rPr>
            <w:rStyle w:val="Hyperlink"/>
            <w:sz w:val="16"/>
            <w:szCs w:val="16"/>
          </w:rPr>
          <w:t>https://accan.org.au/accans-work/submissions/2055-pre-budget-submission-2023-2024?highlight=WyJwcmUiXQ==</w:t>
        </w:r>
      </w:hyperlink>
      <w:r w:rsidRPr="00825DD3" w:rsidR="006D18E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93FFC" w:rsidRDefault="00F93FFC" w14:paraId="7F2D3350" w14:textId="56A1E182">
    <w:pPr>
      <w:tabs>
        <w:tab w:val="left" w:pos="1843"/>
      </w:tabs>
      <w:ind w:hanging="851"/>
    </w:pPr>
    <w:r>
      <w:rPr>
        <w:rFonts w:ascii="Verdana" w:hAnsi="Verdana"/>
        <w:noProof/>
      </w:rPr>
      <w:drawing>
        <wp:anchor distT="0" distB="0" distL="114300" distR="114300" simplePos="0" relativeHeight="251658240" behindDoc="0" locked="0" layoutInCell="1" allowOverlap="1" wp14:anchorId="0EB5D847" wp14:editId="7136D496">
          <wp:simplePos x="0" y="0"/>
          <wp:positionH relativeFrom="column">
            <wp:posOffset>-4443</wp:posOffset>
          </wp:positionH>
          <wp:positionV relativeFrom="page">
            <wp:posOffset>224786</wp:posOffset>
          </wp:positionV>
          <wp:extent cx="777240" cy="335913"/>
          <wp:effectExtent l="0" t="0" r="3810" b="6987"/>
          <wp:wrapSquare wrapText="bothSides"/>
          <wp:docPr id="1361245678" name="Picture 1361245678"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 cy="335913"/>
                  </a:xfrm>
                  <a:prstGeom prst="rect">
                    <a:avLst/>
                  </a:prstGeom>
                  <a:noFill/>
                  <a:ln>
                    <a:noFill/>
                    <a:prstDash/>
                  </a:ln>
                </pic:spPr>
              </pic:pic>
            </a:graphicData>
          </a:graphic>
        </wp:anchor>
      </w:drawing>
    </w:r>
    <w:r>
      <w:rPr>
        <w:rFonts w:ascii="Verdana" w:hAnsi="Verdana"/>
        <w:b/>
        <w:bCs/>
        <w:i/>
        <w:iCs/>
      </w:rPr>
      <w:t xml:space="preserve">   </w:t>
    </w:r>
    <w:r>
      <w:rPr>
        <w:rFonts w:ascii="Verdana" w:hAnsi="Verdana"/>
        <w:b/>
        <w:bCs/>
        <w:i/>
        <w:iCs/>
        <w:color w:val="43C7F4"/>
      </w:rPr>
      <w:t xml:space="preserve">Your </w:t>
    </w:r>
    <w:r>
      <w:rPr>
        <w:rStyle w:val="Letterhead2Char"/>
        <w:rFonts w:ascii="Verdana" w:hAnsi="Verdana"/>
      </w:rPr>
      <w:t>consumer</w:t>
    </w:r>
    <w:r>
      <w:rPr>
        <w:rFonts w:ascii="Verdana" w:hAnsi="Verdana"/>
        <w:b/>
        <w:bCs/>
        <w:i/>
        <w:iCs/>
        <w:color w:val="43C7F4"/>
      </w:rPr>
      <w:t xml:space="preserve"> voice on phones and internet</w:t>
    </w:r>
    <w:r>
      <w:rPr>
        <w:rFonts w:ascii="Verdana" w:hAnsi="Verdana"/>
        <w:noProof/>
      </w:rPr>
      <mc:AlternateContent>
        <mc:Choice Requires="wps">
          <w:drawing>
            <wp:anchor distT="0" distB="0" distL="114300" distR="114300" simplePos="0" relativeHeight="251658241" behindDoc="1" locked="0" layoutInCell="1" allowOverlap="1" wp14:anchorId="5F86728E" wp14:editId="43E5995D">
              <wp:simplePos x="0" y="0"/>
              <wp:positionH relativeFrom="column">
                <wp:posOffset>-574672</wp:posOffset>
              </wp:positionH>
              <wp:positionV relativeFrom="page">
                <wp:posOffset>694057</wp:posOffset>
              </wp:positionV>
              <wp:extent cx="6894191" cy="46991"/>
              <wp:effectExtent l="0" t="0" r="1909" b="0"/>
              <wp:wrapNone/>
              <wp:docPr id="1962129624" name="Rectangle 1962129624"/>
              <wp:cNvGraphicFramePr/>
              <a:graphic xmlns:a="http://schemas.openxmlformats.org/drawingml/2006/main">
                <a:graphicData uri="http://schemas.microsoft.com/office/word/2010/wordprocessingShape">
                  <wps:wsp>
                    <wps:cNvSpPr/>
                    <wps:spPr>
                      <a:xfrm>
                        <a:off x="0" y="0"/>
                        <a:ext cx="6894191" cy="46991"/>
                      </a:xfrm>
                      <a:prstGeom prst="rect">
                        <a:avLst/>
                      </a:prstGeom>
                      <a:solidFill>
                        <a:srgbClr val="43C7F4"/>
                      </a:solidFill>
                      <a:ln cap="flat">
                        <a:noFill/>
                        <a:prstDash val="solid"/>
                      </a:ln>
                    </wps:spPr>
                    <wps:bodyPr lIns="0" tIns="0" rIns="0" bIns="0"/>
                  </wps:wsp>
                </a:graphicData>
              </a:graphic>
            </wp:anchor>
          </w:drawing>
        </mc:Choice>
        <mc:Fallback xmlns:w16du="http://schemas.microsoft.com/office/word/2023/wordml/word16du" xmlns:arto="http://schemas.microsoft.com/office/word/2006/arto" xmlns:pic="http://schemas.openxmlformats.org/drawingml/2006/picture" xmlns:a="http://schemas.openxmlformats.org/drawingml/2006/main">
          <w:pict w14:anchorId="1DE0A320">
            <v:rect id="Rectangle 1962129624" style="position:absolute;margin-left:-45.25pt;margin-top:54.65pt;width:542.85pt;height:3.7pt;z-index:-251658239;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389DA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">
              <v:textbox inset="0,0,0,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B9"/>
    <w:multiLevelType w:val="hybridMultilevel"/>
    <w:tmpl w:val="7E68BF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63750B"/>
    <w:multiLevelType w:val="hybridMultilevel"/>
    <w:tmpl w:val="8E5CD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E0191"/>
    <w:multiLevelType w:val="hybridMultilevel"/>
    <w:tmpl w:val="7E3E76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6776E1"/>
    <w:multiLevelType w:val="hybridMultilevel"/>
    <w:tmpl w:val="0F6E2C00"/>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511E96"/>
    <w:multiLevelType w:val="hybridMultilevel"/>
    <w:tmpl w:val="2A64A1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5C14EC"/>
    <w:multiLevelType w:val="hybridMultilevel"/>
    <w:tmpl w:val="B3847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1F54D3"/>
    <w:multiLevelType w:val="hybridMultilevel"/>
    <w:tmpl w:val="DFCE9B24"/>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19AF72AB"/>
    <w:multiLevelType w:val="hybridMultilevel"/>
    <w:tmpl w:val="CFDCC5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C55242A"/>
    <w:multiLevelType w:val="hybridMultilevel"/>
    <w:tmpl w:val="421A4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7041CC"/>
    <w:multiLevelType w:val="hybridMultilevel"/>
    <w:tmpl w:val="E17A8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765551"/>
    <w:multiLevelType w:val="hybridMultilevel"/>
    <w:tmpl w:val="B73AAFD0"/>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ED6727"/>
    <w:multiLevelType w:val="multilevel"/>
    <w:tmpl w:val="788AE6B0"/>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2A8C0ABD"/>
    <w:multiLevelType w:val="hybridMultilevel"/>
    <w:tmpl w:val="2716F9DE"/>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61670D"/>
    <w:multiLevelType w:val="hybridMultilevel"/>
    <w:tmpl w:val="54DE4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9C51D8"/>
    <w:multiLevelType w:val="hybridMultilevel"/>
    <w:tmpl w:val="D17ABCD8"/>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A3B2031"/>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0EA1539"/>
    <w:multiLevelType w:val="hybridMultilevel"/>
    <w:tmpl w:val="A2C288FC"/>
    <w:lvl w:ilvl="0" w:tplc="0C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EC66DD"/>
    <w:multiLevelType w:val="hybridMultilevel"/>
    <w:tmpl w:val="CCB621D8"/>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467562"/>
    <w:multiLevelType w:val="multilevel"/>
    <w:tmpl w:val="E2F45A98"/>
    <w:styleLink w:val="Blockquotebullets"/>
    <w:lvl w:ilvl="0">
      <w:start w:val="1"/>
      <w:numFmt w:val="bullet"/>
      <w:lvlText w:val=""/>
      <w:lvlJc w:val="left"/>
      <w:pPr>
        <w:ind w:left="1701" w:hanging="283"/>
      </w:pPr>
      <w:rPr>
        <w:rFonts w:hint="default" w:ascii="Symbol" w:hAnsi="Symbol"/>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9A57CF4"/>
    <w:multiLevelType w:val="hybridMultilevel"/>
    <w:tmpl w:val="C4C41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4354B3A"/>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683F08E3"/>
    <w:multiLevelType w:val="hybridMultilevel"/>
    <w:tmpl w:val="187EF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B433EAF"/>
    <w:multiLevelType w:val="hybridMultilevel"/>
    <w:tmpl w:val="05B2E3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01C2A90"/>
    <w:multiLevelType w:val="multilevel"/>
    <w:tmpl w:val="6AFEEB4C"/>
    <w:styleLink w:val="Bullets"/>
    <w:lvl w:ilvl="0">
      <w:start w:val="1"/>
      <w:numFmt w:val="bullet"/>
      <w:pStyle w:val="Bulletlist1"/>
      <w:lvlText w:val=""/>
      <w:lvlJc w:val="left"/>
      <w:pPr>
        <w:ind w:left="851" w:hanging="284"/>
      </w:pPr>
      <w:rPr>
        <w:rFonts w:hint="default" w:ascii="Symbol" w:hAnsi="Symbol"/>
      </w:rPr>
    </w:lvl>
    <w:lvl w:ilvl="1">
      <w:start w:val="1"/>
      <w:numFmt w:val="bullet"/>
      <w:pStyle w:val="Bulletlist2"/>
      <w:lvlText w:val=""/>
      <w:lvlJc w:val="left"/>
      <w:pPr>
        <w:ind w:left="1418" w:hanging="284"/>
      </w:pPr>
      <w:rPr>
        <w:rFonts w:hint="default" w:ascii="Symbol" w:hAnsi="Symbol"/>
      </w:rPr>
    </w:lvl>
    <w:lvl w:ilvl="2">
      <w:start w:val="1"/>
      <w:numFmt w:val="bullet"/>
      <w:pStyle w:val="Bulletlist3"/>
      <w:lvlText w:val=""/>
      <w:lvlJc w:val="left"/>
      <w:pPr>
        <w:ind w:left="1985" w:hanging="284"/>
      </w:pPr>
      <w:rPr>
        <w:rFonts w:hint="default" w:ascii="Symbol" w:hAnsi="Symbol"/>
        <w:color w:val="auto"/>
      </w:rPr>
    </w:lvl>
    <w:lvl w:ilvl="3">
      <w:start w:val="1"/>
      <w:numFmt w:val="bullet"/>
      <w:lvlText w:val=""/>
      <w:lvlJc w:val="left"/>
      <w:pPr>
        <w:ind w:left="2552" w:hanging="284"/>
      </w:pPr>
      <w:rPr>
        <w:rFonts w:hint="default" w:ascii="Symbol" w:hAnsi="Symbol"/>
      </w:rPr>
    </w:lvl>
    <w:lvl w:ilvl="4">
      <w:start w:val="1"/>
      <w:numFmt w:val="bullet"/>
      <w:lvlText w:val=""/>
      <w:lvlJc w:val="left"/>
      <w:pPr>
        <w:ind w:left="3119" w:hanging="284"/>
      </w:pPr>
      <w:rPr>
        <w:rFonts w:hint="default" w:ascii="Symbol" w:hAnsi="Symbol"/>
      </w:rPr>
    </w:lvl>
    <w:lvl w:ilvl="5">
      <w:start w:val="1"/>
      <w:numFmt w:val="bullet"/>
      <w:lvlText w:val=""/>
      <w:lvlJc w:val="left"/>
      <w:pPr>
        <w:ind w:left="3686" w:hanging="284"/>
      </w:pPr>
      <w:rPr>
        <w:rFonts w:hint="default" w:ascii="Symbol" w:hAnsi="Symbol"/>
      </w:rPr>
    </w:lvl>
    <w:lvl w:ilvl="6">
      <w:start w:val="1"/>
      <w:numFmt w:val="bullet"/>
      <w:lvlText w:val=""/>
      <w:lvlJc w:val="left"/>
      <w:pPr>
        <w:ind w:left="4253" w:hanging="284"/>
      </w:pPr>
      <w:rPr>
        <w:rFonts w:hint="default" w:ascii="Symbol" w:hAnsi="Symbol"/>
      </w:rPr>
    </w:lvl>
    <w:lvl w:ilvl="7">
      <w:start w:val="1"/>
      <w:numFmt w:val="bullet"/>
      <w:lvlText w:val=""/>
      <w:lvlJc w:val="left"/>
      <w:pPr>
        <w:ind w:left="4820" w:hanging="284"/>
      </w:pPr>
      <w:rPr>
        <w:rFonts w:hint="default" w:ascii="Symbol" w:hAnsi="Symbol"/>
      </w:rPr>
    </w:lvl>
    <w:lvl w:ilvl="8">
      <w:start w:val="1"/>
      <w:numFmt w:val="bullet"/>
      <w:lvlText w:val=""/>
      <w:lvlJc w:val="left"/>
      <w:pPr>
        <w:ind w:left="5387" w:hanging="284"/>
      </w:pPr>
      <w:rPr>
        <w:rFonts w:hint="default" w:ascii="Symbol" w:hAnsi="Symbol"/>
      </w:rPr>
    </w:lvl>
  </w:abstractNum>
  <w:abstractNum w:abstractNumId="24" w15:restartNumberingAfterBreak="0">
    <w:nsid w:val="78B049E5"/>
    <w:multiLevelType w:val="hybridMultilevel"/>
    <w:tmpl w:val="5742F9D0"/>
    <w:lvl w:ilvl="0" w:tplc="E95E4CCA">
      <w:start w:val="3"/>
      <w:numFmt w:val="bullet"/>
      <w:lvlText w:val="-"/>
      <w:lvlJc w:val="left"/>
      <w:pPr>
        <w:ind w:left="720" w:hanging="360"/>
      </w:pPr>
      <w:rPr>
        <w:rFonts w:hint="default" w:ascii="Calibri" w:hAnsi="Calibri" w:eastAsia="MS Mincho"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85740835">
    <w:abstractNumId w:val="15"/>
  </w:num>
  <w:num w:numId="2" w16cid:durableId="358744593">
    <w:abstractNumId w:val="20"/>
  </w:num>
  <w:num w:numId="3" w16cid:durableId="1292325140">
    <w:abstractNumId w:val="23"/>
  </w:num>
  <w:num w:numId="4" w16cid:durableId="1670713765">
    <w:abstractNumId w:val="18"/>
  </w:num>
  <w:num w:numId="5" w16cid:durableId="964580669">
    <w:abstractNumId w:val="11"/>
  </w:num>
  <w:num w:numId="6" w16cid:durableId="589044174">
    <w:abstractNumId w:val="11"/>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7" w16cid:durableId="1492209430">
    <w:abstractNumId w:val="22"/>
  </w:num>
  <w:num w:numId="8" w16cid:durableId="363672275">
    <w:abstractNumId w:val="5"/>
  </w:num>
  <w:num w:numId="9" w16cid:durableId="1103260646">
    <w:abstractNumId w:val="13"/>
  </w:num>
  <w:num w:numId="10" w16cid:durableId="2067950315">
    <w:abstractNumId w:val="2"/>
  </w:num>
  <w:num w:numId="11" w16cid:durableId="1311595833">
    <w:abstractNumId w:val="1"/>
  </w:num>
  <w:num w:numId="12" w16cid:durableId="421294399">
    <w:abstractNumId w:val="21"/>
  </w:num>
  <w:num w:numId="13" w16cid:durableId="26415571">
    <w:abstractNumId w:val="4"/>
  </w:num>
  <w:num w:numId="14" w16cid:durableId="1784877802">
    <w:abstractNumId w:val="7"/>
  </w:num>
  <w:num w:numId="15" w16cid:durableId="633293988">
    <w:abstractNumId w:val="0"/>
  </w:num>
  <w:num w:numId="16" w16cid:durableId="1726249680">
    <w:abstractNumId w:val="19"/>
  </w:num>
  <w:num w:numId="17" w16cid:durableId="1767144413">
    <w:abstractNumId w:val="9"/>
  </w:num>
  <w:num w:numId="18" w16cid:durableId="424813830">
    <w:abstractNumId w:val="8"/>
  </w:num>
  <w:num w:numId="19" w16cid:durableId="257763371">
    <w:abstractNumId w:val="16"/>
  </w:num>
  <w:num w:numId="20" w16cid:durableId="1877810306">
    <w:abstractNumId w:val="10"/>
  </w:num>
  <w:num w:numId="21" w16cid:durableId="450590697">
    <w:abstractNumId w:val="3"/>
  </w:num>
  <w:num w:numId="22" w16cid:durableId="1917782579">
    <w:abstractNumId w:val="14"/>
  </w:num>
  <w:num w:numId="23" w16cid:durableId="554316176">
    <w:abstractNumId w:val="12"/>
  </w:num>
  <w:num w:numId="24" w16cid:durableId="883294422">
    <w:abstractNumId w:val="17"/>
  </w:num>
  <w:num w:numId="25" w16cid:durableId="74939776">
    <w:abstractNumId w:val="24"/>
  </w:num>
  <w:num w:numId="26" w16cid:durableId="1466898609">
    <w:abstractNumId w:val="6"/>
  </w:num>
  <w:num w:numId="27" w16cid:durableId="1932350476">
    <w:abstractNumId w:val="11"/>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8" w16cid:durableId="206138770">
    <w:abstractNumId w:val="11"/>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AU" w:vendorID="64" w:dllVersion="0" w:nlCheck="1" w:checkStyle="1" w:appName="MSWord"/>
  <w:proofState w:spelling="clean" w:grammar="dirty"/>
  <w:attachedTemplate r:id="rId1"/>
  <w:trackRevisions w:val="tru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15"/>
    <w:rsid w:val="00000000"/>
    <w:rsid w:val="00000CED"/>
    <w:rsid w:val="00001455"/>
    <w:rsid w:val="00002592"/>
    <w:rsid w:val="00002A84"/>
    <w:rsid w:val="00003458"/>
    <w:rsid w:val="000039D9"/>
    <w:rsid w:val="000048A7"/>
    <w:rsid w:val="0000501F"/>
    <w:rsid w:val="00006849"/>
    <w:rsid w:val="00006C00"/>
    <w:rsid w:val="0000705E"/>
    <w:rsid w:val="000130E1"/>
    <w:rsid w:val="0001315A"/>
    <w:rsid w:val="00013358"/>
    <w:rsid w:val="00014E08"/>
    <w:rsid w:val="00014F86"/>
    <w:rsid w:val="00014FAE"/>
    <w:rsid w:val="00016A1F"/>
    <w:rsid w:val="00017075"/>
    <w:rsid w:val="0001751C"/>
    <w:rsid w:val="00017DA3"/>
    <w:rsid w:val="00017FF5"/>
    <w:rsid w:val="00020140"/>
    <w:rsid w:val="00020DE6"/>
    <w:rsid w:val="0002144A"/>
    <w:rsid w:val="0002178D"/>
    <w:rsid w:val="00021EE4"/>
    <w:rsid w:val="00021EEE"/>
    <w:rsid w:val="00022392"/>
    <w:rsid w:val="00022D35"/>
    <w:rsid w:val="00022EC7"/>
    <w:rsid w:val="000235A5"/>
    <w:rsid w:val="00023BBD"/>
    <w:rsid w:val="00024827"/>
    <w:rsid w:val="00024E5A"/>
    <w:rsid w:val="00025032"/>
    <w:rsid w:val="00025375"/>
    <w:rsid w:val="00025FC3"/>
    <w:rsid w:val="000260C2"/>
    <w:rsid w:val="00027534"/>
    <w:rsid w:val="000303F3"/>
    <w:rsid w:val="0003134A"/>
    <w:rsid w:val="00031DE1"/>
    <w:rsid w:val="000320F2"/>
    <w:rsid w:val="00032441"/>
    <w:rsid w:val="00034122"/>
    <w:rsid w:val="000341DA"/>
    <w:rsid w:val="000345B4"/>
    <w:rsid w:val="00035D70"/>
    <w:rsid w:val="000362DE"/>
    <w:rsid w:val="00036DF3"/>
    <w:rsid w:val="00037737"/>
    <w:rsid w:val="00040073"/>
    <w:rsid w:val="0004018F"/>
    <w:rsid w:val="00044434"/>
    <w:rsid w:val="0004453D"/>
    <w:rsid w:val="00044EC9"/>
    <w:rsid w:val="00044FA3"/>
    <w:rsid w:val="000456B9"/>
    <w:rsid w:val="00045ECF"/>
    <w:rsid w:val="000473D8"/>
    <w:rsid w:val="00047413"/>
    <w:rsid w:val="00051C07"/>
    <w:rsid w:val="00052737"/>
    <w:rsid w:val="00052C51"/>
    <w:rsid w:val="00052D56"/>
    <w:rsid w:val="000530BA"/>
    <w:rsid w:val="000547D7"/>
    <w:rsid w:val="00054818"/>
    <w:rsid w:val="00056D71"/>
    <w:rsid w:val="000576D9"/>
    <w:rsid w:val="00057A92"/>
    <w:rsid w:val="00061D64"/>
    <w:rsid w:val="00062A46"/>
    <w:rsid w:val="00063DD0"/>
    <w:rsid w:val="00063F9F"/>
    <w:rsid w:val="0006411F"/>
    <w:rsid w:val="00064CDF"/>
    <w:rsid w:val="00065425"/>
    <w:rsid w:val="00066C39"/>
    <w:rsid w:val="00066CD4"/>
    <w:rsid w:val="00066FCE"/>
    <w:rsid w:val="00070228"/>
    <w:rsid w:val="0007103A"/>
    <w:rsid w:val="00071F03"/>
    <w:rsid w:val="00072C5D"/>
    <w:rsid w:val="00074521"/>
    <w:rsid w:val="000751F3"/>
    <w:rsid w:val="00075C32"/>
    <w:rsid w:val="00075F6C"/>
    <w:rsid w:val="00076CCA"/>
    <w:rsid w:val="00077240"/>
    <w:rsid w:val="000774AD"/>
    <w:rsid w:val="0008068C"/>
    <w:rsid w:val="00081B0F"/>
    <w:rsid w:val="00081C46"/>
    <w:rsid w:val="000821FD"/>
    <w:rsid w:val="00083CF1"/>
    <w:rsid w:val="000840C2"/>
    <w:rsid w:val="00084E2B"/>
    <w:rsid w:val="00085914"/>
    <w:rsid w:val="00085E1D"/>
    <w:rsid w:val="000860F9"/>
    <w:rsid w:val="00086136"/>
    <w:rsid w:val="00086378"/>
    <w:rsid w:val="0008647B"/>
    <w:rsid w:val="000865C3"/>
    <w:rsid w:val="000867CC"/>
    <w:rsid w:val="000877E0"/>
    <w:rsid w:val="000903D0"/>
    <w:rsid w:val="00090606"/>
    <w:rsid w:val="00090625"/>
    <w:rsid w:val="00090674"/>
    <w:rsid w:val="00090AB8"/>
    <w:rsid w:val="00090DDA"/>
    <w:rsid w:val="00091F44"/>
    <w:rsid w:val="000920B2"/>
    <w:rsid w:val="0009245D"/>
    <w:rsid w:val="0009310F"/>
    <w:rsid w:val="00093B35"/>
    <w:rsid w:val="00096799"/>
    <w:rsid w:val="00096E42"/>
    <w:rsid w:val="000A07B1"/>
    <w:rsid w:val="000A09D5"/>
    <w:rsid w:val="000A0DE3"/>
    <w:rsid w:val="000A12A5"/>
    <w:rsid w:val="000A2176"/>
    <w:rsid w:val="000A2BF2"/>
    <w:rsid w:val="000A303A"/>
    <w:rsid w:val="000A3806"/>
    <w:rsid w:val="000A3ACA"/>
    <w:rsid w:val="000A3FBC"/>
    <w:rsid w:val="000A41A1"/>
    <w:rsid w:val="000A4520"/>
    <w:rsid w:val="000A4B49"/>
    <w:rsid w:val="000A55EE"/>
    <w:rsid w:val="000A5751"/>
    <w:rsid w:val="000A6F54"/>
    <w:rsid w:val="000A720A"/>
    <w:rsid w:val="000A7C5A"/>
    <w:rsid w:val="000B03E5"/>
    <w:rsid w:val="000B11EF"/>
    <w:rsid w:val="000B1AD5"/>
    <w:rsid w:val="000B2023"/>
    <w:rsid w:val="000B2C45"/>
    <w:rsid w:val="000B37FF"/>
    <w:rsid w:val="000B3B34"/>
    <w:rsid w:val="000B3F75"/>
    <w:rsid w:val="000B42D2"/>
    <w:rsid w:val="000B4798"/>
    <w:rsid w:val="000B5B82"/>
    <w:rsid w:val="000B6032"/>
    <w:rsid w:val="000B716E"/>
    <w:rsid w:val="000B7682"/>
    <w:rsid w:val="000C04FC"/>
    <w:rsid w:val="000C0570"/>
    <w:rsid w:val="000C08BD"/>
    <w:rsid w:val="000C231C"/>
    <w:rsid w:val="000C463F"/>
    <w:rsid w:val="000C4FB9"/>
    <w:rsid w:val="000C5BAA"/>
    <w:rsid w:val="000C73C6"/>
    <w:rsid w:val="000C7431"/>
    <w:rsid w:val="000D05C0"/>
    <w:rsid w:val="000D0D3C"/>
    <w:rsid w:val="000D17E4"/>
    <w:rsid w:val="000D18A2"/>
    <w:rsid w:val="000D2BFF"/>
    <w:rsid w:val="000D3021"/>
    <w:rsid w:val="000D3F85"/>
    <w:rsid w:val="000D4DBD"/>
    <w:rsid w:val="000D6C9F"/>
    <w:rsid w:val="000D7618"/>
    <w:rsid w:val="000D76F0"/>
    <w:rsid w:val="000E0A5E"/>
    <w:rsid w:val="000E1593"/>
    <w:rsid w:val="000E2A17"/>
    <w:rsid w:val="000E2E5F"/>
    <w:rsid w:val="000E3D19"/>
    <w:rsid w:val="000E5CAE"/>
    <w:rsid w:val="000E624D"/>
    <w:rsid w:val="000E6CBC"/>
    <w:rsid w:val="000E7254"/>
    <w:rsid w:val="000F0991"/>
    <w:rsid w:val="000F21D4"/>
    <w:rsid w:val="000F2F34"/>
    <w:rsid w:val="000F3856"/>
    <w:rsid w:val="000F3BF8"/>
    <w:rsid w:val="000F5097"/>
    <w:rsid w:val="000F764C"/>
    <w:rsid w:val="00100A5D"/>
    <w:rsid w:val="00100B0C"/>
    <w:rsid w:val="00101D94"/>
    <w:rsid w:val="00102271"/>
    <w:rsid w:val="0010286C"/>
    <w:rsid w:val="00103999"/>
    <w:rsid w:val="00103DAC"/>
    <w:rsid w:val="0010449F"/>
    <w:rsid w:val="00104DAD"/>
    <w:rsid w:val="00105781"/>
    <w:rsid w:val="00105AB5"/>
    <w:rsid w:val="00105E2A"/>
    <w:rsid w:val="001062CC"/>
    <w:rsid w:val="00106AEC"/>
    <w:rsid w:val="00110356"/>
    <w:rsid w:val="00110966"/>
    <w:rsid w:val="00111F02"/>
    <w:rsid w:val="001123A4"/>
    <w:rsid w:val="001133FD"/>
    <w:rsid w:val="00113465"/>
    <w:rsid w:val="00113A60"/>
    <w:rsid w:val="00113AE0"/>
    <w:rsid w:val="001148EA"/>
    <w:rsid w:val="001173F1"/>
    <w:rsid w:val="00120620"/>
    <w:rsid w:val="001208E7"/>
    <w:rsid w:val="0012148F"/>
    <w:rsid w:val="00121524"/>
    <w:rsid w:val="001216C8"/>
    <w:rsid w:val="001217E2"/>
    <w:rsid w:val="001217FD"/>
    <w:rsid w:val="00121962"/>
    <w:rsid w:val="00121A2E"/>
    <w:rsid w:val="00121D47"/>
    <w:rsid w:val="00122672"/>
    <w:rsid w:val="00122DD1"/>
    <w:rsid w:val="001230AB"/>
    <w:rsid w:val="00125060"/>
    <w:rsid w:val="0012556A"/>
    <w:rsid w:val="001260DD"/>
    <w:rsid w:val="00126183"/>
    <w:rsid w:val="00126310"/>
    <w:rsid w:val="0012636E"/>
    <w:rsid w:val="0012663D"/>
    <w:rsid w:val="001270D6"/>
    <w:rsid w:val="0012726D"/>
    <w:rsid w:val="001275E7"/>
    <w:rsid w:val="001309B4"/>
    <w:rsid w:val="00130E70"/>
    <w:rsid w:val="0013115C"/>
    <w:rsid w:val="00132365"/>
    <w:rsid w:val="0013376F"/>
    <w:rsid w:val="00134BAC"/>
    <w:rsid w:val="00134C06"/>
    <w:rsid w:val="00135932"/>
    <w:rsid w:val="00135C01"/>
    <w:rsid w:val="00135CCC"/>
    <w:rsid w:val="00136E66"/>
    <w:rsid w:val="00137682"/>
    <w:rsid w:val="00137C51"/>
    <w:rsid w:val="001410F4"/>
    <w:rsid w:val="00141F9C"/>
    <w:rsid w:val="0014260C"/>
    <w:rsid w:val="00143DD1"/>
    <w:rsid w:val="00145200"/>
    <w:rsid w:val="00145394"/>
    <w:rsid w:val="00145D91"/>
    <w:rsid w:val="00147CE0"/>
    <w:rsid w:val="00150873"/>
    <w:rsid w:val="00150FF5"/>
    <w:rsid w:val="001511C2"/>
    <w:rsid w:val="001514F8"/>
    <w:rsid w:val="0015159F"/>
    <w:rsid w:val="00151EAB"/>
    <w:rsid w:val="001520AD"/>
    <w:rsid w:val="00152F38"/>
    <w:rsid w:val="001531E7"/>
    <w:rsid w:val="001537A7"/>
    <w:rsid w:val="00156177"/>
    <w:rsid w:val="00156950"/>
    <w:rsid w:val="00156D41"/>
    <w:rsid w:val="001601F5"/>
    <w:rsid w:val="001605C9"/>
    <w:rsid w:val="00161B2B"/>
    <w:rsid w:val="001623E5"/>
    <w:rsid w:val="00162724"/>
    <w:rsid w:val="00162760"/>
    <w:rsid w:val="00163200"/>
    <w:rsid w:val="00163B56"/>
    <w:rsid w:val="00163DA5"/>
    <w:rsid w:val="001647D5"/>
    <w:rsid w:val="00164A86"/>
    <w:rsid w:val="00165B08"/>
    <w:rsid w:val="00167714"/>
    <w:rsid w:val="0017083D"/>
    <w:rsid w:val="0017172D"/>
    <w:rsid w:val="00171821"/>
    <w:rsid w:val="00171E8F"/>
    <w:rsid w:val="001730E0"/>
    <w:rsid w:val="0017456B"/>
    <w:rsid w:val="00174F52"/>
    <w:rsid w:val="001754ED"/>
    <w:rsid w:val="00175857"/>
    <w:rsid w:val="001766A1"/>
    <w:rsid w:val="00176876"/>
    <w:rsid w:val="001775D4"/>
    <w:rsid w:val="001777ED"/>
    <w:rsid w:val="00180D02"/>
    <w:rsid w:val="00182312"/>
    <w:rsid w:val="001828D8"/>
    <w:rsid w:val="00182945"/>
    <w:rsid w:val="001829B0"/>
    <w:rsid w:val="00183803"/>
    <w:rsid w:val="00185442"/>
    <w:rsid w:val="0018693E"/>
    <w:rsid w:val="00191682"/>
    <w:rsid w:val="00192A61"/>
    <w:rsid w:val="0019340F"/>
    <w:rsid w:val="00193DB9"/>
    <w:rsid w:val="0019461C"/>
    <w:rsid w:val="0019567C"/>
    <w:rsid w:val="0019585F"/>
    <w:rsid w:val="00195B25"/>
    <w:rsid w:val="00196FE2"/>
    <w:rsid w:val="00197344"/>
    <w:rsid w:val="001A0171"/>
    <w:rsid w:val="001A04BB"/>
    <w:rsid w:val="001A166E"/>
    <w:rsid w:val="001A1DF7"/>
    <w:rsid w:val="001A2736"/>
    <w:rsid w:val="001A2BA5"/>
    <w:rsid w:val="001A3380"/>
    <w:rsid w:val="001A41C3"/>
    <w:rsid w:val="001A41DA"/>
    <w:rsid w:val="001A5738"/>
    <w:rsid w:val="001A5C78"/>
    <w:rsid w:val="001A60E4"/>
    <w:rsid w:val="001A772D"/>
    <w:rsid w:val="001A7D31"/>
    <w:rsid w:val="001B09D4"/>
    <w:rsid w:val="001B0DED"/>
    <w:rsid w:val="001B192E"/>
    <w:rsid w:val="001B1EC0"/>
    <w:rsid w:val="001B278A"/>
    <w:rsid w:val="001B2A2A"/>
    <w:rsid w:val="001B3744"/>
    <w:rsid w:val="001B4249"/>
    <w:rsid w:val="001B4F92"/>
    <w:rsid w:val="001B55B3"/>
    <w:rsid w:val="001B5856"/>
    <w:rsid w:val="001B5FB2"/>
    <w:rsid w:val="001B63DD"/>
    <w:rsid w:val="001B6438"/>
    <w:rsid w:val="001B6DE8"/>
    <w:rsid w:val="001B7D4B"/>
    <w:rsid w:val="001C0F5E"/>
    <w:rsid w:val="001C333A"/>
    <w:rsid w:val="001C337D"/>
    <w:rsid w:val="001C395E"/>
    <w:rsid w:val="001C40D8"/>
    <w:rsid w:val="001C4264"/>
    <w:rsid w:val="001C4617"/>
    <w:rsid w:val="001C46BD"/>
    <w:rsid w:val="001C48BE"/>
    <w:rsid w:val="001C5B99"/>
    <w:rsid w:val="001C60BA"/>
    <w:rsid w:val="001C672F"/>
    <w:rsid w:val="001C7B49"/>
    <w:rsid w:val="001D0D20"/>
    <w:rsid w:val="001D1037"/>
    <w:rsid w:val="001D159B"/>
    <w:rsid w:val="001D1CA9"/>
    <w:rsid w:val="001D21E2"/>
    <w:rsid w:val="001D2405"/>
    <w:rsid w:val="001D2F78"/>
    <w:rsid w:val="001D3C36"/>
    <w:rsid w:val="001D3D48"/>
    <w:rsid w:val="001D4FF2"/>
    <w:rsid w:val="001D4FF5"/>
    <w:rsid w:val="001D5173"/>
    <w:rsid w:val="001D5C22"/>
    <w:rsid w:val="001D6F9E"/>
    <w:rsid w:val="001D7A1B"/>
    <w:rsid w:val="001D7B4B"/>
    <w:rsid w:val="001E0174"/>
    <w:rsid w:val="001E0F50"/>
    <w:rsid w:val="001E1AE7"/>
    <w:rsid w:val="001E3972"/>
    <w:rsid w:val="001E3A88"/>
    <w:rsid w:val="001E3CC3"/>
    <w:rsid w:val="001E5519"/>
    <w:rsid w:val="001E5B1A"/>
    <w:rsid w:val="001E6E0A"/>
    <w:rsid w:val="001E782F"/>
    <w:rsid w:val="001E7889"/>
    <w:rsid w:val="001F013B"/>
    <w:rsid w:val="001F01FA"/>
    <w:rsid w:val="001F0907"/>
    <w:rsid w:val="001F0FF1"/>
    <w:rsid w:val="001F11C1"/>
    <w:rsid w:val="001F2FA3"/>
    <w:rsid w:val="001F3911"/>
    <w:rsid w:val="001F59D4"/>
    <w:rsid w:val="001F6747"/>
    <w:rsid w:val="001F7374"/>
    <w:rsid w:val="001F77F6"/>
    <w:rsid w:val="001F7E07"/>
    <w:rsid w:val="00200982"/>
    <w:rsid w:val="0020234B"/>
    <w:rsid w:val="0020685A"/>
    <w:rsid w:val="00207BED"/>
    <w:rsid w:val="00207EC8"/>
    <w:rsid w:val="00211174"/>
    <w:rsid w:val="002118F3"/>
    <w:rsid w:val="002120A9"/>
    <w:rsid w:val="002140FC"/>
    <w:rsid w:val="0021413E"/>
    <w:rsid w:val="00214965"/>
    <w:rsid w:val="00214CE9"/>
    <w:rsid w:val="0021558D"/>
    <w:rsid w:val="002159C4"/>
    <w:rsid w:val="00215BBE"/>
    <w:rsid w:val="00215D55"/>
    <w:rsid w:val="00216747"/>
    <w:rsid w:val="00216EED"/>
    <w:rsid w:val="00221F9C"/>
    <w:rsid w:val="00222B4A"/>
    <w:rsid w:val="00226016"/>
    <w:rsid w:val="002261B8"/>
    <w:rsid w:val="00227E8C"/>
    <w:rsid w:val="00231CAF"/>
    <w:rsid w:val="00231ED1"/>
    <w:rsid w:val="002321A5"/>
    <w:rsid w:val="002328DD"/>
    <w:rsid w:val="00233329"/>
    <w:rsid w:val="0023356E"/>
    <w:rsid w:val="0023499C"/>
    <w:rsid w:val="002364F5"/>
    <w:rsid w:val="002366E4"/>
    <w:rsid w:val="00237777"/>
    <w:rsid w:val="00240798"/>
    <w:rsid w:val="002417EF"/>
    <w:rsid w:val="00242DB8"/>
    <w:rsid w:val="002446C4"/>
    <w:rsid w:val="00244FE0"/>
    <w:rsid w:val="00245265"/>
    <w:rsid w:val="00245C97"/>
    <w:rsid w:val="00245E25"/>
    <w:rsid w:val="00246580"/>
    <w:rsid w:val="00247D67"/>
    <w:rsid w:val="00251782"/>
    <w:rsid w:val="00251E0B"/>
    <w:rsid w:val="00252148"/>
    <w:rsid w:val="0025237F"/>
    <w:rsid w:val="00252E4B"/>
    <w:rsid w:val="00253DD3"/>
    <w:rsid w:val="002540F6"/>
    <w:rsid w:val="002548B1"/>
    <w:rsid w:val="00254DFF"/>
    <w:rsid w:val="0025561E"/>
    <w:rsid w:val="002567BC"/>
    <w:rsid w:val="00257084"/>
    <w:rsid w:val="0026030A"/>
    <w:rsid w:val="00260397"/>
    <w:rsid w:val="00261BA9"/>
    <w:rsid w:val="00262A1D"/>
    <w:rsid w:val="0026312F"/>
    <w:rsid w:val="002635BF"/>
    <w:rsid w:val="0026420E"/>
    <w:rsid w:val="00264B25"/>
    <w:rsid w:val="0026652F"/>
    <w:rsid w:val="00267E38"/>
    <w:rsid w:val="00267F71"/>
    <w:rsid w:val="00270BF2"/>
    <w:rsid w:val="00270EEC"/>
    <w:rsid w:val="0027168A"/>
    <w:rsid w:val="002718A5"/>
    <w:rsid w:val="00272512"/>
    <w:rsid w:val="00272798"/>
    <w:rsid w:val="002735BB"/>
    <w:rsid w:val="00274126"/>
    <w:rsid w:val="00274342"/>
    <w:rsid w:val="00274E04"/>
    <w:rsid w:val="002767A3"/>
    <w:rsid w:val="00276F66"/>
    <w:rsid w:val="00277BA3"/>
    <w:rsid w:val="002801B4"/>
    <w:rsid w:val="00280375"/>
    <w:rsid w:val="00280451"/>
    <w:rsid w:val="00281129"/>
    <w:rsid w:val="00281259"/>
    <w:rsid w:val="00281A8C"/>
    <w:rsid w:val="00281CE2"/>
    <w:rsid w:val="00281FF9"/>
    <w:rsid w:val="002829FA"/>
    <w:rsid w:val="002832B6"/>
    <w:rsid w:val="00283DDB"/>
    <w:rsid w:val="002858B7"/>
    <w:rsid w:val="002926F7"/>
    <w:rsid w:val="00292948"/>
    <w:rsid w:val="0029345F"/>
    <w:rsid w:val="00293E90"/>
    <w:rsid w:val="00294684"/>
    <w:rsid w:val="00296FA3"/>
    <w:rsid w:val="00297CF4"/>
    <w:rsid w:val="002A166A"/>
    <w:rsid w:val="002A1728"/>
    <w:rsid w:val="002A24BD"/>
    <w:rsid w:val="002A2866"/>
    <w:rsid w:val="002A2B61"/>
    <w:rsid w:val="002A58D9"/>
    <w:rsid w:val="002A6483"/>
    <w:rsid w:val="002A7AC2"/>
    <w:rsid w:val="002B021F"/>
    <w:rsid w:val="002B0920"/>
    <w:rsid w:val="002B1ACA"/>
    <w:rsid w:val="002B429F"/>
    <w:rsid w:val="002B56F8"/>
    <w:rsid w:val="002B5A9C"/>
    <w:rsid w:val="002B667D"/>
    <w:rsid w:val="002B6E57"/>
    <w:rsid w:val="002B701B"/>
    <w:rsid w:val="002C09F1"/>
    <w:rsid w:val="002C1BB4"/>
    <w:rsid w:val="002C21D2"/>
    <w:rsid w:val="002C2C3F"/>
    <w:rsid w:val="002C30D3"/>
    <w:rsid w:val="002C3446"/>
    <w:rsid w:val="002C390D"/>
    <w:rsid w:val="002C3AB8"/>
    <w:rsid w:val="002C403A"/>
    <w:rsid w:val="002C58B8"/>
    <w:rsid w:val="002C59AD"/>
    <w:rsid w:val="002C634D"/>
    <w:rsid w:val="002C6F53"/>
    <w:rsid w:val="002C78FD"/>
    <w:rsid w:val="002C7BCA"/>
    <w:rsid w:val="002C7E0E"/>
    <w:rsid w:val="002C7E82"/>
    <w:rsid w:val="002C7F9B"/>
    <w:rsid w:val="002D004C"/>
    <w:rsid w:val="002D0309"/>
    <w:rsid w:val="002D0E21"/>
    <w:rsid w:val="002D1510"/>
    <w:rsid w:val="002D1707"/>
    <w:rsid w:val="002D18C5"/>
    <w:rsid w:val="002D2275"/>
    <w:rsid w:val="002D2312"/>
    <w:rsid w:val="002D374C"/>
    <w:rsid w:val="002D40CC"/>
    <w:rsid w:val="002D600E"/>
    <w:rsid w:val="002D6284"/>
    <w:rsid w:val="002D6767"/>
    <w:rsid w:val="002D6C00"/>
    <w:rsid w:val="002D7289"/>
    <w:rsid w:val="002D7ACE"/>
    <w:rsid w:val="002D7B6D"/>
    <w:rsid w:val="002E0151"/>
    <w:rsid w:val="002E0B77"/>
    <w:rsid w:val="002E225B"/>
    <w:rsid w:val="002E476D"/>
    <w:rsid w:val="002E5AFB"/>
    <w:rsid w:val="002E774D"/>
    <w:rsid w:val="002E7B62"/>
    <w:rsid w:val="002F0AF4"/>
    <w:rsid w:val="002F163D"/>
    <w:rsid w:val="002F1EA7"/>
    <w:rsid w:val="002F1EFA"/>
    <w:rsid w:val="002F292E"/>
    <w:rsid w:val="002F2ADF"/>
    <w:rsid w:val="002F48F3"/>
    <w:rsid w:val="002F48FD"/>
    <w:rsid w:val="002F5D61"/>
    <w:rsid w:val="002F67DA"/>
    <w:rsid w:val="002F7A85"/>
    <w:rsid w:val="0030054C"/>
    <w:rsid w:val="00301A71"/>
    <w:rsid w:val="00301D3A"/>
    <w:rsid w:val="003025AF"/>
    <w:rsid w:val="00302B35"/>
    <w:rsid w:val="00302B3A"/>
    <w:rsid w:val="00302D3C"/>
    <w:rsid w:val="00303460"/>
    <w:rsid w:val="0030453A"/>
    <w:rsid w:val="00305A57"/>
    <w:rsid w:val="003065DD"/>
    <w:rsid w:val="00310CBD"/>
    <w:rsid w:val="00311E9C"/>
    <w:rsid w:val="003134D9"/>
    <w:rsid w:val="003153AE"/>
    <w:rsid w:val="0031564A"/>
    <w:rsid w:val="0031654A"/>
    <w:rsid w:val="00317262"/>
    <w:rsid w:val="0031753F"/>
    <w:rsid w:val="00317618"/>
    <w:rsid w:val="00317B2A"/>
    <w:rsid w:val="00317E1B"/>
    <w:rsid w:val="0032136A"/>
    <w:rsid w:val="00321A71"/>
    <w:rsid w:val="00323207"/>
    <w:rsid w:val="003232D0"/>
    <w:rsid w:val="00323C75"/>
    <w:rsid w:val="00326D69"/>
    <w:rsid w:val="00326E6B"/>
    <w:rsid w:val="00332B6D"/>
    <w:rsid w:val="003336B2"/>
    <w:rsid w:val="00335947"/>
    <w:rsid w:val="003367F5"/>
    <w:rsid w:val="00336BC3"/>
    <w:rsid w:val="00336F1E"/>
    <w:rsid w:val="00337530"/>
    <w:rsid w:val="00340347"/>
    <w:rsid w:val="003403FD"/>
    <w:rsid w:val="00340966"/>
    <w:rsid w:val="00340B15"/>
    <w:rsid w:val="00341A5C"/>
    <w:rsid w:val="00342356"/>
    <w:rsid w:val="003437B0"/>
    <w:rsid w:val="00343CDD"/>
    <w:rsid w:val="00343DC6"/>
    <w:rsid w:val="003442E4"/>
    <w:rsid w:val="003444A4"/>
    <w:rsid w:val="00344C04"/>
    <w:rsid w:val="00345569"/>
    <w:rsid w:val="003456BA"/>
    <w:rsid w:val="00346BD5"/>
    <w:rsid w:val="00346E3C"/>
    <w:rsid w:val="0035037E"/>
    <w:rsid w:val="003504E5"/>
    <w:rsid w:val="00350D61"/>
    <w:rsid w:val="003514A7"/>
    <w:rsid w:val="00351C15"/>
    <w:rsid w:val="003521C8"/>
    <w:rsid w:val="003532F3"/>
    <w:rsid w:val="00353C66"/>
    <w:rsid w:val="00353C9D"/>
    <w:rsid w:val="00354A72"/>
    <w:rsid w:val="003573DB"/>
    <w:rsid w:val="003602FC"/>
    <w:rsid w:val="00360559"/>
    <w:rsid w:val="0036057F"/>
    <w:rsid w:val="00360987"/>
    <w:rsid w:val="00364A72"/>
    <w:rsid w:val="003655FA"/>
    <w:rsid w:val="003662AB"/>
    <w:rsid w:val="003663B7"/>
    <w:rsid w:val="00366413"/>
    <w:rsid w:val="003667B4"/>
    <w:rsid w:val="00366FF7"/>
    <w:rsid w:val="003674A6"/>
    <w:rsid w:val="003707A9"/>
    <w:rsid w:val="00370BF8"/>
    <w:rsid w:val="00371834"/>
    <w:rsid w:val="00372F65"/>
    <w:rsid w:val="00373492"/>
    <w:rsid w:val="003742A1"/>
    <w:rsid w:val="00374CA4"/>
    <w:rsid w:val="003753FF"/>
    <w:rsid w:val="0037652E"/>
    <w:rsid w:val="00376B9A"/>
    <w:rsid w:val="00380AD4"/>
    <w:rsid w:val="00380D11"/>
    <w:rsid w:val="00380DB3"/>
    <w:rsid w:val="0038151C"/>
    <w:rsid w:val="00381C48"/>
    <w:rsid w:val="00383225"/>
    <w:rsid w:val="00383369"/>
    <w:rsid w:val="00385734"/>
    <w:rsid w:val="003859B5"/>
    <w:rsid w:val="00386C98"/>
    <w:rsid w:val="003875C3"/>
    <w:rsid w:val="003878A3"/>
    <w:rsid w:val="003903BB"/>
    <w:rsid w:val="0039045B"/>
    <w:rsid w:val="003915B1"/>
    <w:rsid w:val="00392825"/>
    <w:rsid w:val="0039356D"/>
    <w:rsid w:val="0039416E"/>
    <w:rsid w:val="00394D15"/>
    <w:rsid w:val="00394FFC"/>
    <w:rsid w:val="0039536B"/>
    <w:rsid w:val="00395620"/>
    <w:rsid w:val="00395BBE"/>
    <w:rsid w:val="00397684"/>
    <w:rsid w:val="00397832"/>
    <w:rsid w:val="003A007D"/>
    <w:rsid w:val="003A0471"/>
    <w:rsid w:val="003A0CE1"/>
    <w:rsid w:val="003A11DE"/>
    <w:rsid w:val="003A2485"/>
    <w:rsid w:val="003A2541"/>
    <w:rsid w:val="003A2582"/>
    <w:rsid w:val="003A403D"/>
    <w:rsid w:val="003A44BA"/>
    <w:rsid w:val="003A4DC7"/>
    <w:rsid w:val="003A504A"/>
    <w:rsid w:val="003A695A"/>
    <w:rsid w:val="003A6F81"/>
    <w:rsid w:val="003A7698"/>
    <w:rsid w:val="003B0198"/>
    <w:rsid w:val="003B168E"/>
    <w:rsid w:val="003B2880"/>
    <w:rsid w:val="003B4F26"/>
    <w:rsid w:val="003B4F60"/>
    <w:rsid w:val="003B6BD1"/>
    <w:rsid w:val="003B783A"/>
    <w:rsid w:val="003C1118"/>
    <w:rsid w:val="003C2140"/>
    <w:rsid w:val="003C22E4"/>
    <w:rsid w:val="003C3084"/>
    <w:rsid w:val="003C3577"/>
    <w:rsid w:val="003C3EA6"/>
    <w:rsid w:val="003C4357"/>
    <w:rsid w:val="003C47E6"/>
    <w:rsid w:val="003C6395"/>
    <w:rsid w:val="003C6711"/>
    <w:rsid w:val="003C6C39"/>
    <w:rsid w:val="003C716B"/>
    <w:rsid w:val="003C717D"/>
    <w:rsid w:val="003C7CD5"/>
    <w:rsid w:val="003D25DE"/>
    <w:rsid w:val="003D5727"/>
    <w:rsid w:val="003D5CF2"/>
    <w:rsid w:val="003D61A3"/>
    <w:rsid w:val="003D7C36"/>
    <w:rsid w:val="003D7DCC"/>
    <w:rsid w:val="003E0244"/>
    <w:rsid w:val="003E055C"/>
    <w:rsid w:val="003E2DAA"/>
    <w:rsid w:val="003E3D2C"/>
    <w:rsid w:val="003E57DE"/>
    <w:rsid w:val="003F0FC3"/>
    <w:rsid w:val="003F12F9"/>
    <w:rsid w:val="003F2175"/>
    <w:rsid w:val="003F228B"/>
    <w:rsid w:val="003F27DD"/>
    <w:rsid w:val="003F3BBA"/>
    <w:rsid w:val="003F3FBD"/>
    <w:rsid w:val="003F4012"/>
    <w:rsid w:val="003F6A67"/>
    <w:rsid w:val="003F74E3"/>
    <w:rsid w:val="00400BFA"/>
    <w:rsid w:val="004016BA"/>
    <w:rsid w:val="00401C2C"/>
    <w:rsid w:val="0040204B"/>
    <w:rsid w:val="00403105"/>
    <w:rsid w:val="00403E90"/>
    <w:rsid w:val="004041F4"/>
    <w:rsid w:val="004044C5"/>
    <w:rsid w:val="0040484B"/>
    <w:rsid w:val="00405151"/>
    <w:rsid w:val="0040544A"/>
    <w:rsid w:val="0040553A"/>
    <w:rsid w:val="00405FD5"/>
    <w:rsid w:val="00406A7E"/>
    <w:rsid w:val="00407461"/>
    <w:rsid w:val="004112F5"/>
    <w:rsid w:val="00411315"/>
    <w:rsid w:val="004160DC"/>
    <w:rsid w:val="00416283"/>
    <w:rsid w:val="00417A0F"/>
    <w:rsid w:val="004203E8"/>
    <w:rsid w:val="004205D1"/>
    <w:rsid w:val="00420D4E"/>
    <w:rsid w:val="00420D8F"/>
    <w:rsid w:val="004222EB"/>
    <w:rsid w:val="0042315B"/>
    <w:rsid w:val="00423A74"/>
    <w:rsid w:val="0042578B"/>
    <w:rsid w:val="00426E45"/>
    <w:rsid w:val="00427D5A"/>
    <w:rsid w:val="004300E2"/>
    <w:rsid w:val="004305EC"/>
    <w:rsid w:val="00431BE8"/>
    <w:rsid w:val="00431DB3"/>
    <w:rsid w:val="0043310D"/>
    <w:rsid w:val="0043390C"/>
    <w:rsid w:val="00434911"/>
    <w:rsid w:val="00434C0C"/>
    <w:rsid w:val="00436F84"/>
    <w:rsid w:val="00437164"/>
    <w:rsid w:val="004405D5"/>
    <w:rsid w:val="00440CC3"/>
    <w:rsid w:val="00441073"/>
    <w:rsid w:val="00441748"/>
    <w:rsid w:val="00441F1D"/>
    <w:rsid w:val="0044265E"/>
    <w:rsid w:val="004431B1"/>
    <w:rsid w:val="004433FB"/>
    <w:rsid w:val="00443D19"/>
    <w:rsid w:val="00444349"/>
    <w:rsid w:val="004452D2"/>
    <w:rsid w:val="004459D2"/>
    <w:rsid w:val="00445BB7"/>
    <w:rsid w:val="00445D76"/>
    <w:rsid w:val="004470EA"/>
    <w:rsid w:val="00450F05"/>
    <w:rsid w:val="00451585"/>
    <w:rsid w:val="0045160E"/>
    <w:rsid w:val="00451F05"/>
    <w:rsid w:val="004523A4"/>
    <w:rsid w:val="004528C4"/>
    <w:rsid w:val="0045297B"/>
    <w:rsid w:val="00453925"/>
    <w:rsid w:val="00453DC0"/>
    <w:rsid w:val="00454A4E"/>
    <w:rsid w:val="00455428"/>
    <w:rsid w:val="00456BAC"/>
    <w:rsid w:val="00456C63"/>
    <w:rsid w:val="00456C80"/>
    <w:rsid w:val="00456F26"/>
    <w:rsid w:val="004572B8"/>
    <w:rsid w:val="0045736B"/>
    <w:rsid w:val="00457A53"/>
    <w:rsid w:val="00457EDB"/>
    <w:rsid w:val="00460594"/>
    <w:rsid w:val="00460AB8"/>
    <w:rsid w:val="00460C57"/>
    <w:rsid w:val="00461876"/>
    <w:rsid w:val="00461AA6"/>
    <w:rsid w:val="00462020"/>
    <w:rsid w:val="0046300A"/>
    <w:rsid w:val="0046379B"/>
    <w:rsid w:val="00463A3F"/>
    <w:rsid w:val="00463F19"/>
    <w:rsid w:val="004652AC"/>
    <w:rsid w:val="00466D4C"/>
    <w:rsid w:val="00470338"/>
    <w:rsid w:val="00470B4F"/>
    <w:rsid w:val="00471AB6"/>
    <w:rsid w:val="00471B22"/>
    <w:rsid w:val="0047250A"/>
    <w:rsid w:val="00472A35"/>
    <w:rsid w:val="0047475C"/>
    <w:rsid w:val="00474B24"/>
    <w:rsid w:val="004759B5"/>
    <w:rsid w:val="00477B51"/>
    <w:rsid w:val="00481549"/>
    <w:rsid w:val="0048163E"/>
    <w:rsid w:val="004829E8"/>
    <w:rsid w:val="00483AF0"/>
    <w:rsid w:val="00483B99"/>
    <w:rsid w:val="00484120"/>
    <w:rsid w:val="004848AE"/>
    <w:rsid w:val="00484B11"/>
    <w:rsid w:val="0048640D"/>
    <w:rsid w:val="00486839"/>
    <w:rsid w:val="00487E7D"/>
    <w:rsid w:val="00487EC4"/>
    <w:rsid w:val="00491D44"/>
    <w:rsid w:val="00491F05"/>
    <w:rsid w:val="00492DA2"/>
    <w:rsid w:val="00493666"/>
    <w:rsid w:val="004939F0"/>
    <w:rsid w:val="00493E9E"/>
    <w:rsid w:val="00494480"/>
    <w:rsid w:val="0049497E"/>
    <w:rsid w:val="0049502E"/>
    <w:rsid w:val="0049518C"/>
    <w:rsid w:val="00497F47"/>
    <w:rsid w:val="004A0100"/>
    <w:rsid w:val="004A16C4"/>
    <w:rsid w:val="004A3908"/>
    <w:rsid w:val="004A4294"/>
    <w:rsid w:val="004A4B15"/>
    <w:rsid w:val="004A5190"/>
    <w:rsid w:val="004A5421"/>
    <w:rsid w:val="004A5901"/>
    <w:rsid w:val="004A59D4"/>
    <w:rsid w:val="004A5E82"/>
    <w:rsid w:val="004A631E"/>
    <w:rsid w:val="004A672B"/>
    <w:rsid w:val="004A6815"/>
    <w:rsid w:val="004A6866"/>
    <w:rsid w:val="004A6F23"/>
    <w:rsid w:val="004A71E5"/>
    <w:rsid w:val="004A7216"/>
    <w:rsid w:val="004A75B3"/>
    <w:rsid w:val="004A7E94"/>
    <w:rsid w:val="004B0BBF"/>
    <w:rsid w:val="004B0D5F"/>
    <w:rsid w:val="004B2773"/>
    <w:rsid w:val="004B2A55"/>
    <w:rsid w:val="004B3509"/>
    <w:rsid w:val="004B39A0"/>
    <w:rsid w:val="004B44CA"/>
    <w:rsid w:val="004B6FBC"/>
    <w:rsid w:val="004B7A5E"/>
    <w:rsid w:val="004B7A8B"/>
    <w:rsid w:val="004C04CB"/>
    <w:rsid w:val="004C09B2"/>
    <w:rsid w:val="004C175A"/>
    <w:rsid w:val="004C1C36"/>
    <w:rsid w:val="004C2BE0"/>
    <w:rsid w:val="004C49E2"/>
    <w:rsid w:val="004C4CCD"/>
    <w:rsid w:val="004C6001"/>
    <w:rsid w:val="004C644B"/>
    <w:rsid w:val="004C6910"/>
    <w:rsid w:val="004C6E53"/>
    <w:rsid w:val="004C77FC"/>
    <w:rsid w:val="004D01B3"/>
    <w:rsid w:val="004D1DA2"/>
    <w:rsid w:val="004D1EC9"/>
    <w:rsid w:val="004D2B65"/>
    <w:rsid w:val="004D34AA"/>
    <w:rsid w:val="004D39C5"/>
    <w:rsid w:val="004D4A16"/>
    <w:rsid w:val="004D4D1C"/>
    <w:rsid w:val="004D4D32"/>
    <w:rsid w:val="004D4D8A"/>
    <w:rsid w:val="004D53CB"/>
    <w:rsid w:val="004E144C"/>
    <w:rsid w:val="004E23C3"/>
    <w:rsid w:val="004E2FD7"/>
    <w:rsid w:val="004E5143"/>
    <w:rsid w:val="004E54E8"/>
    <w:rsid w:val="004E6860"/>
    <w:rsid w:val="004E6DF2"/>
    <w:rsid w:val="004E72CF"/>
    <w:rsid w:val="004F0512"/>
    <w:rsid w:val="004F0861"/>
    <w:rsid w:val="004F16E4"/>
    <w:rsid w:val="004F2ECA"/>
    <w:rsid w:val="004F3125"/>
    <w:rsid w:val="004F4BCB"/>
    <w:rsid w:val="004F4E15"/>
    <w:rsid w:val="004F53E8"/>
    <w:rsid w:val="004F757D"/>
    <w:rsid w:val="00500C39"/>
    <w:rsid w:val="00501AB9"/>
    <w:rsid w:val="00503E21"/>
    <w:rsid w:val="0050401D"/>
    <w:rsid w:val="00504430"/>
    <w:rsid w:val="00505FB5"/>
    <w:rsid w:val="00507159"/>
    <w:rsid w:val="00507BA6"/>
    <w:rsid w:val="005106BA"/>
    <w:rsid w:val="00510D4B"/>
    <w:rsid w:val="00511326"/>
    <w:rsid w:val="00511465"/>
    <w:rsid w:val="0051223B"/>
    <w:rsid w:val="0051227E"/>
    <w:rsid w:val="00512A59"/>
    <w:rsid w:val="00512C16"/>
    <w:rsid w:val="00512F63"/>
    <w:rsid w:val="0051315D"/>
    <w:rsid w:val="00514005"/>
    <w:rsid w:val="0051506D"/>
    <w:rsid w:val="005172A4"/>
    <w:rsid w:val="00517A79"/>
    <w:rsid w:val="00517DC4"/>
    <w:rsid w:val="00517ED9"/>
    <w:rsid w:val="005207A9"/>
    <w:rsid w:val="005207E9"/>
    <w:rsid w:val="00521820"/>
    <w:rsid w:val="0052262E"/>
    <w:rsid w:val="00523A77"/>
    <w:rsid w:val="005246F4"/>
    <w:rsid w:val="00525907"/>
    <w:rsid w:val="005267D8"/>
    <w:rsid w:val="00527679"/>
    <w:rsid w:val="00531161"/>
    <w:rsid w:val="00531512"/>
    <w:rsid w:val="0053232B"/>
    <w:rsid w:val="0053363E"/>
    <w:rsid w:val="00533CCD"/>
    <w:rsid w:val="00534ECF"/>
    <w:rsid w:val="0053718B"/>
    <w:rsid w:val="00537888"/>
    <w:rsid w:val="005401FE"/>
    <w:rsid w:val="00540414"/>
    <w:rsid w:val="00540A91"/>
    <w:rsid w:val="005415AD"/>
    <w:rsid w:val="00542492"/>
    <w:rsid w:val="005424F9"/>
    <w:rsid w:val="005428CD"/>
    <w:rsid w:val="00543D22"/>
    <w:rsid w:val="005443BB"/>
    <w:rsid w:val="00544AE5"/>
    <w:rsid w:val="00544CE4"/>
    <w:rsid w:val="0054584B"/>
    <w:rsid w:val="00545CB4"/>
    <w:rsid w:val="005473E6"/>
    <w:rsid w:val="0054757D"/>
    <w:rsid w:val="0054787C"/>
    <w:rsid w:val="00550688"/>
    <w:rsid w:val="00551BB3"/>
    <w:rsid w:val="0055201B"/>
    <w:rsid w:val="00552B60"/>
    <w:rsid w:val="00552CF9"/>
    <w:rsid w:val="0055308C"/>
    <w:rsid w:val="005537B6"/>
    <w:rsid w:val="00553A0C"/>
    <w:rsid w:val="00554E89"/>
    <w:rsid w:val="005559F4"/>
    <w:rsid w:val="00556CF7"/>
    <w:rsid w:val="00556D7F"/>
    <w:rsid w:val="00557D9A"/>
    <w:rsid w:val="00560B7D"/>
    <w:rsid w:val="00560E11"/>
    <w:rsid w:val="0056134B"/>
    <w:rsid w:val="005623FF"/>
    <w:rsid w:val="00563DC9"/>
    <w:rsid w:val="00565569"/>
    <w:rsid w:val="00565E28"/>
    <w:rsid w:val="00566895"/>
    <w:rsid w:val="00566EB6"/>
    <w:rsid w:val="00567464"/>
    <w:rsid w:val="005675C5"/>
    <w:rsid w:val="0056783D"/>
    <w:rsid w:val="005700B3"/>
    <w:rsid w:val="00570BB8"/>
    <w:rsid w:val="005713AD"/>
    <w:rsid w:val="00571665"/>
    <w:rsid w:val="00571A94"/>
    <w:rsid w:val="005736FE"/>
    <w:rsid w:val="00574AFF"/>
    <w:rsid w:val="00576246"/>
    <w:rsid w:val="00576892"/>
    <w:rsid w:val="00576D4A"/>
    <w:rsid w:val="00576FCC"/>
    <w:rsid w:val="005770BF"/>
    <w:rsid w:val="0058019C"/>
    <w:rsid w:val="0058042A"/>
    <w:rsid w:val="005846F6"/>
    <w:rsid w:val="00584846"/>
    <w:rsid w:val="00584DC6"/>
    <w:rsid w:val="005855A7"/>
    <w:rsid w:val="00587E39"/>
    <w:rsid w:val="0059054D"/>
    <w:rsid w:val="00591AC6"/>
    <w:rsid w:val="005925BB"/>
    <w:rsid w:val="00593351"/>
    <w:rsid w:val="00593AF7"/>
    <w:rsid w:val="005946B9"/>
    <w:rsid w:val="005948E8"/>
    <w:rsid w:val="00594C44"/>
    <w:rsid w:val="00595B0D"/>
    <w:rsid w:val="0059646D"/>
    <w:rsid w:val="00597353"/>
    <w:rsid w:val="00597747"/>
    <w:rsid w:val="005A23CC"/>
    <w:rsid w:val="005A2642"/>
    <w:rsid w:val="005A29C4"/>
    <w:rsid w:val="005A2F38"/>
    <w:rsid w:val="005A5745"/>
    <w:rsid w:val="005A655A"/>
    <w:rsid w:val="005A65E6"/>
    <w:rsid w:val="005A6986"/>
    <w:rsid w:val="005A7E55"/>
    <w:rsid w:val="005B091B"/>
    <w:rsid w:val="005B0A64"/>
    <w:rsid w:val="005B126F"/>
    <w:rsid w:val="005B3823"/>
    <w:rsid w:val="005B3D95"/>
    <w:rsid w:val="005B42B1"/>
    <w:rsid w:val="005B6398"/>
    <w:rsid w:val="005B7A51"/>
    <w:rsid w:val="005B7B2B"/>
    <w:rsid w:val="005C00CC"/>
    <w:rsid w:val="005C0218"/>
    <w:rsid w:val="005C23BB"/>
    <w:rsid w:val="005C3340"/>
    <w:rsid w:val="005C33DB"/>
    <w:rsid w:val="005C44CB"/>
    <w:rsid w:val="005C508E"/>
    <w:rsid w:val="005C5730"/>
    <w:rsid w:val="005C6417"/>
    <w:rsid w:val="005C6875"/>
    <w:rsid w:val="005C6BAB"/>
    <w:rsid w:val="005D00DA"/>
    <w:rsid w:val="005D0532"/>
    <w:rsid w:val="005D05FE"/>
    <w:rsid w:val="005D07C0"/>
    <w:rsid w:val="005D0931"/>
    <w:rsid w:val="005D0C66"/>
    <w:rsid w:val="005D19B1"/>
    <w:rsid w:val="005D3A52"/>
    <w:rsid w:val="005D3F54"/>
    <w:rsid w:val="005D5580"/>
    <w:rsid w:val="005D71A4"/>
    <w:rsid w:val="005D797C"/>
    <w:rsid w:val="005E03FD"/>
    <w:rsid w:val="005E0843"/>
    <w:rsid w:val="005E0929"/>
    <w:rsid w:val="005E16A6"/>
    <w:rsid w:val="005E1D01"/>
    <w:rsid w:val="005E2537"/>
    <w:rsid w:val="005E2EE7"/>
    <w:rsid w:val="005E57B7"/>
    <w:rsid w:val="005E5C06"/>
    <w:rsid w:val="005E5F25"/>
    <w:rsid w:val="005E6FB9"/>
    <w:rsid w:val="005E74E9"/>
    <w:rsid w:val="005F1387"/>
    <w:rsid w:val="005F316A"/>
    <w:rsid w:val="005F392F"/>
    <w:rsid w:val="005F3E8D"/>
    <w:rsid w:val="005F5A0B"/>
    <w:rsid w:val="005F73F8"/>
    <w:rsid w:val="005F7AF4"/>
    <w:rsid w:val="005F7DF4"/>
    <w:rsid w:val="006005AF"/>
    <w:rsid w:val="0060129D"/>
    <w:rsid w:val="00603334"/>
    <w:rsid w:val="00603E0C"/>
    <w:rsid w:val="00604233"/>
    <w:rsid w:val="00604ED7"/>
    <w:rsid w:val="006055BF"/>
    <w:rsid w:val="006059A8"/>
    <w:rsid w:val="00605BD3"/>
    <w:rsid w:val="0060609A"/>
    <w:rsid w:val="006101D9"/>
    <w:rsid w:val="006104FE"/>
    <w:rsid w:val="00610888"/>
    <w:rsid w:val="00610E0C"/>
    <w:rsid w:val="006116A6"/>
    <w:rsid w:val="00612473"/>
    <w:rsid w:val="00612652"/>
    <w:rsid w:val="006134F5"/>
    <w:rsid w:val="00613AC0"/>
    <w:rsid w:val="006143D7"/>
    <w:rsid w:val="00615365"/>
    <w:rsid w:val="00615A1A"/>
    <w:rsid w:val="00615B85"/>
    <w:rsid w:val="006164BD"/>
    <w:rsid w:val="0061685B"/>
    <w:rsid w:val="00616B54"/>
    <w:rsid w:val="00616D29"/>
    <w:rsid w:val="00616D2F"/>
    <w:rsid w:val="006176B0"/>
    <w:rsid w:val="00617BE4"/>
    <w:rsid w:val="00620D81"/>
    <w:rsid w:val="00620DDC"/>
    <w:rsid w:val="00621192"/>
    <w:rsid w:val="00621DD8"/>
    <w:rsid w:val="00622BA8"/>
    <w:rsid w:val="006234D0"/>
    <w:rsid w:val="00623545"/>
    <w:rsid w:val="00623997"/>
    <w:rsid w:val="006247B1"/>
    <w:rsid w:val="00624EBA"/>
    <w:rsid w:val="00626BB2"/>
    <w:rsid w:val="0062761A"/>
    <w:rsid w:val="00630760"/>
    <w:rsid w:val="00630BF9"/>
    <w:rsid w:val="00632378"/>
    <w:rsid w:val="00632790"/>
    <w:rsid w:val="00632978"/>
    <w:rsid w:val="006331D4"/>
    <w:rsid w:val="006337DE"/>
    <w:rsid w:val="0063439B"/>
    <w:rsid w:val="0063462F"/>
    <w:rsid w:val="006348CF"/>
    <w:rsid w:val="0063541B"/>
    <w:rsid w:val="00636CB2"/>
    <w:rsid w:val="0063714D"/>
    <w:rsid w:val="00637267"/>
    <w:rsid w:val="006375D5"/>
    <w:rsid w:val="00640000"/>
    <w:rsid w:val="0064072A"/>
    <w:rsid w:val="0064170A"/>
    <w:rsid w:val="006417CE"/>
    <w:rsid w:val="006422C6"/>
    <w:rsid w:val="00642E7F"/>
    <w:rsid w:val="00643BFC"/>
    <w:rsid w:val="00643E20"/>
    <w:rsid w:val="0064428D"/>
    <w:rsid w:val="00644D45"/>
    <w:rsid w:val="0064568C"/>
    <w:rsid w:val="00646957"/>
    <w:rsid w:val="006469A4"/>
    <w:rsid w:val="0064705E"/>
    <w:rsid w:val="006501BE"/>
    <w:rsid w:val="006505C6"/>
    <w:rsid w:val="0065090F"/>
    <w:rsid w:val="00650D7B"/>
    <w:rsid w:val="00651A76"/>
    <w:rsid w:val="00652FEC"/>
    <w:rsid w:val="0065393B"/>
    <w:rsid w:val="006545DD"/>
    <w:rsid w:val="00654DC5"/>
    <w:rsid w:val="00655677"/>
    <w:rsid w:val="00655941"/>
    <w:rsid w:val="00656AB0"/>
    <w:rsid w:val="0065793C"/>
    <w:rsid w:val="00657EAA"/>
    <w:rsid w:val="0066082F"/>
    <w:rsid w:val="006608AE"/>
    <w:rsid w:val="00660A16"/>
    <w:rsid w:val="00662263"/>
    <w:rsid w:val="006628BD"/>
    <w:rsid w:val="00663C35"/>
    <w:rsid w:val="00664424"/>
    <w:rsid w:val="006651AE"/>
    <w:rsid w:val="00665366"/>
    <w:rsid w:val="0066575A"/>
    <w:rsid w:val="0066651C"/>
    <w:rsid w:val="00667345"/>
    <w:rsid w:val="0066764F"/>
    <w:rsid w:val="006702C9"/>
    <w:rsid w:val="00670B89"/>
    <w:rsid w:val="00671474"/>
    <w:rsid w:val="006714A9"/>
    <w:rsid w:val="00671778"/>
    <w:rsid w:val="00671796"/>
    <w:rsid w:val="00671BBF"/>
    <w:rsid w:val="00671DFD"/>
    <w:rsid w:val="0067200B"/>
    <w:rsid w:val="00672B90"/>
    <w:rsid w:val="00672C9C"/>
    <w:rsid w:val="00673929"/>
    <w:rsid w:val="006747FE"/>
    <w:rsid w:val="00676107"/>
    <w:rsid w:val="00677EE3"/>
    <w:rsid w:val="006807FE"/>
    <w:rsid w:val="006821DB"/>
    <w:rsid w:val="0068263F"/>
    <w:rsid w:val="006844D8"/>
    <w:rsid w:val="00685E4B"/>
    <w:rsid w:val="0068607D"/>
    <w:rsid w:val="006860F1"/>
    <w:rsid w:val="0068722F"/>
    <w:rsid w:val="00690A9E"/>
    <w:rsid w:val="00691F58"/>
    <w:rsid w:val="0069222F"/>
    <w:rsid w:val="00692275"/>
    <w:rsid w:val="006934B5"/>
    <w:rsid w:val="00693CC5"/>
    <w:rsid w:val="00694E02"/>
    <w:rsid w:val="0069548A"/>
    <w:rsid w:val="00696626"/>
    <w:rsid w:val="00696D38"/>
    <w:rsid w:val="0069798D"/>
    <w:rsid w:val="00697B44"/>
    <w:rsid w:val="006A1876"/>
    <w:rsid w:val="006A1C89"/>
    <w:rsid w:val="006A1E4D"/>
    <w:rsid w:val="006A2265"/>
    <w:rsid w:val="006A276C"/>
    <w:rsid w:val="006A30FD"/>
    <w:rsid w:val="006A402C"/>
    <w:rsid w:val="006A46CD"/>
    <w:rsid w:val="006A4B35"/>
    <w:rsid w:val="006A4D2B"/>
    <w:rsid w:val="006A5506"/>
    <w:rsid w:val="006A5C89"/>
    <w:rsid w:val="006A5E18"/>
    <w:rsid w:val="006A64C5"/>
    <w:rsid w:val="006A671A"/>
    <w:rsid w:val="006A7027"/>
    <w:rsid w:val="006B0B32"/>
    <w:rsid w:val="006B0B56"/>
    <w:rsid w:val="006B1AE9"/>
    <w:rsid w:val="006B1AEB"/>
    <w:rsid w:val="006B1CBA"/>
    <w:rsid w:val="006B32D8"/>
    <w:rsid w:val="006B32F8"/>
    <w:rsid w:val="006B3B99"/>
    <w:rsid w:val="006B4130"/>
    <w:rsid w:val="006B514F"/>
    <w:rsid w:val="006B5616"/>
    <w:rsid w:val="006B6387"/>
    <w:rsid w:val="006B7377"/>
    <w:rsid w:val="006C0196"/>
    <w:rsid w:val="006C0815"/>
    <w:rsid w:val="006C0A86"/>
    <w:rsid w:val="006C1862"/>
    <w:rsid w:val="006C2547"/>
    <w:rsid w:val="006C35D6"/>
    <w:rsid w:val="006C39FF"/>
    <w:rsid w:val="006C3D8C"/>
    <w:rsid w:val="006C58E2"/>
    <w:rsid w:val="006C5BBE"/>
    <w:rsid w:val="006C5FD2"/>
    <w:rsid w:val="006C74DF"/>
    <w:rsid w:val="006D0681"/>
    <w:rsid w:val="006D0BC2"/>
    <w:rsid w:val="006D18E4"/>
    <w:rsid w:val="006D3C3F"/>
    <w:rsid w:val="006D4CD0"/>
    <w:rsid w:val="006D5C9E"/>
    <w:rsid w:val="006D5F32"/>
    <w:rsid w:val="006D6A6A"/>
    <w:rsid w:val="006D6F63"/>
    <w:rsid w:val="006D71F3"/>
    <w:rsid w:val="006D75E8"/>
    <w:rsid w:val="006E0712"/>
    <w:rsid w:val="006E0803"/>
    <w:rsid w:val="006E08E3"/>
    <w:rsid w:val="006E191F"/>
    <w:rsid w:val="006E1FE7"/>
    <w:rsid w:val="006E23C6"/>
    <w:rsid w:val="006E2DE3"/>
    <w:rsid w:val="006E5C2B"/>
    <w:rsid w:val="006E7899"/>
    <w:rsid w:val="006F04E2"/>
    <w:rsid w:val="006F0642"/>
    <w:rsid w:val="006F1647"/>
    <w:rsid w:val="006F1CBF"/>
    <w:rsid w:val="006F2221"/>
    <w:rsid w:val="006F236F"/>
    <w:rsid w:val="006F26D3"/>
    <w:rsid w:val="006F27D4"/>
    <w:rsid w:val="006F3606"/>
    <w:rsid w:val="006F5126"/>
    <w:rsid w:val="006F5D26"/>
    <w:rsid w:val="006F62FB"/>
    <w:rsid w:val="006F7150"/>
    <w:rsid w:val="006F77D2"/>
    <w:rsid w:val="0070084A"/>
    <w:rsid w:val="007015CA"/>
    <w:rsid w:val="00701FCF"/>
    <w:rsid w:val="00702153"/>
    <w:rsid w:val="00703003"/>
    <w:rsid w:val="0070361C"/>
    <w:rsid w:val="007039D9"/>
    <w:rsid w:val="00704288"/>
    <w:rsid w:val="00705139"/>
    <w:rsid w:val="0070555C"/>
    <w:rsid w:val="007059DF"/>
    <w:rsid w:val="007062D2"/>
    <w:rsid w:val="00706A69"/>
    <w:rsid w:val="00707615"/>
    <w:rsid w:val="00707D58"/>
    <w:rsid w:val="00710396"/>
    <w:rsid w:val="00711547"/>
    <w:rsid w:val="007122C9"/>
    <w:rsid w:val="0071236E"/>
    <w:rsid w:val="00713F29"/>
    <w:rsid w:val="00714300"/>
    <w:rsid w:val="00714617"/>
    <w:rsid w:val="0071501B"/>
    <w:rsid w:val="007170D3"/>
    <w:rsid w:val="00717681"/>
    <w:rsid w:val="00717B54"/>
    <w:rsid w:val="00717E2E"/>
    <w:rsid w:val="0072053D"/>
    <w:rsid w:val="00720AE7"/>
    <w:rsid w:val="0072184D"/>
    <w:rsid w:val="007234C3"/>
    <w:rsid w:val="0072403B"/>
    <w:rsid w:val="007267D4"/>
    <w:rsid w:val="00726D08"/>
    <w:rsid w:val="00727AC1"/>
    <w:rsid w:val="00727E3F"/>
    <w:rsid w:val="007312ED"/>
    <w:rsid w:val="0073187E"/>
    <w:rsid w:val="007318C0"/>
    <w:rsid w:val="00735194"/>
    <w:rsid w:val="00735EB8"/>
    <w:rsid w:val="00735F4F"/>
    <w:rsid w:val="00736176"/>
    <w:rsid w:val="00736711"/>
    <w:rsid w:val="00736FBA"/>
    <w:rsid w:val="007409B4"/>
    <w:rsid w:val="00740C71"/>
    <w:rsid w:val="00740C8B"/>
    <w:rsid w:val="00740FDC"/>
    <w:rsid w:val="00741951"/>
    <w:rsid w:val="00741C87"/>
    <w:rsid w:val="00741E8F"/>
    <w:rsid w:val="00741F68"/>
    <w:rsid w:val="00743479"/>
    <w:rsid w:val="00743E4F"/>
    <w:rsid w:val="0074488D"/>
    <w:rsid w:val="0074570E"/>
    <w:rsid w:val="00745DAD"/>
    <w:rsid w:val="0074602B"/>
    <w:rsid w:val="00746385"/>
    <w:rsid w:val="00746D57"/>
    <w:rsid w:val="00747529"/>
    <w:rsid w:val="00750952"/>
    <w:rsid w:val="0075234E"/>
    <w:rsid w:val="00752B6F"/>
    <w:rsid w:val="00753C18"/>
    <w:rsid w:val="00756D28"/>
    <w:rsid w:val="00756F51"/>
    <w:rsid w:val="007613A1"/>
    <w:rsid w:val="007613E7"/>
    <w:rsid w:val="00761CAA"/>
    <w:rsid w:val="00762E3A"/>
    <w:rsid w:val="00764395"/>
    <w:rsid w:val="007643EF"/>
    <w:rsid w:val="0076578C"/>
    <w:rsid w:val="00766008"/>
    <w:rsid w:val="0076606E"/>
    <w:rsid w:val="007665E0"/>
    <w:rsid w:val="007666DE"/>
    <w:rsid w:val="00766FDE"/>
    <w:rsid w:val="00767A03"/>
    <w:rsid w:val="00767F5D"/>
    <w:rsid w:val="00771AA7"/>
    <w:rsid w:val="007730EA"/>
    <w:rsid w:val="007737E9"/>
    <w:rsid w:val="00773872"/>
    <w:rsid w:val="00773D1D"/>
    <w:rsid w:val="00773DEE"/>
    <w:rsid w:val="00774248"/>
    <w:rsid w:val="00774BCF"/>
    <w:rsid w:val="0077558B"/>
    <w:rsid w:val="007757D2"/>
    <w:rsid w:val="00775B87"/>
    <w:rsid w:val="007766CF"/>
    <w:rsid w:val="00776DAA"/>
    <w:rsid w:val="0078296B"/>
    <w:rsid w:val="00782A75"/>
    <w:rsid w:val="007830AB"/>
    <w:rsid w:val="00783457"/>
    <w:rsid w:val="0078393C"/>
    <w:rsid w:val="00783EB8"/>
    <w:rsid w:val="00783EC6"/>
    <w:rsid w:val="00784920"/>
    <w:rsid w:val="00785A4C"/>
    <w:rsid w:val="00786CF9"/>
    <w:rsid w:val="0078795A"/>
    <w:rsid w:val="007879CC"/>
    <w:rsid w:val="00790096"/>
    <w:rsid w:val="007908C5"/>
    <w:rsid w:val="007908C9"/>
    <w:rsid w:val="00790E3F"/>
    <w:rsid w:val="00791484"/>
    <w:rsid w:val="00792D73"/>
    <w:rsid w:val="00793079"/>
    <w:rsid w:val="00793530"/>
    <w:rsid w:val="00793701"/>
    <w:rsid w:val="007937B3"/>
    <w:rsid w:val="0079406D"/>
    <w:rsid w:val="007944BC"/>
    <w:rsid w:val="00795FBE"/>
    <w:rsid w:val="007A009C"/>
    <w:rsid w:val="007A061F"/>
    <w:rsid w:val="007A1BEB"/>
    <w:rsid w:val="007A1C9E"/>
    <w:rsid w:val="007A2591"/>
    <w:rsid w:val="007A32A1"/>
    <w:rsid w:val="007A4B52"/>
    <w:rsid w:val="007A50CB"/>
    <w:rsid w:val="007A5D36"/>
    <w:rsid w:val="007A65D0"/>
    <w:rsid w:val="007A67A3"/>
    <w:rsid w:val="007A68A1"/>
    <w:rsid w:val="007A77F8"/>
    <w:rsid w:val="007B0800"/>
    <w:rsid w:val="007B1704"/>
    <w:rsid w:val="007B1E9D"/>
    <w:rsid w:val="007B33BA"/>
    <w:rsid w:val="007B3B7B"/>
    <w:rsid w:val="007B538B"/>
    <w:rsid w:val="007B5556"/>
    <w:rsid w:val="007B56C8"/>
    <w:rsid w:val="007B6152"/>
    <w:rsid w:val="007B66E2"/>
    <w:rsid w:val="007B7435"/>
    <w:rsid w:val="007B78D7"/>
    <w:rsid w:val="007C088A"/>
    <w:rsid w:val="007C0B67"/>
    <w:rsid w:val="007C1AE7"/>
    <w:rsid w:val="007C1BB5"/>
    <w:rsid w:val="007C2FE9"/>
    <w:rsid w:val="007C46A3"/>
    <w:rsid w:val="007C4901"/>
    <w:rsid w:val="007C5897"/>
    <w:rsid w:val="007C6616"/>
    <w:rsid w:val="007C6C91"/>
    <w:rsid w:val="007C6EF1"/>
    <w:rsid w:val="007C7B9D"/>
    <w:rsid w:val="007C7E27"/>
    <w:rsid w:val="007D1265"/>
    <w:rsid w:val="007D1328"/>
    <w:rsid w:val="007D16B8"/>
    <w:rsid w:val="007D2815"/>
    <w:rsid w:val="007D4A63"/>
    <w:rsid w:val="007D4CC8"/>
    <w:rsid w:val="007D5DEF"/>
    <w:rsid w:val="007D608B"/>
    <w:rsid w:val="007D63ED"/>
    <w:rsid w:val="007D63F6"/>
    <w:rsid w:val="007D663D"/>
    <w:rsid w:val="007D6750"/>
    <w:rsid w:val="007E015B"/>
    <w:rsid w:val="007E0496"/>
    <w:rsid w:val="007E0E9D"/>
    <w:rsid w:val="007E16BC"/>
    <w:rsid w:val="007E1925"/>
    <w:rsid w:val="007E1B6B"/>
    <w:rsid w:val="007E1C6B"/>
    <w:rsid w:val="007E24B6"/>
    <w:rsid w:val="007E2AA2"/>
    <w:rsid w:val="007E4A9C"/>
    <w:rsid w:val="007E52CD"/>
    <w:rsid w:val="007E56E3"/>
    <w:rsid w:val="007E602B"/>
    <w:rsid w:val="007E63FD"/>
    <w:rsid w:val="007E6BB2"/>
    <w:rsid w:val="007E6C11"/>
    <w:rsid w:val="007E7388"/>
    <w:rsid w:val="007F0557"/>
    <w:rsid w:val="007F2DE0"/>
    <w:rsid w:val="007F3407"/>
    <w:rsid w:val="007F4C71"/>
    <w:rsid w:val="007F4E7A"/>
    <w:rsid w:val="00802234"/>
    <w:rsid w:val="00802290"/>
    <w:rsid w:val="0080237E"/>
    <w:rsid w:val="0080352B"/>
    <w:rsid w:val="00803E88"/>
    <w:rsid w:val="008052C7"/>
    <w:rsid w:val="00805E82"/>
    <w:rsid w:val="008101F0"/>
    <w:rsid w:val="0081063A"/>
    <w:rsid w:val="00810B73"/>
    <w:rsid w:val="00810E6A"/>
    <w:rsid w:val="00812754"/>
    <w:rsid w:val="00813AC9"/>
    <w:rsid w:val="00814929"/>
    <w:rsid w:val="00814BC9"/>
    <w:rsid w:val="0081707B"/>
    <w:rsid w:val="0081768A"/>
    <w:rsid w:val="00817DE4"/>
    <w:rsid w:val="008216FB"/>
    <w:rsid w:val="008227D4"/>
    <w:rsid w:val="00822F5F"/>
    <w:rsid w:val="00823310"/>
    <w:rsid w:val="00823D15"/>
    <w:rsid w:val="008245D8"/>
    <w:rsid w:val="008248EA"/>
    <w:rsid w:val="00824D07"/>
    <w:rsid w:val="00825DD3"/>
    <w:rsid w:val="008264FA"/>
    <w:rsid w:val="00826C23"/>
    <w:rsid w:val="00826E14"/>
    <w:rsid w:val="008303C1"/>
    <w:rsid w:val="008303F2"/>
    <w:rsid w:val="00831B97"/>
    <w:rsid w:val="00831FE0"/>
    <w:rsid w:val="00832250"/>
    <w:rsid w:val="00832E35"/>
    <w:rsid w:val="008332C9"/>
    <w:rsid w:val="00833ECB"/>
    <w:rsid w:val="00834584"/>
    <w:rsid w:val="00834A8D"/>
    <w:rsid w:val="008352B9"/>
    <w:rsid w:val="00835C40"/>
    <w:rsid w:val="00836216"/>
    <w:rsid w:val="008375E6"/>
    <w:rsid w:val="0084003A"/>
    <w:rsid w:val="00840080"/>
    <w:rsid w:val="00840BDC"/>
    <w:rsid w:val="0084144F"/>
    <w:rsid w:val="00841C1A"/>
    <w:rsid w:val="0084311C"/>
    <w:rsid w:val="00844A80"/>
    <w:rsid w:val="00845016"/>
    <w:rsid w:val="00845262"/>
    <w:rsid w:val="00845CD0"/>
    <w:rsid w:val="008502E2"/>
    <w:rsid w:val="008513AF"/>
    <w:rsid w:val="00851529"/>
    <w:rsid w:val="008515B4"/>
    <w:rsid w:val="008515B6"/>
    <w:rsid w:val="008515DA"/>
    <w:rsid w:val="00853438"/>
    <w:rsid w:val="008536D3"/>
    <w:rsid w:val="00853DCF"/>
    <w:rsid w:val="00854116"/>
    <w:rsid w:val="008547DB"/>
    <w:rsid w:val="0085492C"/>
    <w:rsid w:val="00854DDA"/>
    <w:rsid w:val="00854E05"/>
    <w:rsid w:val="00855F03"/>
    <w:rsid w:val="00856867"/>
    <w:rsid w:val="00856F7D"/>
    <w:rsid w:val="00861923"/>
    <w:rsid w:val="0086232B"/>
    <w:rsid w:val="00862505"/>
    <w:rsid w:val="00862C0A"/>
    <w:rsid w:val="00862F28"/>
    <w:rsid w:val="008633A2"/>
    <w:rsid w:val="008637DE"/>
    <w:rsid w:val="0086493C"/>
    <w:rsid w:val="00865249"/>
    <w:rsid w:val="008658E4"/>
    <w:rsid w:val="00865E32"/>
    <w:rsid w:val="0086638F"/>
    <w:rsid w:val="008665CB"/>
    <w:rsid w:val="008667DF"/>
    <w:rsid w:val="00867840"/>
    <w:rsid w:val="00870B26"/>
    <w:rsid w:val="00872A6B"/>
    <w:rsid w:val="00872BD2"/>
    <w:rsid w:val="00874291"/>
    <w:rsid w:val="008743DF"/>
    <w:rsid w:val="00874C05"/>
    <w:rsid w:val="00874E01"/>
    <w:rsid w:val="00874ECF"/>
    <w:rsid w:val="008758AE"/>
    <w:rsid w:val="00875BE1"/>
    <w:rsid w:val="00876875"/>
    <w:rsid w:val="00876AD1"/>
    <w:rsid w:val="008775E2"/>
    <w:rsid w:val="00877DE4"/>
    <w:rsid w:val="00880915"/>
    <w:rsid w:val="00881116"/>
    <w:rsid w:val="008811CB"/>
    <w:rsid w:val="008813B0"/>
    <w:rsid w:val="00881663"/>
    <w:rsid w:val="00881EDF"/>
    <w:rsid w:val="00881FE4"/>
    <w:rsid w:val="008822D6"/>
    <w:rsid w:val="00882492"/>
    <w:rsid w:val="00882A26"/>
    <w:rsid w:val="00883033"/>
    <w:rsid w:val="00883444"/>
    <w:rsid w:val="0088458A"/>
    <w:rsid w:val="00884979"/>
    <w:rsid w:val="008858EC"/>
    <w:rsid w:val="0088597D"/>
    <w:rsid w:val="00886F38"/>
    <w:rsid w:val="00887095"/>
    <w:rsid w:val="0088720C"/>
    <w:rsid w:val="00887A45"/>
    <w:rsid w:val="0089040C"/>
    <w:rsid w:val="00890F30"/>
    <w:rsid w:val="008912FE"/>
    <w:rsid w:val="00891CB6"/>
    <w:rsid w:val="00893EC6"/>
    <w:rsid w:val="008952EF"/>
    <w:rsid w:val="00896142"/>
    <w:rsid w:val="00896352"/>
    <w:rsid w:val="00897497"/>
    <w:rsid w:val="0089767D"/>
    <w:rsid w:val="00897A43"/>
    <w:rsid w:val="008A08D3"/>
    <w:rsid w:val="008A0FC0"/>
    <w:rsid w:val="008A16C1"/>
    <w:rsid w:val="008A2443"/>
    <w:rsid w:val="008A265D"/>
    <w:rsid w:val="008A28F1"/>
    <w:rsid w:val="008A32D2"/>
    <w:rsid w:val="008A5D8A"/>
    <w:rsid w:val="008A5E29"/>
    <w:rsid w:val="008A6B9E"/>
    <w:rsid w:val="008A79D3"/>
    <w:rsid w:val="008A7DB4"/>
    <w:rsid w:val="008B0D8F"/>
    <w:rsid w:val="008B11E4"/>
    <w:rsid w:val="008B18F2"/>
    <w:rsid w:val="008B1C8C"/>
    <w:rsid w:val="008B2703"/>
    <w:rsid w:val="008B3391"/>
    <w:rsid w:val="008B3CFB"/>
    <w:rsid w:val="008B5952"/>
    <w:rsid w:val="008B6761"/>
    <w:rsid w:val="008B6A77"/>
    <w:rsid w:val="008B746F"/>
    <w:rsid w:val="008B79E7"/>
    <w:rsid w:val="008C248C"/>
    <w:rsid w:val="008C365B"/>
    <w:rsid w:val="008C57CA"/>
    <w:rsid w:val="008C5E3C"/>
    <w:rsid w:val="008C6061"/>
    <w:rsid w:val="008C6D07"/>
    <w:rsid w:val="008C77CD"/>
    <w:rsid w:val="008D1CCE"/>
    <w:rsid w:val="008D25CD"/>
    <w:rsid w:val="008D28EA"/>
    <w:rsid w:val="008D3059"/>
    <w:rsid w:val="008D3281"/>
    <w:rsid w:val="008D3323"/>
    <w:rsid w:val="008D344C"/>
    <w:rsid w:val="008D3658"/>
    <w:rsid w:val="008D392C"/>
    <w:rsid w:val="008D4538"/>
    <w:rsid w:val="008D4C3D"/>
    <w:rsid w:val="008D6210"/>
    <w:rsid w:val="008D7626"/>
    <w:rsid w:val="008D7747"/>
    <w:rsid w:val="008D79C0"/>
    <w:rsid w:val="008D79F1"/>
    <w:rsid w:val="008D7A77"/>
    <w:rsid w:val="008D7DD2"/>
    <w:rsid w:val="008E0D3B"/>
    <w:rsid w:val="008E1EBD"/>
    <w:rsid w:val="008E23A9"/>
    <w:rsid w:val="008E3403"/>
    <w:rsid w:val="008E38F2"/>
    <w:rsid w:val="008E45F1"/>
    <w:rsid w:val="008E5683"/>
    <w:rsid w:val="008E6279"/>
    <w:rsid w:val="008E738A"/>
    <w:rsid w:val="008E77D0"/>
    <w:rsid w:val="008F05C4"/>
    <w:rsid w:val="008F0B6C"/>
    <w:rsid w:val="008F13EC"/>
    <w:rsid w:val="008F3C4D"/>
    <w:rsid w:val="008F56F4"/>
    <w:rsid w:val="008F5831"/>
    <w:rsid w:val="008F7808"/>
    <w:rsid w:val="008F78DC"/>
    <w:rsid w:val="008F79CB"/>
    <w:rsid w:val="00900952"/>
    <w:rsid w:val="009010D2"/>
    <w:rsid w:val="00901524"/>
    <w:rsid w:val="00902659"/>
    <w:rsid w:val="00903B19"/>
    <w:rsid w:val="00904481"/>
    <w:rsid w:val="00904BA6"/>
    <w:rsid w:val="00905305"/>
    <w:rsid w:val="00905D8E"/>
    <w:rsid w:val="009070B4"/>
    <w:rsid w:val="009078AF"/>
    <w:rsid w:val="00910561"/>
    <w:rsid w:val="009107B6"/>
    <w:rsid w:val="00912373"/>
    <w:rsid w:val="009134F0"/>
    <w:rsid w:val="00913709"/>
    <w:rsid w:val="00914705"/>
    <w:rsid w:val="00914DD8"/>
    <w:rsid w:val="00916AA4"/>
    <w:rsid w:val="00916BAD"/>
    <w:rsid w:val="00916C19"/>
    <w:rsid w:val="0091773A"/>
    <w:rsid w:val="00921CCF"/>
    <w:rsid w:val="009235EF"/>
    <w:rsid w:val="00923CA6"/>
    <w:rsid w:val="00923CC1"/>
    <w:rsid w:val="00924089"/>
    <w:rsid w:val="009244DA"/>
    <w:rsid w:val="00924973"/>
    <w:rsid w:val="009249BD"/>
    <w:rsid w:val="00924C5F"/>
    <w:rsid w:val="009277C7"/>
    <w:rsid w:val="009311E3"/>
    <w:rsid w:val="00931C5A"/>
    <w:rsid w:val="0093266A"/>
    <w:rsid w:val="0093282D"/>
    <w:rsid w:val="009332DF"/>
    <w:rsid w:val="0093361E"/>
    <w:rsid w:val="0093372D"/>
    <w:rsid w:val="00933B61"/>
    <w:rsid w:val="00933B87"/>
    <w:rsid w:val="00934D3C"/>
    <w:rsid w:val="009358B2"/>
    <w:rsid w:val="00935EBD"/>
    <w:rsid w:val="00935EE4"/>
    <w:rsid w:val="00935EEF"/>
    <w:rsid w:val="00940C92"/>
    <w:rsid w:val="009417A5"/>
    <w:rsid w:val="00942FA5"/>
    <w:rsid w:val="00944218"/>
    <w:rsid w:val="00944C9E"/>
    <w:rsid w:val="00944D87"/>
    <w:rsid w:val="00946F93"/>
    <w:rsid w:val="00947F30"/>
    <w:rsid w:val="00950518"/>
    <w:rsid w:val="009513E4"/>
    <w:rsid w:val="00951615"/>
    <w:rsid w:val="009518F7"/>
    <w:rsid w:val="00951DFC"/>
    <w:rsid w:val="009523C8"/>
    <w:rsid w:val="0095246A"/>
    <w:rsid w:val="00952C71"/>
    <w:rsid w:val="00952FAD"/>
    <w:rsid w:val="00953837"/>
    <w:rsid w:val="00953E57"/>
    <w:rsid w:val="009540E4"/>
    <w:rsid w:val="00955677"/>
    <w:rsid w:val="00955C5D"/>
    <w:rsid w:val="00957A90"/>
    <w:rsid w:val="00960503"/>
    <w:rsid w:val="009605FF"/>
    <w:rsid w:val="0096083B"/>
    <w:rsid w:val="0096130D"/>
    <w:rsid w:val="00961939"/>
    <w:rsid w:val="00962372"/>
    <w:rsid w:val="00964685"/>
    <w:rsid w:val="00965A7D"/>
    <w:rsid w:val="00965C85"/>
    <w:rsid w:val="0096714F"/>
    <w:rsid w:val="00970429"/>
    <w:rsid w:val="00970784"/>
    <w:rsid w:val="009711FA"/>
    <w:rsid w:val="00972ADE"/>
    <w:rsid w:val="00973926"/>
    <w:rsid w:val="00973DB5"/>
    <w:rsid w:val="00974A9D"/>
    <w:rsid w:val="00975DE9"/>
    <w:rsid w:val="009760DF"/>
    <w:rsid w:val="009762A1"/>
    <w:rsid w:val="00976583"/>
    <w:rsid w:val="00976CF0"/>
    <w:rsid w:val="009774D0"/>
    <w:rsid w:val="00977753"/>
    <w:rsid w:val="009810C6"/>
    <w:rsid w:val="009819B7"/>
    <w:rsid w:val="00981F3D"/>
    <w:rsid w:val="009828E0"/>
    <w:rsid w:val="00983D15"/>
    <w:rsid w:val="00984517"/>
    <w:rsid w:val="009849B1"/>
    <w:rsid w:val="00984A1C"/>
    <w:rsid w:val="009853A7"/>
    <w:rsid w:val="00985CFE"/>
    <w:rsid w:val="009865B7"/>
    <w:rsid w:val="0098663C"/>
    <w:rsid w:val="00990D60"/>
    <w:rsid w:val="00991452"/>
    <w:rsid w:val="00992138"/>
    <w:rsid w:val="009927F2"/>
    <w:rsid w:val="0099331F"/>
    <w:rsid w:val="0099356A"/>
    <w:rsid w:val="00994257"/>
    <w:rsid w:val="00994FB5"/>
    <w:rsid w:val="00995B6D"/>
    <w:rsid w:val="009966A2"/>
    <w:rsid w:val="0099717F"/>
    <w:rsid w:val="0099796E"/>
    <w:rsid w:val="00997D9E"/>
    <w:rsid w:val="009A2522"/>
    <w:rsid w:val="009A314F"/>
    <w:rsid w:val="009A466E"/>
    <w:rsid w:val="009A4C9D"/>
    <w:rsid w:val="009A54BB"/>
    <w:rsid w:val="009A5864"/>
    <w:rsid w:val="009A5D98"/>
    <w:rsid w:val="009A6CE5"/>
    <w:rsid w:val="009A6F3B"/>
    <w:rsid w:val="009A7891"/>
    <w:rsid w:val="009B062A"/>
    <w:rsid w:val="009B0AB5"/>
    <w:rsid w:val="009B0CD4"/>
    <w:rsid w:val="009B1262"/>
    <w:rsid w:val="009B2B83"/>
    <w:rsid w:val="009B323B"/>
    <w:rsid w:val="009B3E27"/>
    <w:rsid w:val="009B47B2"/>
    <w:rsid w:val="009B4C71"/>
    <w:rsid w:val="009B51D2"/>
    <w:rsid w:val="009B5603"/>
    <w:rsid w:val="009B619D"/>
    <w:rsid w:val="009B6A7D"/>
    <w:rsid w:val="009B7987"/>
    <w:rsid w:val="009C094B"/>
    <w:rsid w:val="009C0C6D"/>
    <w:rsid w:val="009C19E1"/>
    <w:rsid w:val="009C20E4"/>
    <w:rsid w:val="009C29B9"/>
    <w:rsid w:val="009C385D"/>
    <w:rsid w:val="009C3F77"/>
    <w:rsid w:val="009C5780"/>
    <w:rsid w:val="009C68CB"/>
    <w:rsid w:val="009C6CCE"/>
    <w:rsid w:val="009C6D88"/>
    <w:rsid w:val="009C74DB"/>
    <w:rsid w:val="009D02C7"/>
    <w:rsid w:val="009D04C6"/>
    <w:rsid w:val="009D1AE9"/>
    <w:rsid w:val="009D2E13"/>
    <w:rsid w:val="009D3283"/>
    <w:rsid w:val="009D335F"/>
    <w:rsid w:val="009D3634"/>
    <w:rsid w:val="009D4517"/>
    <w:rsid w:val="009D518D"/>
    <w:rsid w:val="009D697D"/>
    <w:rsid w:val="009D6D51"/>
    <w:rsid w:val="009E0079"/>
    <w:rsid w:val="009E00B5"/>
    <w:rsid w:val="009E023D"/>
    <w:rsid w:val="009E134C"/>
    <w:rsid w:val="009E1E48"/>
    <w:rsid w:val="009E22EE"/>
    <w:rsid w:val="009E2601"/>
    <w:rsid w:val="009E2F5F"/>
    <w:rsid w:val="009E449B"/>
    <w:rsid w:val="009E453D"/>
    <w:rsid w:val="009E7876"/>
    <w:rsid w:val="009E7CCB"/>
    <w:rsid w:val="009E7F9F"/>
    <w:rsid w:val="009F0DA8"/>
    <w:rsid w:val="009F0DFC"/>
    <w:rsid w:val="009F111A"/>
    <w:rsid w:val="009F336C"/>
    <w:rsid w:val="009F396B"/>
    <w:rsid w:val="009F39F1"/>
    <w:rsid w:val="009F4086"/>
    <w:rsid w:val="009F4D80"/>
    <w:rsid w:val="009F4F1D"/>
    <w:rsid w:val="009F4F86"/>
    <w:rsid w:val="009F524B"/>
    <w:rsid w:val="009F59D3"/>
    <w:rsid w:val="009F5E7B"/>
    <w:rsid w:val="009F6423"/>
    <w:rsid w:val="009F687D"/>
    <w:rsid w:val="009F719E"/>
    <w:rsid w:val="009F792A"/>
    <w:rsid w:val="00A0060F"/>
    <w:rsid w:val="00A02A6B"/>
    <w:rsid w:val="00A038BC"/>
    <w:rsid w:val="00A03B0E"/>
    <w:rsid w:val="00A04187"/>
    <w:rsid w:val="00A042E7"/>
    <w:rsid w:val="00A04CDF"/>
    <w:rsid w:val="00A0511A"/>
    <w:rsid w:val="00A062F0"/>
    <w:rsid w:val="00A06DA4"/>
    <w:rsid w:val="00A07421"/>
    <w:rsid w:val="00A0796F"/>
    <w:rsid w:val="00A07B27"/>
    <w:rsid w:val="00A10851"/>
    <w:rsid w:val="00A10C55"/>
    <w:rsid w:val="00A1261D"/>
    <w:rsid w:val="00A13212"/>
    <w:rsid w:val="00A13884"/>
    <w:rsid w:val="00A13B86"/>
    <w:rsid w:val="00A1438E"/>
    <w:rsid w:val="00A15706"/>
    <w:rsid w:val="00A159C8"/>
    <w:rsid w:val="00A166FF"/>
    <w:rsid w:val="00A16BC5"/>
    <w:rsid w:val="00A16E17"/>
    <w:rsid w:val="00A2058A"/>
    <w:rsid w:val="00A22AC3"/>
    <w:rsid w:val="00A2362F"/>
    <w:rsid w:val="00A23955"/>
    <w:rsid w:val="00A243A1"/>
    <w:rsid w:val="00A25492"/>
    <w:rsid w:val="00A255D8"/>
    <w:rsid w:val="00A268B1"/>
    <w:rsid w:val="00A26A47"/>
    <w:rsid w:val="00A278B5"/>
    <w:rsid w:val="00A27A6B"/>
    <w:rsid w:val="00A30A81"/>
    <w:rsid w:val="00A30BF5"/>
    <w:rsid w:val="00A30D33"/>
    <w:rsid w:val="00A3100A"/>
    <w:rsid w:val="00A31409"/>
    <w:rsid w:val="00A31D50"/>
    <w:rsid w:val="00A32032"/>
    <w:rsid w:val="00A323BF"/>
    <w:rsid w:val="00A33D37"/>
    <w:rsid w:val="00A34196"/>
    <w:rsid w:val="00A34646"/>
    <w:rsid w:val="00A3629E"/>
    <w:rsid w:val="00A363E3"/>
    <w:rsid w:val="00A36657"/>
    <w:rsid w:val="00A369C3"/>
    <w:rsid w:val="00A36CF4"/>
    <w:rsid w:val="00A376FC"/>
    <w:rsid w:val="00A4056F"/>
    <w:rsid w:val="00A41492"/>
    <w:rsid w:val="00A420AF"/>
    <w:rsid w:val="00A42142"/>
    <w:rsid w:val="00A43C24"/>
    <w:rsid w:val="00A43E3D"/>
    <w:rsid w:val="00A470FF"/>
    <w:rsid w:val="00A506AA"/>
    <w:rsid w:val="00A510EB"/>
    <w:rsid w:val="00A52F08"/>
    <w:rsid w:val="00A53835"/>
    <w:rsid w:val="00A5427F"/>
    <w:rsid w:val="00A564A7"/>
    <w:rsid w:val="00A5663C"/>
    <w:rsid w:val="00A575FE"/>
    <w:rsid w:val="00A57E1D"/>
    <w:rsid w:val="00A60E0C"/>
    <w:rsid w:val="00A62137"/>
    <w:rsid w:val="00A62A36"/>
    <w:rsid w:val="00A62CEC"/>
    <w:rsid w:val="00A62E89"/>
    <w:rsid w:val="00A63027"/>
    <w:rsid w:val="00A631AF"/>
    <w:rsid w:val="00A63392"/>
    <w:rsid w:val="00A64B29"/>
    <w:rsid w:val="00A64D8D"/>
    <w:rsid w:val="00A66AC2"/>
    <w:rsid w:val="00A66C78"/>
    <w:rsid w:val="00A67E4A"/>
    <w:rsid w:val="00A7006F"/>
    <w:rsid w:val="00A702BC"/>
    <w:rsid w:val="00A7157E"/>
    <w:rsid w:val="00A717D7"/>
    <w:rsid w:val="00A71AA1"/>
    <w:rsid w:val="00A7234A"/>
    <w:rsid w:val="00A725E8"/>
    <w:rsid w:val="00A72D2B"/>
    <w:rsid w:val="00A72F5B"/>
    <w:rsid w:val="00A73092"/>
    <w:rsid w:val="00A7334C"/>
    <w:rsid w:val="00A73C9E"/>
    <w:rsid w:val="00A7438E"/>
    <w:rsid w:val="00A74A41"/>
    <w:rsid w:val="00A753EA"/>
    <w:rsid w:val="00A75493"/>
    <w:rsid w:val="00A761CF"/>
    <w:rsid w:val="00A77186"/>
    <w:rsid w:val="00A805EE"/>
    <w:rsid w:val="00A8069C"/>
    <w:rsid w:val="00A81203"/>
    <w:rsid w:val="00A8138B"/>
    <w:rsid w:val="00A816AC"/>
    <w:rsid w:val="00A824AC"/>
    <w:rsid w:val="00A833E9"/>
    <w:rsid w:val="00A83589"/>
    <w:rsid w:val="00A8443E"/>
    <w:rsid w:val="00A84C13"/>
    <w:rsid w:val="00A8659F"/>
    <w:rsid w:val="00A87BFC"/>
    <w:rsid w:val="00A91F46"/>
    <w:rsid w:val="00A921B0"/>
    <w:rsid w:val="00A9316A"/>
    <w:rsid w:val="00A93A49"/>
    <w:rsid w:val="00A95686"/>
    <w:rsid w:val="00A957A5"/>
    <w:rsid w:val="00A95CC8"/>
    <w:rsid w:val="00A95E91"/>
    <w:rsid w:val="00A96FE0"/>
    <w:rsid w:val="00A971E8"/>
    <w:rsid w:val="00A97440"/>
    <w:rsid w:val="00A97442"/>
    <w:rsid w:val="00AA1622"/>
    <w:rsid w:val="00AA1CF6"/>
    <w:rsid w:val="00AA321A"/>
    <w:rsid w:val="00AA38F6"/>
    <w:rsid w:val="00AA5C71"/>
    <w:rsid w:val="00AA69B0"/>
    <w:rsid w:val="00AA7049"/>
    <w:rsid w:val="00AA778F"/>
    <w:rsid w:val="00AA785D"/>
    <w:rsid w:val="00AA7A8D"/>
    <w:rsid w:val="00AB0507"/>
    <w:rsid w:val="00AB1ABD"/>
    <w:rsid w:val="00AB1AE4"/>
    <w:rsid w:val="00AB1CC2"/>
    <w:rsid w:val="00AB21DE"/>
    <w:rsid w:val="00AB2331"/>
    <w:rsid w:val="00AB2A9C"/>
    <w:rsid w:val="00AB2EB2"/>
    <w:rsid w:val="00AB3A26"/>
    <w:rsid w:val="00AB4466"/>
    <w:rsid w:val="00AB75F2"/>
    <w:rsid w:val="00AC0FA2"/>
    <w:rsid w:val="00AC1C2D"/>
    <w:rsid w:val="00AC2050"/>
    <w:rsid w:val="00AC4F7E"/>
    <w:rsid w:val="00AC601E"/>
    <w:rsid w:val="00AC6ED2"/>
    <w:rsid w:val="00AC7448"/>
    <w:rsid w:val="00AD0B33"/>
    <w:rsid w:val="00AD1349"/>
    <w:rsid w:val="00AD1C87"/>
    <w:rsid w:val="00AD2DC0"/>
    <w:rsid w:val="00AD3931"/>
    <w:rsid w:val="00AD3CE2"/>
    <w:rsid w:val="00AD3EFC"/>
    <w:rsid w:val="00AD45D0"/>
    <w:rsid w:val="00AD4A78"/>
    <w:rsid w:val="00AD4DA4"/>
    <w:rsid w:val="00AD5A2D"/>
    <w:rsid w:val="00AD5ABA"/>
    <w:rsid w:val="00AD6080"/>
    <w:rsid w:val="00AD67DD"/>
    <w:rsid w:val="00AD7546"/>
    <w:rsid w:val="00AD7D29"/>
    <w:rsid w:val="00AE02B9"/>
    <w:rsid w:val="00AE0987"/>
    <w:rsid w:val="00AE24A6"/>
    <w:rsid w:val="00AE336C"/>
    <w:rsid w:val="00AE3A9B"/>
    <w:rsid w:val="00AE466D"/>
    <w:rsid w:val="00AE4F32"/>
    <w:rsid w:val="00AE6859"/>
    <w:rsid w:val="00AE75D5"/>
    <w:rsid w:val="00AE76CB"/>
    <w:rsid w:val="00AF00CB"/>
    <w:rsid w:val="00AF069B"/>
    <w:rsid w:val="00AF24BE"/>
    <w:rsid w:val="00AF29C6"/>
    <w:rsid w:val="00AF2E24"/>
    <w:rsid w:val="00AF30D9"/>
    <w:rsid w:val="00AF313D"/>
    <w:rsid w:val="00AF4220"/>
    <w:rsid w:val="00AF422D"/>
    <w:rsid w:val="00AF4630"/>
    <w:rsid w:val="00AF48D5"/>
    <w:rsid w:val="00AF49BE"/>
    <w:rsid w:val="00AF53F1"/>
    <w:rsid w:val="00AF6148"/>
    <w:rsid w:val="00AF675C"/>
    <w:rsid w:val="00AF6B11"/>
    <w:rsid w:val="00AF765F"/>
    <w:rsid w:val="00B003CF"/>
    <w:rsid w:val="00B004DA"/>
    <w:rsid w:val="00B0106F"/>
    <w:rsid w:val="00B01574"/>
    <w:rsid w:val="00B03442"/>
    <w:rsid w:val="00B042CB"/>
    <w:rsid w:val="00B04EBB"/>
    <w:rsid w:val="00B05CAC"/>
    <w:rsid w:val="00B07581"/>
    <w:rsid w:val="00B0759E"/>
    <w:rsid w:val="00B11187"/>
    <w:rsid w:val="00B11940"/>
    <w:rsid w:val="00B11AF5"/>
    <w:rsid w:val="00B1312B"/>
    <w:rsid w:val="00B133F2"/>
    <w:rsid w:val="00B14DF4"/>
    <w:rsid w:val="00B1740B"/>
    <w:rsid w:val="00B2146E"/>
    <w:rsid w:val="00B2176A"/>
    <w:rsid w:val="00B2184D"/>
    <w:rsid w:val="00B21FC8"/>
    <w:rsid w:val="00B24FDC"/>
    <w:rsid w:val="00B250E8"/>
    <w:rsid w:val="00B2547C"/>
    <w:rsid w:val="00B30C5E"/>
    <w:rsid w:val="00B30CC2"/>
    <w:rsid w:val="00B31ABF"/>
    <w:rsid w:val="00B3271C"/>
    <w:rsid w:val="00B34217"/>
    <w:rsid w:val="00B356F6"/>
    <w:rsid w:val="00B3575A"/>
    <w:rsid w:val="00B40052"/>
    <w:rsid w:val="00B405A0"/>
    <w:rsid w:val="00B41346"/>
    <w:rsid w:val="00B41805"/>
    <w:rsid w:val="00B419BC"/>
    <w:rsid w:val="00B41CA8"/>
    <w:rsid w:val="00B4329B"/>
    <w:rsid w:val="00B44091"/>
    <w:rsid w:val="00B45BE3"/>
    <w:rsid w:val="00B468D5"/>
    <w:rsid w:val="00B46C24"/>
    <w:rsid w:val="00B47285"/>
    <w:rsid w:val="00B47C99"/>
    <w:rsid w:val="00B47D72"/>
    <w:rsid w:val="00B503BF"/>
    <w:rsid w:val="00B5049A"/>
    <w:rsid w:val="00B516F8"/>
    <w:rsid w:val="00B517AD"/>
    <w:rsid w:val="00B520F1"/>
    <w:rsid w:val="00B55580"/>
    <w:rsid w:val="00B5561F"/>
    <w:rsid w:val="00B5605C"/>
    <w:rsid w:val="00B56068"/>
    <w:rsid w:val="00B610A5"/>
    <w:rsid w:val="00B6206E"/>
    <w:rsid w:val="00B62E47"/>
    <w:rsid w:val="00B62FE7"/>
    <w:rsid w:val="00B633E6"/>
    <w:rsid w:val="00B637FF"/>
    <w:rsid w:val="00B640FC"/>
    <w:rsid w:val="00B6437A"/>
    <w:rsid w:val="00B64A95"/>
    <w:rsid w:val="00B65027"/>
    <w:rsid w:val="00B65ADE"/>
    <w:rsid w:val="00B66FB1"/>
    <w:rsid w:val="00B672F3"/>
    <w:rsid w:val="00B67B32"/>
    <w:rsid w:val="00B703EA"/>
    <w:rsid w:val="00B705D2"/>
    <w:rsid w:val="00B70D87"/>
    <w:rsid w:val="00B73665"/>
    <w:rsid w:val="00B73C34"/>
    <w:rsid w:val="00B73EF4"/>
    <w:rsid w:val="00B744BD"/>
    <w:rsid w:val="00B748FE"/>
    <w:rsid w:val="00B756A9"/>
    <w:rsid w:val="00B76200"/>
    <w:rsid w:val="00B76659"/>
    <w:rsid w:val="00B76F62"/>
    <w:rsid w:val="00B773F7"/>
    <w:rsid w:val="00B777AA"/>
    <w:rsid w:val="00B801ED"/>
    <w:rsid w:val="00B806B8"/>
    <w:rsid w:val="00B80F95"/>
    <w:rsid w:val="00B810B1"/>
    <w:rsid w:val="00B811AB"/>
    <w:rsid w:val="00B81824"/>
    <w:rsid w:val="00B828ED"/>
    <w:rsid w:val="00B839CB"/>
    <w:rsid w:val="00B84A76"/>
    <w:rsid w:val="00B84B78"/>
    <w:rsid w:val="00B84F57"/>
    <w:rsid w:val="00B86491"/>
    <w:rsid w:val="00B86830"/>
    <w:rsid w:val="00B9041F"/>
    <w:rsid w:val="00B908B8"/>
    <w:rsid w:val="00B90D1A"/>
    <w:rsid w:val="00B9178F"/>
    <w:rsid w:val="00B91FBC"/>
    <w:rsid w:val="00B9341A"/>
    <w:rsid w:val="00B95D34"/>
    <w:rsid w:val="00B97128"/>
    <w:rsid w:val="00BA0244"/>
    <w:rsid w:val="00BA35C0"/>
    <w:rsid w:val="00BA382D"/>
    <w:rsid w:val="00BA5BC5"/>
    <w:rsid w:val="00BA7DA2"/>
    <w:rsid w:val="00BA7DE8"/>
    <w:rsid w:val="00BB0CF8"/>
    <w:rsid w:val="00BB1641"/>
    <w:rsid w:val="00BB1833"/>
    <w:rsid w:val="00BB1A27"/>
    <w:rsid w:val="00BB2310"/>
    <w:rsid w:val="00BB2A36"/>
    <w:rsid w:val="00BB3EC8"/>
    <w:rsid w:val="00BB552E"/>
    <w:rsid w:val="00BB5AB2"/>
    <w:rsid w:val="00BB7650"/>
    <w:rsid w:val="00BC07BC"/>
    <w:rsid w:val="00BC1105"/>
    <w:rsid w:val="00BC1E7F"/>
    <w:rsid w:val="00BC253D"/>
    <w:rsid w:val="00BC38F7"/>
    <w:rsid w:val="00BC424F"/>
    <w:rsid w:val="00BC4BB6"/>
    <w:rsid w:val="00BC5BEE"/>
    <w:rsid w:val="00BC5E7A"/>
    <w:rsid w:val="00BC7A92"/>
    <w:rsid w:val="00BC7B38"/>
    <w:rsid w:val="00BD0282"/>
    <w:rsid w:val="00BD0D65"/>
    <w:rsid w:val="00BD12B2"/>
    <w:rsid w:val="00BD15C1"/>
    <w:rsid w:val="00BD30AE"/>
    <w:rsid w:val="00BD31BA"/>
    <w:rsid w:val="00BD345F"/>
    <w:rsid w:val="00BD35F2"/>
    <w:rsid w:val="00BD3E91"/>
    <w:rsid w:val="00BD42C5"/>
    <w:rsid w:val="00BD4329"/>
    <w:rsid w:val="00BD54EC"/>
    <w:rsid w:val="00BD57A1"/>
    <w:rsid w:val="00BD57EF"/>
    <w:rsid w:val="00BD6678"/>
    <w:rsid w:val="00BD71A1"/>
    <w:rsid w:val="00BD7583"/>
    <w:rsid w:val="00BE06D7"/>
    <w:rsid w:val="00BE0ED3"/>
    <w:rsid w:val="00BE0F60"/>
    <w:rsid w:val="00BE109F"/>
    <w:rsid w:val="00BE1344"/>
    <w:rsid w:val="00BE1439"/>
    <w:rsid w:val="00BE1D4A"/>
    <w:rsid w:val="00BE2016"/>
    <w:rsid w:val="00BE2D70"/>
    <w:rsid w:val="00BE4682"/>
    <w:rsid w:val="00BE4AA1"/>
    <w:rsid w:val="00BE57BB"/>
    <w:rsid w:val="00BE5EF2"/>
    <w:rsid w:val="00BE756E"/>
    <w:rsid w:val="00BF1DD0"/>
    <w:rsid w:val="00BF270A"/>
    <w:rsid w:val="00BF39A8"/>
    <w:rsid w:val="00BF3F84"/>
    <w:rsid w:val="00BF5183"/>
    <w:rsid w:val="00BF6213"/>
    <w:rsid w:val="00BF6D6F"/>
    <w:rsid w:val="00BF7077"/>
    <w:rsid w:val="00BF79E2"/>
    <w:rsid w:val="00C03343"/>
    <w:rsid w:val="00C041A3"/>
    <w:rsid w:val="00C04306"/>
    <w:rsid w:val="00C049CA"/>
    <w:rsid w:val="00C049E7"/>
    <w:rsid w:val="00C05032"/>
    <w:rsid w:val="00C0567A"/>
    <w:rsid w:val="00C05D9C"/>
    <w:rsid w:val="00C06BDE"/>
    <w:rsid w:val="00C078EA"/>
    <w:rsid w:val="00C10481"/>
    <w:rsid w:val="00C118EF"/>
    <w:rsid w:val="00C1217A"/>
    <w:rsid w:val="00C12544"/>
    <w:rsid w:val="00C14B6B"/>
    <w:rsid w:val="00C14CA4"/>
    <w:rsid w:val="00C14CE3"/>
    <w:rsid w:val="00C14D8E"/>
    <w:rsid w:val="00C14EDF"/>
    <w:rsid w:val="00C15220"/>
    <w:rsid w:val="00C155FA"/>
    <w:rsid w:val="00C169E4"/>
    <w:rsid w:val="00C17433"/>
    <w:rsid w:val="00C1798D"/>
    <w:rsid w:val="00C17B88"/>
    <w:rsid w:val="00C201DB"/>
    <w:rsid w:val="00C216CB"/>
    <w:rsid w:val="00C21B6A"/>
    <w:rsid w:val="00C22682"/>
    <w:rsid w:val="00C22CAE"/>
    <w:rsid w:val="00C23144"/>
    <w:rsid w:val="00C23BBD"/>
    <w:rsid w:val="00C23E5F"/>
    <w:rsid w:val="00C24A8E"/>
    <w:rsid w:val="00C24D98"/>
    <w:rsid w:val="00C24F4F"/>
    <w:rsid w:val="00C26370"/>
    <w:rsid w:val="00C26EDD"/>
    <w:rsid w:val="00C26FAF"/>
    <w:rsid w:val="00C27DC8"/>
    <w:rsid w:val="00C30B67"/>
    <w:rsid w:val="00C329EB"/>
    <w:rsid w:val="00C32A22"/>
    <w:rsid w:val="00C32BA1"/>
    <w:rsid w:val="00C32F6B"/>
    <w:rsid w:val="00C33115"/>
    <w:rsid w:val="00C34D55"/>
    <w:rsid w:val="00C35307"/>
    <w:rsid w:val="00C401CD"/>
    <w:rsid w:val="00C41CCA"/>
    <w:rsid w:val="00C42E6A"/>
    <w:rsid w:val="00C43FC0"/>
    <w:rsid w:val="00C4427A"/>
    <w:rsid w:val="00C447A6"/>
    <w:rsid w:val="00C46C08"/>
    <w:rsid w:val="00C47BB2"/>
    <w:rsid w:val="00C513C2"/>
    <w:rsid w:val="00C5152C"/>
    <w:rsid w:val="00C51A6E"/>
    <w:rsid w:val="00C51C1A"/>
    <w:rsid w:val="00C52CDF"/>
    <w:rsid w:val="00C530B6"/>
    <w:rsid w:val="00C53742"/>
    <w:rsid w:val="00C538FA"/>
    <w:rsid w:val="00C53BE4"/>
    <w:rsid w:val="00C54340"/>
    <w:rsid w:val="00C549C0"/>
    <w:rsid w:val="00C55BA5"/>
    <w:rsid w:val="00C57172"/>
    <w:rsid w:val="00C609FE"/>
    <w:rsid w:val="00C6116F"/>
    <w:rsid w:val="00C61DE3"/>
    <w:rsid w:val="00C61F05"/>
    <w:rsid w:val="00C621E0"/>
    <w:rsid w:val="00C62B7E"/>
    <w:rsid w:val="00C62B81"/>
    <w:rsid w:val="00C64181"/>
    <w:rsid w:val="00C647A6"/>
    <w:rsid w:val="00C64AAC"/>
    <w:rsid w:val="00C64C9B"/>
    <w:rsid w:val="00C65B09"/>
    <w:rsid w:val="00C66889"/>
    <w:rsid w:val="00C668A5"/>
    <w:rsid w:val="00C676B2"/>
    <w:rsid w:val="00C6785C"/>
    <w:rsid w:val="00C7083D"/>
    <w:rsid w:val="00C70BD6"/>
    <w:rsid w:val="00C72A64"/>
    <w:rsid w:val="00C73ADC"/>
    <w:rsid w:val="00C7435F"/>
    <w:rsid w:val="00C743FC"/>
    <w:rsid w:val="00C74D4D"/>
    <w:rsid w:val="00C76BAB"/>
    <w:rsid w:val="00C770C0"/>
    <w:rsid w:val="00C81175"/>
    <w:rsid w:val="00C82558"/>
    <w:rsid w:val="00C84E10"/>
    <w:rsid w:val="00C855F0"/>
    <w:rsid w:val="00C87960"/>
    <w:rsid w:val="00C87CA2"/>
    <w:rsid w:val="00C9056E"/>
    <w:rsid w:val="00C90987"/>
    <w:rsid w:val="00C92155"/>
    <w:rsid w:val="00C9220C"/>
    <w:rsid w:val="00C92313"/>
    <w:rsid w:val="00C923D4"/>
    <w:rsid w:val="00C92884"/>
    <w:rsid w:val="00C9358A"/>
    <w:rsid w:val="00C94913"/>
    <w:rsid w:val="00C94D36"/>
    <w:rsid w:val="00C965A4"/>
    <w:rsid w:val="00C967DE"/>
    <w:rsid w:val="00CA1B28"/>
    <w:rsid w:val="00CA2853"/>
    <w:rsid w:val="00CA3115"/>
    <w:rsid w:val="00CA314B"/>
    <w:rsid w:val="00CA4583"/>
    <w:rsid w:val="00CA6773"/>
    <w:rsid w:val="00CA735F"/>
    <w:rsid w:val="00CA7452"/>
    <w:rsid w:val="00CB04D9"/>
    <w:rsid w:val="00CB089F"/>
    <w:rsid w:val="00CB0C3A"/>
    <w:rsid w:val="00CB1342"/>
    <w:rsid w:val="00CB1EDF"/>
    <w:rsid w:val="00CB2FCD"/>
    <w:rsid w:val="00CB48C1"/>
    <w:rsid w:val="00CB5053"/>
    <w:rsid w:val="00CB529E"/>
    <w:rsid w:val="00CB54AE"/>
    <w:rsid w:val="00CB6CD4"/>
    <w:rsid w:val="00CB6F86"/>
    <w:rsid w:val="00CB7C02"/>
    <w:rsid w:val="00CC01BC"/>
    <w:rsid w:val="00CC1D6F"/>
    <w:rsid w:val="00CC283B"/>
    <w:rsid w:val="00CC3338"/>
    <w:rsid w:val="00CC37D1"/>
    <w:rsid w:val="00CC3862"/>
    <w:rsid w:val="00CC5390"/>
    <w:rsid w:val="00CC60A9"/>
    <w:rsid w:val="00CC73A0"/>
    <w:rsid w:val="00CC7E3A"/>
    <w:rsid w:val="00CC7F94"/>
    <w:rsid w:val="00CD0274"/>
    <w:rsid w:val="00CD034D"/>
    <w:rsid w:val="00CD0D19"/>
    <w:rsid w:val="00CD0EF4"/>
    <w:rsid w:val="00CD3D2A"/>
    <w:rsid w:val="00CD53DE"/>
    <w:rsid w:val="00CD56D3"/>
    <w:rsid w:val="00CD6BFE"/>
    <w:rsid w:val="00CD6D13"/>
    <w:rsid w:val="00CD7109"/>
    <w:rsid w:val="00CE0303"/>
    <w:rsid w:val="00CE0477"/>
    <w:rsid w:val="00CE059D"/>
    <w:rsid w:val="00CE0EC5"/>
    <w:rsid w:val="00CE20A7"/>
    <w:rsid w:val="00CE2238"/>
    <w:rsid w:val="00CE3002"/>
    <w:rsid w:val="00CE4EF2"/>
    <w:rsid w:val="00CE644F"/>
    <w:rsid w:val="00CE67D4"/>
    <w:rsid w:val="00CE6CCC"/>
    <w:rsid w:val="00CE6D41"/>
    <w:rsid w:val="00CE717B"/>
    <w:rsid w:val="00CE79B2"/>
    <w:rsid w:val="00CF04CF"/>
    <w:rsid w:val="00CF11FD"/>
    <w:rsid w:val="00CF1822"/>
    <w:rsid w:val="00CF19A9"/>
    <w:rsid w:val="00CF2D5D"/>
    <w:rsid w:val="00CF30FB"/>
    <w:rsid w:val="00CF3BDA"/>
    <w:rsid w:val="00CF3DCA"/>
    <w:rsid w:val="00CF51AF"/>
    <w:rsid w:val="00CF53E9"/>
    <w:rsid w:val="00CF5B88"/>
    <w:rsid w:val="00CF6428"/>
    <w:rsid w:val="00CF6E51"/>
    <w:rsid w:val="00CF7985"/>
    <w:rsid w:val="00D00380"/>
    <w:rsid w:val="00D00AA2"/>
    <w:rsid w:val="00D02EBC"/>
    <w:rsid w:val="00D0323E"/>
    <w:rsid w:val="00D03A00"/>
    <w:rsid w:val="00D0588B"/>
    <w:rsid w:val="00D06041"/>
    <w:rsid w:val="00D06757"/>
    <w:rsid w:val="00D07AC9"/>
    <w:rsid w:val="00D1125C"/>
    <w:rsid w:val="00D126FA"/>
    <w:rsid w:val="00D128D1"/>
    <w:rsid w:val="00D13843"/>
    <w:rsid w:val="00D13A26"/>
    <w:rsid w:val="00D14435"/>
    <w:rsid w:val="00D1530A"/>
    <w:rsid w:val="00D15B26"/>
    <w:rsid w:val="00D15F20"/>
    <w:rsid w:val="00D1635B"/>
    <w:rsid w:val="00D16C63"/>
    <w:rsid w:val="00D16FBC"/>
    <w:rsid w:val="00D20D49"/>
    <w:rsid w:val="00D22049"/>
    <w:rsid w:val="00D2295D"/>
    <w:rsid w:val="00D22CB2"/>
    <w:rsid w:val="00D23195"/>
    <w:rsid w:val="00D260EB"/>
    <w:rsid w:val="00D26D87"/>
    <w:rsid w:val="00D27C7F"/>
    <w:rsid w:val="00D304FA"/>
    <w:rsid w:val="00D3101E"/>
    <w:rsid w:val="00D31906"/>
    <w:rsid w:val="00D328E5"/>
    <w:rsid w:val="00D33692"/>
    <w:rsid w:val="00D34072"/>
    <w:rsid w:val="00D3489F"/>
    <w:rsid w:val="00D34E0B"/>
    <w:rsid w:val="00D3584B"/>
    <w:rsid w:val="00D366DD"/>
    <w:rsid w:val="00D377AC"/>
    <w:rsid w:val="00D401CA"/>
    <w:rsid w:val="00D40603"/>
    <w:rsid w:val="00D4079C"/>
    <w:rsid w:val="00D418F0"/>
    <w:rsid w:val="00D4253B"/>
    <w:rsid w:val="00D436D7"/>
    <w:rsid w:val="00D44436"/>
    <w:rsid w:val="00D449CF"/>
    <w:rsid w:val="00D455CD"/>
    <w:rsid w:val="00D46488"/>
    <w:rsid w:val="00D466ED"/>
    <w:rsid w:val="00D4784F"/>
    <w:rsid w:val="00D50234"/>
    <w:rsid w:val="00D5038C"/>
    <w:rsid w:val="00D50777"/>
    <w:rsid w:val="00D5114E"/>
    <w:rsid w:val="00D515AF"/>
    <w:rsid w:val="00D521D8"/>
    <w:rsid w:val="00D525B2"/>
    <w:rsid w:val="00D5365F"/>
    <w:rsid w:val="00D53C83"/>
    <w:rsid w:val="00D55592"/>
    <w:rsid w:val="00D560F9"/>
    <w:rsid w:val="00D5651E"/>
    <w:rsid w:val="00D57128"/>
    <w:rsid w:val="00D611C0"/>
    <w:rsid w:val="00D61427"/>
    <w:rsid w:val="00D61F75"/>
    <w:rsid w:val="00D6207F"/>
    <w:rsid w:val="00D632FE"/>
    <w:rsid w:val="00D63B61"/>
    <w:rsid w:val="00D63DC9"/>
    <w:rsid w:val="00D63F80"/>
    <w:rsid w:val="00D65181"/>
    <w:rsid w:val="00D6628D"/>
    <w:rsid w:val="00D67A70"/>
    <w:rsid w:val="00D70095"/>
    <w:rsid w:val="00D71956"/>
    <w:rsid w:val="00D72AD7"/>
    <w:rsid w:val="00D73C09"/>
    <w:rsid w:val="00D747CD"/>
    <w:rsid w:val="00D74943"/>
    <w:rsid w:val="00D75C81"/>
    <w:rsid w:val="00D80A82"/>
    <w:rsid w:val="00D80B77"/>
    <w:rsid w:val="00D81165"/>
    <w:rsid w:val="00D81555"/>
    <w:rsid w:val="00D818EA"/>
    <w:rsid w:val="00D82647"/>
    <w:rsid w:val="00D8295B"/>
    <w:rsid w:val="00D85024"/>
    <w:rsid w:val="00D85F48"/>
    <w:rsid w:val="00D870AE"/>
    <w:rsid w:val="00D876D2"/>
    <w:rsid w:val="00D87C43"/>
    <w:rsid w:val="00D87D2D"/>
    <w:rsid w:val="00D90774"/>
    <w:rsid w:val="00D90F00"/>
    <w:rsid w:val="00D9136A"/>
    <w:rsid w:val="00D925FF"/>
    <w:rsid w:val="00D931AC"/>
    <w:rsid w:val="00D93A19"/>
    <w:rsid w:val="00D93ED2"/>
    <w:rsid w:val="00D94F16"/>
    <w:rsid w:val="00D951B6"/>
    <w:rsid w:val="00D95B0C"/>
    <w:rsid w:val="00D96114"/>
    <w:rsid w:val="00D97344"/>
    <w:rsid w:val="00D97B4A"/>
    <w:rsid w:val="00DA0352"/>
    <w:rsid w:val="00DA1129"/>
    <w:rsid w:val="00DA1F1B"/>
    <w:rsid w:val="00DA23F0"/>
    <w:rsid w:val="00DA2614"/>
    <w:rsid w:val="00DA3DCD"/>
    <w:rsid w:val="00DA48FF"/>
    <w:rsid w:val="00DA493E"/>
    <w:rsid w:val="00DA49E7"/>
    <w:rsid w:val="00DA5540"/>
    <w:rsid w:val="00DA5B3B"/>
    <w:rsid w:val="00DA65BF"/>
    <w:rsid w:val="00DA6DA9"/>
    <w:rsid w:val="00DA72DE"/>
    <w:rsid w:val="00DA7562"/>
    <w:rsid w:val="00DA7FA9"/>
    <w:rsid w:val="00DB2754"/>
    <w:rsid w:val="00DB3B39"/>
    <w:rsid w:val="00DB4F7A"/>
    <w:rsid w:val="00DB7E65"/>
    <w:rsid w:val="00DC00C7"/>
    <w:rsid w:val="00DC023C"/>
    <w:rsid w:val="00DC04F0"/>
    <w:rsid w:val="00DC0908"/>
    <w:rsid w:val="00DC0E05"/>
    <w:rsid w:val="00DC1A66"/>
    <w:rsid w:val="00DC27A8"/>
    <w:rsid w:val="00DC31F2"/>
    <w:rsid w:val="00DC33DC"/>
    <w:rsid w:val="00DC35D9"/>
    <w:rsid w:val="00DC3C23"/>
    <w:rsid w:val="00DC4366"/>
    <w:rsid w:val="00DC4411"/>
    <w:rsid w:val="00DC5330"/>
    <w:rsid w:val="00DC55AA"/>
    <w:rsid w:val="00DC55AC"/>
    <w:rsid w:val="00DC5FF6"/>
    <w:rsid w:val="00DC775D"/>
    <w:rsid w:val="00DC7933"/>
    <w:rsid w:val="00DC7A00"/>
    <w:rsid w:val="00DC7D56"/>
    <w:rsid w:val="00DD08E3"/>
    <w:rsid w:val="00DD316E"/>
    <w:rsid w:val="00DD31A0"/>
    <w:rsid w:val="00DD33C5"/>
    <w:rsid w:val="00DD3656"/>
    <w:rsid w:val="00DD3E93"/>
    <w:rsid w:val="00DD4E1A"/>
    <w:rsid w:val="00DD5568"/>
    <w:rsid w:val="00DD5989"/>
    <w:rsid w:val="00DD6989"/>
    <w:rsid w:val="00DE1615"/>
    <w:rsid w:val="00DE3602"/>
    <w:rsid w:val="00DE3D95"/>
    <w:rsid w:val="00DE4472"/>
    <w:rsid w:val="00DE4C7C"/>
    <w:rsid w:val="00DF1280"/>
    <w:rsid w:val="00DF2903"/>
    <w:rsid w:val="00DF36C5"/>
    <w:rsid w:val="00DF4638"/>
    <w:rsid w:val="00DF553B"/>
    <w:rsid w:val="00DF589A"/>
    <w:rsid w:val="00DF6B73"/>
    <w:rsid w:val="00DF6CA7"/>
    <w:rsid w:val="00DF70AE"/>
    <w:rsid w:val="00DF70EB"/>
    <w:rsid w:val="00DF7833"/>
    <w:rsid w:val="00DF7BD6"/>
    <w:rsid w:val="00E005ED"/>
    <w:rsid w:val="00E00A50"/>
    <w:rsid w:val="00E01771"/>
    <w:rsid w:val="00E01DB1"/>
    <w:rsid w:val="00E022A6"/>
    <w:rsid w:val="00E02886"/>
    <w:rsid w:val="00E02B15"/>
    <w:rsid w:val="00E03C26"/>
    <w:rsid w:val="00E0457B"/>
    <w:rsid w:val="00E05439"/>
    <w:rsid w:val="00E0584E"/>
    <w:rsid w:val="00E05943"/>
    <w:rsid w:val="00E071C0"/>
    <w:rsid w:val="00E1199D"/>
    <w:rsid w:val="00E12419"/>
    <w:rsid w:val="00E14554"/>
    <w:rsid w:val="00E146A8"/>
    <w:rsid w:val="00E15313"/>
    <w:rsid w:val="00E168B9"/>
    <w:rsid w:val="00E171C1"/>
    <w:rsid w:val="00E17660"/>
    <w:rsid w:val="00E17DAA"/>
    <w:rsid w:val="00E20692"/>
    <w:rsid w:val="00E217A3"/>
    <w:rsid w:val="00E21CE0"/>
    <w:rsid w:val="00E21DFE"/>
    <w:rsid w:val="00E22AAE"/>
    <w:rsid w:val="00E2390C"/>
    <w:rsid w:val="00E24D05"/>
    <w:rsid w:val="00E25467"/>
    <w:rsid w:val="00E25A9C"/>
    <w:rsid w:val="00E25C1A"/>
    <w:rsid w:val="00E261B9"/>
    <w:rsid w:val="00E30E12"/>
    <w:rsid w:val="00E312DB"/>
    <w:rsid w:val="00E315A4"/>
    <w:rsid w:val="00E31D87"/>
    <w:rsid w:val="00E324C5"/>
    <w:rsid w:val="00E32699"/>
    <w:rsid w:val="00E32D59"/>
    <w:rsid w:val="00E32E76"/>
    <w:rsid w:val="00E33513"/>
    <w:rsid w:val="00E3510A"/>
    <w:rsid w:val="00E35BA2"/>
    <w:rsid w:val="00E379DD"/>
    <w:rsid w:val="00E40C2C"/>
    <w:rsid w:val="00E413C8"/>
    <w:rsid w:val="00E41DC5"/>
    <w:rsid w:val="00E425B5"/>
    <w:rsid w:val="00E42CDF"/>
    <w:rsid w:val="00E42D7C"/>
    <w:rsid w:val="00E42EDC"/>
    <w:rsid w:val="00E431AE"/>
    <w:rsid w:val="00E43226"/>
    <w:rsid w:val="00E43DBB"/>
    <w:rsid w:val="00E447E0"/>
    <w:rsid w:val="00E45A88"/>
    <w:rsid w:val="00E461A2"/>
    <w:rsid w:val="00E46C64"/>
    <w:rsid w:val="00E4768F"/>
    <w:rsid w:val="00E5031A"/>
    <w:rsid w:val="00E53642"/>
    <w:rsid w:val="00E537AB"/>
    <w:rsid w:val="00E53F99"/>
    <w:rsid w:val="00E546A4"/>
    <w:rsid w:val="00E55AF0"/>
    <w:rsid w:val="00E56259"/>
    <w:rsid w:val="00E56349"/>
    <w:rsid w:val="00E56392"/>
    <w:rsid w:val="00E5719C"/>
    <w:rsid w:val="00E5772B"/>
    <w:rsid w:val="00E57767"/>
    <w:rsid w:val="00E57FA7"/>
    <w:rsid w:val="00E601B9"/>
    <w:rsid w:val="00E60C7E"/>
    <w:rsid w:val="00E6145D"/>
    <w:rsid w:val="00E62487"/>
    <w:rsid w:val="00E6285D"/>
    <w:rsid w:val="00E62DFF"/>
    <w:rsid w:val="00E63612"/>
    <w:rsid w:val="00E63A24"/>
    <w:rsid w:val="00E63CA7"/>
    <w:rsid w:val="00E63CDF"/>
    <w:rsid w:val="00E65DC5"/>
    <w:rsid w:val="00E668AA"/>
    <w:rsid w:val="00E70AEE"/>
    <w:rsid w:val="00E71183"/>
    <w:rsid w:val="00E7148C"/>
    <w:rsid w:val="00E7224B"/>
    <w:rsid w:val="00E7255A"/>
    <w:rsid w:val="00E731F9"/>
    <w:rsid w:val="00E75739"/>
    <w:rsid w:val="00E75D8B"/>
    <w:rsid w:val="00E762D0"/>
    <w:rsid w:val="00E763F3"/>
    <w:rsid w:val="00E76A4F"/>
    <w:rsid w:val="00E76EDD"/>
    <w:rsid w:val="00E81349"/>
    <w:rsid w:val="00E82D5E"/>
    <w:rsid w:val="00E830F8"/>
    <w:rsid w:val="00E8317B"/>
    <w:rsid w:val="00E8336F"/>
    <w:rsid w:val="00E84BEE"/>
    <w:rsid w:val="00E84FF3"/>
    <w:rsid w:val="00E853B3"/>
    <w:rsid w:val="00E86E7B"/>
    <w:rsid w:val="00E86F7A"/>
    <w:rsid w:val="00E8765E"/>
    <w:rsid w:val="00E877D9"/>
    <w:rsid w:val="00E9075C"/>
    <w:rsid w:val="00E91CBC"/>
    <w:rsid w:val="00E92252"/>
    <w:rsid w:val="00E94354"/>
    <w:rsid w:val="00E944A1"/>
    <w:rsid w:val="00E9491E"/>
    <w:rsid w:val="00E95BD5"/>
    <w:rsid w:val="00E95EF3"/>
    <w:rsid w:val="00E97288"/>
    <w:rsid w:val="00E9787B"/>
    <w:rsid w:val="00EA1F14"/>
    <w:rsid w:val="00EA23E3"/>
    <w:rsid w:val="00EA24DE"/>
    <w:rsid w:val="00EA3214"/>
    <w:rsid w:val="00EA38B5"/>
    <w:rsid w:val="00EA3A0D"/>
    <w:rsid w:val="00EA45CD"/>
    <w:rsid w:val="00EA57D8"/>
    <w:rsid w:val="00EA65CC"/>
    <w:rsid w:val="00EA691A"/>
    <w:rsid w:val="00EB058F"/>
    <w:rsid w:val="00EB0736"/>
    <w:rsid w:val="00EB0B3D"/>
    <w:rsid w:val="00EB0FB9"/>
    <w:rsid w:val="00EB15A4"/>
    <w:rsid w:val="00EB2996"/>
    <w:rsid w:val="00EB32C1"/>
    <w:rsid w:val="00EB344B"/>
    <w:rsid w:val="00EB3A14"/>
    <w:rsid w:val="00EB3ED7"/>
    <w:rsid w:val="00EB44F4"/>
    <w:rsid w:val="00EB4C8F"/>
    <w:rsid w:val="00EB51B0"/>
    <w:rsid w:val="00EB5378"/>
    <w:rsid w:val="00EB6D04"/>
    <w:rsid w:val="00EB7C7A"/>
    <w:rsid w:val="00EC07AD"/>
    <w:rsid w:val="00EC103A"/>
    <w:rsid w:val="00EC1191"/>
    <w:rsid w:val="00EC161D"/>
    <w:rsid w:val="00EC17FB"/>
    <w:rsid w:val="00EC2566"/>
    <w:rsid w:val="00EC3272"/>
    <w:rsid w:val="00EC34BC"/>
    <w:rsid w:val="00EC36EC"/>
    <w:rsid w:val="00EC3A6B"/>
    <w:rsid w:val="00EC450B"/>
    <w:rsid w:val="00EC4CC7"/>
    <w:rsid w:val="00EC6C62"/>
    <w:rsid w:val="00EC6C86"/>
    <w:rsid w:val="00EC70AF"/>
    <w:rsid w:val="00EC7219"/>
    <w:rsid w:val="00EC7AD7"/>
    <w:rsid w:val="00EC7EAC"/>
    <w:rsid w:val="00ED03E7"/>
    <w:rsid w:val="00ED20BC"/>
    <w:rsid w:val="00ED2800"/>
    <w:rsid w:val="00ED3442"/>
    <w:rsid w:val="00ED3CD5"/>
    <w:rsid w:val="00ED4D86"/>
    <w:rsid w:val="00ED607C"/>
    <w:rsid w:val="00ED7F0F"/>
    <w:rsid w:val="00EE0802"/>
    <w:rsid w:val="00EE161E"/>
    <w:rsid w:val="00EE1941"/>
    <w:rsid w:val="00EE233B"/>
    <w:rsid w:val="00EE28B1"/>
    <w:rsid w:val="00EE2AC2"/>
    <w:rsid w:val="00EE37D7"/>
    <w:rsid w:val="00EE68F0"/>
    <w:rsid w:val="00EE697E"/>
    <w:rsid w:val="00EE709B"/>
    <w:rsid w:val="00EF0518"/>
    <w:rsid w:val="00EF1554"/>
    <w:rsid w:val="00EF1D98"/>
    <w:rsid w:val="00EF1E11"/>
    <w:rsid w:val="00EF255F"/>
    <w:rsid w:val="00EF2B1E"/>
    <w:rsid w:val="00EF3A6D"/>
    <w:rsid w:val="00EF41FA"/>
    <w:rsid w:val="00EF54D8"/>
    <w:rsid w:val="00EF57AC"/>
    <w:rsid w:val="00EF5BCF"/>
    <w:rsid w:val="00EF7282"/>
    <w:rsid w:val="00EF7A5E"/>
    <w:rsid w:val="00EF7B2A"/>
    <w:rsid w:val="00F0026E"/>
    <w:rsid w:val="00F00B2F"/>
    <w:rsid w:val="00F01D00"/>
    <w:rsid w:val="00F02AFD"/>
    <w:rsid w:val="00F02E41"/>
    <w:rsid w:val="00F053B8"/>
    <w:rsid w:val="00F05627"/>
    <w:rsid w:val="00F0681B"/>
    <w:rsid w:val="00F06869"/>
    <w:rsid w:val="00F074B9"/>
    <w:rsid w:val="00F07BE8"/>
    <w:rsid w:val="00F10E90"/>
    <w:rsid w:val="00F1126A"/>
    <w:rsid w:val="00F115FB"/>
    <w:rsid w:val="00F11765"/>
    <w:rsid w:val="00F13A75"/>
    <w:rsid w:val="00F13A9B"/>
    <w:rsid w:val="00F13B48"/>
    <w:rsid w:val="00F13CD7"/>
    <w:rsid w:val="00F13CEA"/>
    <w:rsid w:val="00F13D40"/>
    <w:rsid w:val="00F150CD"/>
    <w:rsid w:val="00F155C9"/>
    <w:rsid w:val="00F17485"/>
    <w:rsid w:val="00F17651"/>
    <w:rsid w:val="00F1771F"/>
    <w:rsid w:val="00F17862"/>
    <w:rsid w:val="00F17A6A"/>
    <w:rsid w:val="00F20AE5"/>
    <w:rsid w:val="00F20B31"/>
    <w:rsid w:val="00F20B8F"/>
    <w:rsid w:val="00F20D1C"/>
    <w:rsid w:val="00F20ED9"/>
    <w:rsid w:val="00F2110A"/>
    <w:rsid w:val="00F21A0A"/>
    <w:rsid w:val="00F229E0"/>
    <w:rsid w:val="00F22D09"/>
    <w:rsid w:val="00F230DD"/>
    <w:rsid w:val="00F23629"/>
    <w:rsid w:val="00F2374C"/>
    <w:rsid w:val="00F24870"/>
    <w:rsid w:val="00F248B8"/>
    <w:rsid w:val="00F24947"/>
    <w:rsid w:val="00F2548D"/>
    <w:rsid w:val="00F264C1"/>
    <w:rsid w:val="00F27564"/>
    <w:rsid w:val="00F279E2"/>
    <w:rsid w:val="00F27CCE"/>
    <w:rsid w:val="00F30653"/>
    <w:rsid w:val="00F319BF"/>
    <w:rsid w:val="00F31AB9"/>
    <w:rsid w:val="00F31EEC"/>
    <w:rsid w:val="00F322F0"/>
    <w:rsid w:val="00F32359"/>
    <w:rsid w:val="00F3257F"/>
    <w:rsid w:val="00F32E57"/>
    <w:rsid w:val="00F34138"/>
    <w:rsid w:val="00F34434"/>
    <w:rsid w:val="00F3564A"/>
    <w:rsid w:val="00F36F02"/>
    <w:rsid w:val="00F37092"/>
    <w:rsid w:val="00F41198"/>
    <w:rsid w:val="00F411AA"/>
    <w:rsid w:val="00F41408"/>
    <w:rsid w:val="00F4189F"/>
    <w:rsid w:val="00F41B37"/>
    <w:rsid w:val="00F4297E"/>
    <w:rsid w:val="00F42AEB"/>
    <w:rsid w:val="00F42FC4"/>
    <w:rsid w:val="00F43260"/>
    <w:rsid w:val="00F435DA"/>
    <w:rsid w:val="00F441BE"/>
    <w:rsid w:val="00F4504F"/>
    <w:rsid w:val="00F45539"/>
    <w:rsid w:val="00F45BDC"/>
    <w:rsid w:val="00F47A31"/>
    <w:rsid w:val="00F540C7"/>
    <w:rsid w:val="00F56F56"/>
    <w:rsid w:val="00F575D5"/>
    <w:rsid w:val="00F57C83"/>
    <w:rsid w:val="00F57E8C"/>
    <w:rsid w:val="00F6076F"/>
    <w:rsid w:val="00F61161"/>
    <w:rsid w:val="00F614F4"/>
    <w:rsid w:val="00F61E1C"/>
    <w:rsid w:val="00F6240D"/>
    <w:rsid w:val="00F6269C"/>
    <w:rsid w:val="00F632D2"/>
    <w:rsid w:val="00F63872"/>
    <w:rsid w:val="00F64C59"/>
    <w:rsid w:val="00F668B4"/>
    <w:rsid w:val="00F66F1A"/>
    <w:rsid w:val="00F674D1"/>
    <w:rsid w:val="00F71C7C"/>
    <w:rsid w:val="00F72ED0"/>
    <w:rsid w:val="00F72F58"/>
    <w:rsid w:val="00F749DC"/>
    <w:rsid w:val="00F74A0A"/>
    <w:rsid w:val="00F757EE"/>
    <w:rsid w:val="00F75E91"/>
    <w:rsid w:val="00F77802"/>
    <w:rsid w:val="00F77FC0"/>
    <w:rsid w:val="00F80474"/>
    <w:rsid w:val="00F817F7"/>
    <w:rsid w:val="00F8307D"/>
    <w:rsid w:val="00F845AD"/>
    <w:rsid w:val="00F84AEB"/>
    <w:rsid w:val="00F84BFF"/>
    <w:rsid w:val="00F84D57"/>
    <w:rsid w:val="00F84FD8"/>
    <w:rsid w:val="00F86B75"/>
    <w:rsid w:val="00F86B82"/>
    <w:rsid w:val="00F87C79"/>
    <w:rsid w:val="00F90690"/>
    <w:rsid w:val="00F9078B"/>
    <w:rsid w:val="00F9170F"/>
    <w:rsid w:val="00F9378A"/>
    <w:rsid w:val="00F938F0"/>
    <w:rsid w:val="00F939C0"/>
    <w:rsid w:val="00F93FFC"/>
    <w:rsid w:val="00F9507F"/>
    <w:rsid w:val="00F95727"/>
    <w:rsid w:val="00F9588F"/>
    <w:rsid w:val="00FA010D"/>
    <w:rsid w:val="00FA0CA6"/>
    <w:rsid w:val="00FA0DA3"/>
    <w:rsid w:val="00FA0EEC"/>
    <w:rsid w:val="00FA17B2"/>
    <w:rsid w:val="00FA1841"/>
    <w:rsid w:val="00FA34CC"/>
    <w:rsid w:val="00FA403F"/>
    <w:rsid w:val="00FA4E90"/>
    <w:rsid w:val="00FA5CF6"/>
    <w:rsid w:val="00FA5DBB"/>
    <w:rsid w:val="00FA67B2"/>
    <w:rsid w:val="00FA686F"/>
    <w:rsid w:val="00FA789A"/>
    <w:rsid w:val="00FA7D97"/>
    <w:rsid w:val="00FB0080"/>
    <w:rsid w:val="00FB2211"/>
    <w:rsid w:val="00FB3210"/>
    <w:rsid w:val="00FB3402"/>
    <w:rsid w:val="00FB3FB5"/>
    <w:rsid w:val="00FB42A2"/>
    <w:rsid w:val="00FB4E91"/>
    <w:rsid w:val="00FB50CD"/>
    <w:rsid w:val="00FB5A5C"/>
    <w:rsid w:val="00FB61EF"/>
    <w:rsid w:val="00FB68F3"/>
    <w:rsid w:val="00FB6FA8"/>
    <w:rsid w:val="00FB7A95"/>
    <w:rsid w:val="00FC041D"/>
    <w:rsid w:val="00FC255F"/>
    <w:rsid w:val="00FC2678"/>
    <w:rsid w:val="00FC501F"/>
    <w:rsid w:val="00FC5103"/>
    <w:rsid w:val="00FC6EE1"/>
    <w:rsid w:val="00FD0640"/>
    <w:rsid w:val="00FD0873"/>
    <w:rsid w:val="00FD1098"/>
    <w:rsid w:val="00FD13FC"/>
    <w:rsid w:val="00FD18B2"/>
    <w:rsid w:val="00FD2569"/>
    <w:rsid w:val="00FD3AF2"/>
    <w:rsid w:val="00FD522D"/>
    <w:rsid w:val="00FD606C"/>
    <w:rsid w:val="00FD75CF"/>
    <w:rsid w:val="00FD7D0C"/>
    <w:rsid w:val="00FE0876"/>
    <w:rsid w:val="00FE1D65"/>
    <w:rsid w:val="00FE2119"/>
    <w:rsid w:val="00FE2A3B"/>
    <w:rsid w:val="00FE2BB4"/>
    <w:rsid w:val="00FE2E3D"/>
    <w:rsid w:val="00FE2F7F"/>
    <w:rsid w:val="00FE312B"/>
    <w:rsid w:val="00FE3CC6"/>
    <w:rsid w:val="00FE5691"/>
    <w:rsid w:val="00FE636E"/>
    <w:rsid w:val="00FF2A83"/>
    <w:rsid w:val="00FF364E"/>
    <w:rsid w:val="00FF4473"/>
    <w:rsid w:val="00FF5DD5"/>
    <w:rsid w:val="00FF669E"/>
    <w:rsid w:val="00FF688C"/>
    <w:rsid w:val="00FF756E"/>
    <w:rsid w:val="00FF7819"/>
    <w:rsid w:val="00FF7EE4"/>
    <w:rsid w:val="00FF7FBC"/>
    <w:rsid w:val="01FDD292"/>
    <w:rsid w:val="03343D49"/>
    <w:rsid w:val="03ABFBC1"/>
    <w:rsid w:val="03FB6761"/>
    <w:rsid w:val="04A842DD"/>
    <w:rsid w:val="0634DC44"/>
    <w:rsid w:val="07A5CA34"/>
    <w:rsid w:val="0879D5AE"/>
    <w:rsid w:val="08C96EF0"/>
    <w:rsid w:val="0B20F9A4"/>
    <w:rsid w:val="0CD6C8E2"/>
    <w:rsid w:val="0D1B25FC"/>
    <w:rsid w:val="0D458C1C"/>
    <w:rsid w:val="0E0CDA7D"/>
    <w:rsid w:val="0EF774F8"/>
    <w:rsid w:val="10B9CCE1"/>
    <w:rsid w:val="118E25D2"/>
    <w:rsid w:val="14B88DC5"/>
    <w:rsid w:val="153FD142"/>
    <w:rsid w:val="16400262"/>
    <w:rsid w:val="168BB1CA"/>
    <w:rsid w:val="16DD5E9A"/>
    <w:rsid w:val="190D0892"/>
    <w:rsid w:val="1985E77A"/>
    <w:rsid w:val="1A9E3202"/>
    <w:rsid w:val="1C86222A"/>
    <w:rsid w:val="1D415E47"/>
    <w:rsid w:val="1D9EDDA9"/>
    <w:rsid w:val="1F86CAFA"/>
    <w:rsid w:val="214B9DC9"/>
    <w:rsid w:val="2302CB33"/>
    <w:rsid w:val="240ED094"/>
    <w:rsid w:val="246FF141"/>
    <w:rsid w:val="26A87E29"/>
    <w:rsid w:val="270BE237"/>
    <w:rsid w:val="289D53CC"/>
    <w:rsid w:val="292F0F01"/>
    <w:rsid w:val="299E2144"/>
    <w:rsid w:val="2A81308F"/>
    <w:rsid w:val="2AE38681"/>
    <w:rsid w:val="2B081428"/>
    <w:rsid w:val="2B3B09B8"/>
    <w:rsid w:val="2B9EEE33"/>
    <w:rsid w:val="2BFBABBE"/>
    <w:rsid w:val="2CF1DEE6"/>
    <w:rsid w:val="2CF63441"/>
    <w:rsid w:val="2D960BA9"/>
    <w:rsid w:val="2E20B460"/>
    <w:rsid w:val="300921B9"/>
    <w:rsid w:val="3014E9D1"/>
    <w:rsid w:val="30DC9912"/>
    <w:rsid w:val="3152AA26"/>
    <w:rsid w:val="31987144"/>
    <w:rsid w:val="320C096E"/>
    <w:rsid w:val="3345A429"/>
    <w:rsid w:val="3365DF7D"/>
    <w:rsid w:val="338AD733"/>
    <w:rsid w:val="348624F1"/>
    <w:rsid w:val="369DDED0"/>
    <w:rsid w:val="371064C4"/>
    <w:rsid w:val="39788F36"/>
    <w:rsid w:val="3BEFD102"/>
    <w:rsid w:val="3D31C50C"/>
    <w:rsid w:val="40B91A68"/>
    <w:rsid w:val="40FA4FF1"/>
    <w:rsid w:val="42A044BE"/>
    <w:rsid w:val="42E39FD1"/>
    <w:rsid w:val="43FBFF56"/>
    <w:rsid w:val="43FFB094"/>
    <w:rsid w:val="44A4249E"/>
    <w:rsid w:val="45101BF9"/>
    <w:rsid w:val="464B9401"/>
    <w:rsid w:val="4A99E69F"/>
    <w:rsid w:val="4CC560BF"/>
    <w:rsid w:val="4D04151A"/>
    <w:rsid w:val="4D54D746"/>
    <w:rsid w:val="4E0EF0D1"/>
    <w:rsid w:val="4E412C67"/>
    <w:rsid w:val="4F4DC1C5"/>
    <w:rsid w:val="4F5D6062"/>
    <w:rsid w:val="4FF5D099"/>
    <w:rsid w:val="5348577F"/>
    <w:rsid w:val="5441D815"/>
    <w:rsid w:val="575579AB"/>
    <w:rsid w:val="58679F10"/>
    <w:rsid w:val="59C908CE"/>
    <w:rsid w:val="5B6B783E"/>
    <w:rsid w:val="5BCA9AF6"/>
    <w:rsid w:val="5DBC7DAE"/>
    <w:rsid w:val="5DDEE69A"/>
    <w:rsid w:val="5EE16208"/>
    <w:rsid w:val="5FB826F7"/>
    <w:rsid w:val="601A1D0B"/>
    <w:rsid w:val="63232560"/>
    <w:rsid w:val="6339AB16"/>
    <w:rsid w:val="63F757F1"/>
    <w:rsid w:val="64551E2C"/>
    <w:rsid w:val="6495636B"/>
    <w:rsid w:val="679146BB"/>
    <w:rsid w:val="686C4CBA"/>
    <w:rsid w:val="6A310B7F"/>
    <w:rsid w:val="6A5C6F67"/>
    <w:rsid w:val="6A61E10E"/>
    <w:rsid w:val="6C9DD8CB"/>
    <w:rsid w:val="6CB88AED"/>
    <w:rsid w:val="6D249D3F"/>
    <w:rsid w:val="6E9F620F"/>
    <w:rsid w:val="6F99D76B"/>
    <w:rsid w:val="703110F8"/>
    <w:rsid w:val="70DB41FD"/>
    <w:rsid w:val="70DE2D26"/>
    <w:rsid w:val="712F303C"/>
    <w:rsid w:val="72B7E760"/>
    <w:rsid w:val="73AD4C73"/>
    <w:rsid w:val="73DAC2B2"/>
    <w:rsid w:val="7601EEAE"/>
    <w:rsid w:val="7633D172"/>
    <w:rsid w:val="775121DD"/>
    <w:rsid w:val="77FD9B55"/>
    <w:rsid w:val="79C8B336"/>
    <w:rsid w:val="79D4427B"/>
    <w:rsid w:val="7A7C3A73"/>
    <w:rsid w:val="7BD595DF"/>
    <w:rsid w:val="7D2F853A"/>
    <w:rsid w:val="7E4413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6E1E"/>
  <w15:docId w15:val="{020A872E-37E4-4839-B757-3BBDB49676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2"/>
        <w:szCs w:val="22"/>
        <w:lang w:val="en-AU"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eastAsia="MS Mincho"/>
      <w:lang w:eastAsia="en-AU"/>
    </w:rPr>
  </w:style>
  <w:style w:type="paragraph" w:styleId="Heading1">
    <w:name w:val="heading 1"/>
    <w:basedOn w:val="Normal"/>
    <w:next w:val="Normal"/>
    <w:uiPriority w:val="9"/>
    <w:qFormat/>
    <w:pPr>
      <w:outlineLvl w:val="0"/>
    </w:pPr>
    <w:rPr>
      <w:rFonts w:cs="Calibri"/>
      <w:sz w:val="32"/>
      <w:szCs w:val="32"/>
    </w:rPr>
  </w:style>
  <w:style w:type="paragraph" w:styleId="Heading2">
    <w:name w:val="heading 2"/>
    <w:basedOn w:val="Normal"/>
    <w:next w:val="Normal"/>
    <w:unhideWhenUsed/>
    <w:qFormat/>
    <w:pPr>
      <w:outlineLvl w:val="1"/>
    </w:pPr>
    <w:rPr>
      <w:rFonts w:cs="Calibri"/>
      <w:sz w:val="28"/>
      <w:szCs w:val="28"/>
    </w:rPr>
  </w:style>
  <w:style w:type="paragraph" w:styleId="Heading3">
    <w:name w:val="heading 3"/>
    <w:basedOn w:val="Normal"/>
    <w:next w:val="Normal"/>
    <w:unhideWhenUsed/>
    <w:qFormat/>
    <w:pPr>
      <w:keepNext/>
      <w:keepLines/>
      <w:spacing w:before="100" w:after="240" w:line="240" w:lineRule="auto"/>
      <w:outlineLvl w:val="2"/>
    </w:pPr>
    <w:rPr>
      <w:rFonts w:eastAsia="MS Gothic" w:cs="Times New Roman"/>
      <w:bCs/>
      <w:i/>
      <w:iCs/>
      <w:sz w:val="24"/>
      <w:lang w:val="en-US" w:eastAsia="en-US"/>
    </w:rPr>
  </w:style>
  <w:style w:type="paragraph" w:styleId="Heading4">
    <w:name w:val="heading 4"/>
    <w:basedOn w:val="Normal"/>
    <w:next w:val="Normal"/>
    <w:link w:val="Heading4Char"/>
    <w:uiPriority w:val="9"/>
    <w:unhideWhenUsed/>
    <w:qFormat/>
    <w:pPr>
      <w:keepNext/>
      <w:keepLines/>
      <w:spacing w:before="100" w:after="240" w:line="240" w:lineRule="auto"/>
      <w:outlineLvl w:val="3"/>
    </w:pPr>
    <w:rPr>
      <w:rFonts w:eastAsia="MS Gothic" w:cs="Times New Roman"/>
      <w:bCs/>
      <w:i/>
      <w:iCs/>
      <w:color w:val="086F93"/>
      <w:sz w:val="24"/>
      <w:lang w:val="en-US" w:eastAsia="en-US"/>
    </w:rPr>
  </w:style>
  <w:style w:type="paragraph" w:styleId="Heading5">
    <w:name w:val="heading 5"/>
    <w:basedOn w:val="Normal"/>
    <w:next w:val="Normal"/>
    <w:link w:val="Heading5Char"/>
    <w:uiPriority w:val="9"/>
    <w:unhideWhenUsed/>
    <w:qFormat/>
    <w:pPr>
      <w:keepNext/>
      <w:keepLines/>
      <w:spacing w:before="100" w:after="240" w:line="240" w:lineRule="auto"/>
      <w:outlineLvl w:val="4"/>
    </w:pPr>
    <w:rPr>
      <w:rFonts w:eastAsia="MS Gothic" w:cs="Times New Roman"/>
      <w:bCs/>
      <w:i/>
      <w:iCs/>
      <w:color w:val="086F93"/>
      <w:sz w:val="24"/>
      <w:lang w:val="en-US" w:eastAsia="en-US"/>
    </w:rPr>
  </w:style>
  <w:style w:type="paragraph" w:styleId="Heading6">
    <w:name w:val="heading 6"/>
    <w:basedOn w:val="Normal"/>
    <w:next w:val="Normal"/>
    <w:uiPriority w:val="9"/>
    <w:semiHidden/>
    <w:unhideWhenUsed/>
    <w:qFormat/>
    <w:pPr>
      <w:keepNext/>
      <w:keepLines/>
      <w:spacing w:before="40" w:after="0"/>
      <w:outlineLvl w:val="5"/>
    </w:pPr>
    <w:rPr>
      <w:rFonts w:eastAsia="MS Gothic" w:cs="Times New Roman"/>
      <w:i/>
      <w:iCs/>
      <w:sz w:val="23"/>
      <w:lang w:eastAsia="en-US"/>
    </w:rPr>
  </w:style>
  <w:style w:type="paragraph" w:styleId="Heading7">
    <w:name w:val="heading 7"/>
    <w:basedOn w:val="Normal"/>
    <w:next w:val="Normal"/>
    <w:uiPriority w:val="9"/>
    <w:qFormat/>
    <w:pPr>
      <w:keepNext/>
      <w:keepLines/>
      <w:spacing w:before="40" w:after="0"/>
      <w:outlineLvl w:val="6"/>
    </w:pPr>
    <w:rPr>
      <w:rFonts w:ascii="Cambria" w:hAnsi="Cambria" w:eastAsia="MS Gothic" w:cs="Times New Roman"/>
      <w:i/>
      <w:iCs/>
      <w:color w:val="404040"/>
      <w:sz w:val="23"/>
    </w:rPr>
  </w:style>
  <w:style w:type="paragraph" w:styleId="Heading8">
    <w:name w:val="heading 8"/>
    <w:basedOn w:val="Normal"/>
    <w:next w:val="Normal"/>
    <w:uiPriority w:val="9"/>
    <w:qFormat/>
    <w:pPr>
      <w:keepNext/>
      <w:keepLines/>
      <w:spacing w:before="40" w:after="0"/>
      <w:outlineLvl w:val="7"/>
    </w:pPr>
    <w:rPr>
      <w:rFonts w:ascii="Cambria" w:hAnsi="Cambria" w:eastAsia="MS Gothic" w:cs="Times New Roman"/>
      <w:color w:val="404040"/>
      <w:sz w:val="20"/>
      <w:szCs w:val="20"/>
    </w:rPr>
  </w:style>
  <w:style w:type="paragraph" w:styleId="Heading9">
    <w:name w:val="heading 9"/>
    <w:basedOn w:val="Normal"/>
    <w:next w:val="Normal"/>
    <w:uiPriority w:val="9"/>
    <w:qFormat/>
    <w:pPr>
      <w:keepNext/>
      <w:keepLines/>
      <w:spacing w:before="40" w:after="0"/>
      <w:outlineLvl w:val="8"/>
    </w:pPr>
    <w:rPr>
      <w:rFonts w:ascii="Cambria" w:hAnsi="Cambria" w:eastAsia="MS Gothic" w:cs="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s" w:customStyle="1">
    <w:name w:val="Footnotes"/>
    <w:basedOn w:val="Normal"/>
    <w:qFormat/>
    <w:rPr>
      <w:sz w:val="20"/>
      <w:szCs w:val="20"/>
    </w:rPr>
  </w:style>
  <w:style w:type="character" w:styleId="FootnotesChar" w:customStyle="1">
    <w:name w:val="Footnotes Char"/>
    <w:basedOn w:val="DefaultParagraphFont"/>
    <w:rPr>
      <w:rFonts w:eastAsia="MS Mincho"/>
      <w:sz w:val="20"/>
      <w:szCs w:val="20"/>
      <w:lang w:eastAsia="en-AU"/>
    </w:rPr>
  </w:style>
  <w:style w:type="character" w:styleId="Hyperlink">
    <w:name w:val="Hyperlink"/>
    <w:basedOn w:val="DefaultParagraphFont"/>
    <w:uiPriority w:val="99"/>
    <w:rPr>
      <w:color w:val="0000FF"/>
      <w:u w:val="single"/>
    </w:rPr>
  </w:style>
  <w:style w:type="paragraph" w:styleId="Title">
    <w:name w:val="Title"/>
    <w:basedOn w:val="Normal"/>
    <w:next w:val="Normal"/>
    <w:qFormat/>
    <w:pPr>
      <w:outlineLvl w:val="0"/>
    </w:pPr>
    <w:rPr>
      <w:rFonts w:cs="Calibri"/>
      <w:sz w:val="48"/>
      <w:szCs w:val="48"/>
      <w:lang w:val="en-US"/>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rPr>
      <w:rFonts w:ascii="Cambria" w:hAnsi="Cambria" w:eastAsia="MS Gothic" w:cs="Times New Roman"/>
      <w:i/>
      <w:iCs/>
      <w:color w:val="43C7F4"/>
      <w:spacing w:val="15"/>
      <w:sz w:val="24"/>
      <w:szCs w:val="24"/>
    </w:rPr>
  </w:style>
  <w:style w:type="character" w:styleId="SubtitleChar" w:customStyle="1">
    <w:name w:val="Subtitle Char"/>
    <w:basedOn w:val="DefaultParagraphFont"/>
    <w:uiPriority w:val="11"/>
    <w:rPr>
      <w:rFonts w:ascii="Cambria" w:hAnsi="Cambria" w:eastAsia="MS Gothic" w:cs="Times New Roman"/>
      <w:i/>
      <w:iCs/>
      <w:color w:val="43C7F4"/>
      <w:spacing w:val="15"/>
      <w:sz w:val="24"/>
      <w:szCs w:val="24"/>
      <w:lang w:eastAsia="en-AU"/>
    </w:rPr>
  </w:style>
  <w:style w:type="character" w:styleId="Heading1Char" w:customStyle="1">
    <w:name w:val="Heading 1 Char"/>
    <w:basedOn w:val="DefaultParagraphFont"/>
    <w:uiPriority w:val="9"/>
    <w:rPr>
      <w:rFonts w:eastAsia="MS Mincho" w:cs="Calibri"/>
      <w:sz w:val="32"/>
      <w:szCs w:val="32"/>
      <w:lang w:eastAsia="en-AU"/>
    </w:rPr>
  </w:style>
  <w:style w:type="character" w:styleId="FootnoteReference">
    <w:name w:val="footnote reference"/>
    <w:basedOn w:val="DefaultParagraphFont"/>
    <w:uiPriority w:val="99"/>
    <w:rPr>
      <w:position w:val="0"/>
      <w:vertAlign w:val="superscript"/>
    </w:rPr>
  </w:style>
  <w:style w:type="character" w:styleId="CommentReference">
    <w:name w:val="annotation reference"/>
    <w:basedOn w:val="DefaultParagraphFont"/>
    <w:uiPriority w:val="99"/>
    <w:rPr>
      <w:sz w:val="16"/>
      <w:szCs w:val="16"/>
    </w:rPr>
  </w:style>
  <w:style w:type="paragraph" w:styleId="CommentSubject">
    <w:name w:val="annotation subject"/>
    <w:basedOn w:val="Normal"/>
    <w:next w:val="Normal"/>
    <w:link w:val="CommentSubjectChar"/>
    <w:uiPriority w:val="99"/>
    <w:pPr>
      <w:spacing w:line="240" w:lineRule="auto"/>
    </w:pPr>
    <w:rPr>
      <w:b/>
      <w:bCs/>
      <w:sz w:val="20"/>
      <w:szCs w:val="20"/>
    </w:rPr>
  </w:style>
  <w:style w:type="character" w:styleId="CommentSubjectChar" w:customStyle="1">
    <w:name w:val="Comment Subject Char"/>
    <w:basedOn w:val="DefaultParagraphFont"/>
    <w:link w:val="CommentSubject"/>
    <w:uiPriority w:val="99"/>
    <w:semiHidden/>
    <w:rPr>
      <w:rFonts w:eastAsia="MS Mincho"/>
      <w:b/>
      <w:bCs/>
      <w:sz w:val="20"/>
      <w:szCs w:val="20"/>
      <w:lang w:eastAsia="en-AU"/>
    </w:rPr>
  </w:style>
  <w:style w:type="paragraph" w:styleId="BalloonText">
    <w:name w:val="Balloon Text"/>
    <w:basedOn w:val="Normal"/>
    <w:uiPriority w:val="99"/>
    <w:pPr>
      <w:spacing w:after="0" w:line="240" w:lineRule="auto"/>
    </w:pPr>
    <w:rPr>
      <w:rFonts w:ascii="Tahoma" w:hAnsi="Tahoma" w:cs="Tahoma"/>
      <w:sz w:val="16"/>
      <w:szCs w:val="16"/>
    </w:rPr>
  </w:style>
  <w:style w:type="character" w:styleId="BalloonTextChar" w:customStyle="1">
    <w:name w:val="Balloon Text Char"/>
    <w:basedOn w:val="DefaultParagraphFont"/>
    <w:uiPriority w:val="99"/>
    <w:rPr>
      <w:rFonts w:ascii="Tahoma" w:hAnsi="Tahoma" w:eastAsia="MS Mincho" w:cs="Tahoma"/>
      <w:sz w:val="16"/>
      <w:szCs w:val="16"/>
      <w:lang w:eastAsia="en-AU"/>
    </w:rPr>
  </w:style>
  <w:style w:type="character" w:styleId="Heading2Char" w:customStyle="1">
    <w:name w:val="Heading 2 Char"/>
    <w:basedOn w:val="DefaultParagraphFont"/>
    <w:rPr>
      <w:rFonts w:eastAsia="MS Mincho" w:cs="Calibri"/>
      <w:sz w:val="28"/>
      <w:szCs w:val="28"/>
      <w:lang w:eastAsia="en-AU"/>
    </w:rPr>
  </w:style>
  <w:style w:type="character" w:styleId="Heading3Char" w:customStyle="1">
    <w:name w:val="Heading 3 Char"/>
    <w:basedOn w:val="DefaultParagraphFont"/>
    <w:rPr>
      <w:rFonts w:ascii="Calibri" w:hAnsi="Calibri" w:eastAsia="MS Gothic" w:cs="Times New Roman"/>
      <w:bCs/>
      <w:i/>
      <w:iCs/>
      <w:sz w:val="24"/>
      <w:lang w:val="en-US"/>
    </w:rPr>
  </w:style>
  <w:style w:type="character" w:styleId="UnresolvedMention">
    <w:name w:val="Unresolved Mention"/>
    <w:basedOn w:val="DefaultParagraphFont"/>
    <w:uiPriority w:val="99"/>
    <w:rPr>
      <w:color w:val="605E5C"/>
      <w:shd w:val="clear" w:color="auto" w:fill="E1DFDD"/>
    </w:rPr>
  </w:style>
  <w:style w:type="character" w:styleId="TitleChar" w:customStyle="1">
    <w:name w:val="Title Char"/>
    <w:basedOn w:val="DefaultParagraphFont"/>
    <w:rPr>
      <w:rFonts w:eastAsia="MS Mincho" w:cs="Calibri"/>
      <w:sz w:val="48"/>
      <w:szCs w:val="48"/>
      <w:lang w:val="en-US" w:eastAsia="en-AU"/>
    </w:rPr>
  </w:style>
  <w:style w:type="character" w:styleId="FollowedHyperlink">
    <w:name w:val="FollowedHyperlink"/>
    <w:basedOn w:val="DefaultParagraphFont"/>
    <w:uiPriority w:val="99"/>
    <w:rPr>
      <w:color w:val="800080"/>
      <w:u w:val="single"/>
    </w:rPr>
  </w:style>
  <w:style w:type="paragraph" w:styleId="Revision">
    <w:name w:val="Revision"/>
    <w:uiPriority w:val="99"/>
    <w:pPr>
      <w:suppressAutoHyphens/>
      <w:spacing w:after="0" w:line="240" w:lineRule="auto"/>
    </w:pPr>
    <w:rPr>
      <w:rFonts w:eastAsia="MS Mincho"/>
      <w:lang w:eastAsia="en-AU"/>
    </w:rPr>
  </w:style>
  <w:style w:type="paragraph" w:styleId="FundingAcknowledgement" w:customStyle="1">
    <w:name w:val="Funding Acknowledgement"/>
    <w:basedOn w:val="IntenseQuote"/>
    <w:autoRedefine/>
    <w:qFormat/>
    <w:pPr>
      <w:pBdr>
        <w:top w:val="single" w:color="43C7F4" w:sz="36" w:space="10"/>
        <w:bottom w:val="single" w:color="43C7F4" w:sz="36" w:space="10"/>
      </w:pBdr>
      <w:ind w:left="0" w:right="-46"/>
      <w:jc w:val="left"/>
    </w:pPr>
    <w:rPr>
      <w:rFonts w:ascii="Verdana" w:hAnsi="Verdana"/>
      <w:b/>
      <w:color w:val="auto"/>
      <w:sz w:val="16"/>
      <w:lang w:val="en-US"/>
    </w:rPr>
  </w:style>
  <w:style w:type="paragraph" w:styleId="IntenseQuote">
    <w:name w:val="Intense Quote"/>
    <w:basedOn w:val="Normal"/>
    <w:next w:val="Normal"/>
    <w:uiPriority w:val="30"/>
    <w:qFormat/>
    <w:pPr>
      <w:pBdr>
        <w:top w:val="single" w:color="43C7F4" w:sz="4" w:space="10"/>
        <w:bottom w:val="single" w:color="43C7F4" w:sz="4" w:space="10"/>
      </w:pBdr>
      <w:spacing w:before="360" w:after="360"/>
      <w:ind w:left="864" w:right="864"/>
      <w:jc w:val="center"/>
    </w:pPr>
    <w:rPr>
      <w:i/>
      <w:iCs/>
      <w:color w:val="43C7F4"/>
    </w:rPr>
  </w:style>
  <w:style w:type="character" w:styleId="IntenseQuoteChar" w:customStyle="1">
    <w:name w:val="Intense Quote Char"/>
    <w:basedOn w:val="DefaultParagraphFont"/>
    <w:uiPriority w:val="30"/>
    <w:rPr>
      <w:rFonts w:eastAsia="MS Mincho"/>
      <w:i/>
      <w:iCs/>
      <w:color w:val="43C7F4"/>
      <w:lang w:eastAsia="en-AU"/>
    </w:rPr>
  </w:style>
  <w:style w:type="character" w:styleId="Heading4Char" w:customStyle="1">
    <w:name w:val="Heading 4 Char"/>
    <w:basedOn w:val="DefaultParagraphFont"/>
    <w:link w:val="Heading4"/>
    <w:uiPriority w:val="9"/>
    <w:rPr>
      <w:rFonts w:eastAsia="MS Gothic" w:cs="Times New Roman"/>
      <w:bCs/>
      <w:i/>
      <w:iCs/>
      <w:color w:val="086F93"/>
      <w:sz w:val="24"/>
      <w:lang w:val="en-US"/>
    </w:rPr>
  </w:style>
  <w:style w:type="paragraph" w:styleId="Heading71" w:customStyle="1">
    <w:name w:val="Heading 71"/>
    <w:next w:val="Normal"/>
    <w:uiPriority w:val="9"/>
    <w:pPr>
      <w:keepNext/>
      <w:keepLines/>
      <w:suppressAutoHyphens/>
      <w:spacing w:before="200" w:after="0" w:line="240" w:lineRule="auto"/>
      <w:outlineLvl w:val="6"/>
    </w:pPr>
    <w:rPr>
      <w:rFonts w:ascii="Cambria" w:hAnsi="Cambria" w:eastAsia="MS Gothic" w:cs="Times New Roman"/>
      <w:i/>
      <w:iCs/>
      <w:color w:val="404040"/>
      <w:sz w:val="23"/>
      <w:lang w:eastAsia="en-AU"/>
    </w:rPr>
  </w:style>
  <w:style w:type="paragraph" w:styleId="Heading81" w:customStyle="1">
    <w:name w:val="Heading 81"/>
    <w:basedOn w:val="Normal"/>
    <w:next w:val="Normal"/>
    <w:uiPriority w:val="9"/>
    <w:qFormat/>
    <w:pPr>
      <w:keepNext/>
      <w:keepLines/>
      <w:spacing w:before="200" w:after="0" w:line="240" w:lineRule="auto"/>
      <w:outlineLvl w:val="7"/>
    </w:pPr>
    <w:rPr>
      <w:rFonts w:ascii="Cambria" w:hAnsi="Cambria" w:eastAsia="MS Gothic" w:cs="Times New Roman"/>
      <w:color w:val="404040"/>
      <w:sz w:val="20"/>
      <w:szCs w:val="20"/>
    </w:rPr>
  </w:style>
  <w:style w:type="paragraph" w:styleId="Heading91" w:customStyle="1">
    <w:name w:val="Heading 91"/>
    <w:basedOn w:val="Normal"/>
    <w:next w:val="Normal"/>
    <w:uiPriority w:val="9"/>
    <w:qFormat/>
    <w:pPr>
      <w:keepNext/>
      <w:keepLines/>
      <w:spacing w:before="200" w:after="0" w:line="240" w:lineRule="auto"/>
      <w:outlineLvl w:val="8"/>
    </w:pPr>
    <w:rPr>
      <w:rFonts w:ascii="Cambria" w:hAnsi="Cambria" w:eastAsia="MS Gothic" w:cs="Times New Roman"/>
      <w:i/>
      <w:iCs/>
      <w:color w:val="404040"/>
      <w:sz w:val="20"/>
      <w:szCs w:val="20"/>
    </w:rPr>
  </w:style>
  <w:style w:type="character" w:styleId="Heading5Char" w:customStyle="1">
    <w:name w:val="Heading 5 Char"/>
    <w:basedOn w:val="DefaultParagraphFont"/>
    <w:link w:val="Heading5"/>
    <w:uiPriority w:val="9"/>
    <w:rPr>
      <w:rFonts w:eastAsia="MS Gothic" w:cs="Times New Roman"/>
      <w:bCs/>
      <w:i/>
      <w:iCs/>
      <w:color w:val="086F93"/>
      <w:sz w:val="24"/>
      <w:lang w:val="en-US"/>
    </w:rPr>
  </w:style>
  <w:style w:type="character" w:styleId="Heading6Char" w:customStyle="1">
    <w:name w:val="Heading 6 Char"/>
    <w:basedOn w:val="DefaultParagraphFont"/>
    <w:uiPriority w:val="9"/>
    <w:rPr>
      <w:rFonts w:ascii="Calibri" w:hAnsi="Calibri" w:eastAsia="MS Gothic" w:cs="Times New Roman"/>
      <w:i/>
      <w:iCs/>
      <w:sz w:val="23"/>
    </w:rPr>
  </w:style>
  <w:style w:type="character" w:styleId="EndnoteReference">
    <w:name w:val="endnote reference"/>
    <w:basedOn w:val="DefaultParagraphFont"/>
    <w:uiPriority w:val="99"/>
    <w:rPr>
      <w:position w:val="0"/>
      <w:vertAlign w:val="superscript"/>
    </w:rPr>
  </w:style>
  <w:style w:type="paragraph" w:styleId="EndnoteText1" w:customStyle="1">
    <w:name w:val="Endnote Text1"/>
    <w:basedOn w:val="Normal"/>
    <w:next w:val="EndnoteText"/>
    <w:link w:val="EndnoteTextChar"/>
    <w:uiPriority w:val="99"/>
    <w:pPr>
      <w:spacing w:before="100" w:after="100" w:line="240" w:lineRule="auto"/>
    </w:pPr>
    <w:rPr>
      <w:rFonts w:eastAsia="Calibri"/>
      <w:sz w:val="20"/>
      <w:szCs w:val="20"/>
      <w:lang w:val="en-GB" w:eastAsia="en-US"/>
    </w:rPr>
  </w:style>
  <w:style w:type="character" w:styleId="EndnoteTextChar" w:customStyle="1">
    <w:name w:val="Endnote Text Char"/>
    <w:basedOn w:val="DefaultParagraphFont"/>
    <w:link w:val="EndnoteText1"/>
    <w:uiPriority w:val="99"/>
    <w:semiHidden/>
    <w:rPr>
      <w:sz w:val="20"/>
      <w:szCs w:val="20"/>
      <w:lang w:val="en-GB"/>
    </w:rPr>
  </w:style>
  <w:style w:type="character" w:styleId="Strong">
    <w:name w:val="Strong"/>
    <w:basedOn w:val="DefaultParagraphFont"/>
    <w:uiPriority w:val="22"/>
    <w:rPr>
      <w:b/>
      <w:bCs/>
    </w:rPr>
  </w:style>
  <w:style w:type="paragraph" w:styleId="NormalWeb">
    <w:name w:val="Normal (Web)"/>
    <w:basedOn w:val="Normal"/>
    <w:uiPriority w:val="99"/>
    <w:pPr>
      <w:spacing w:before="140" w:after="140" w:line="240" w:lineRule="auto"/>
    </w:pPr>
    <w:rPr>
      <w:rFonts w:ascii="Trebuchet MS" w:hAnsi="Trebuchet MS" w:eastAsia="Times New Roman" w:cs="Times New Roman"/>
      <w:sz w:val="24"/>
      <w:szCs w:val="24"/>
    </w:rPr>
  </w:style>
  <w:style w:type="character" w:styleId="Heading7Char" w:customStyle="1">
    <w:name w:val="Heading 7 Char"/>
    <w:basedOn w:val="DefaultParagraphFont"/>
    <w:uiPriority w:val="9"/>
    <w:rPr>
      <w:rFonts w:ascii="Cambria" w:hAnsi="Cambria" w:eastAsia="MS Gothic" w:cs="Times New Roman"/>
      <w:i/>
      <w:iCs/>
      <w:color w:val="404040"/>
      <w:sz w:val="23"/>
      <w:lang w:eastAsia="en-AU"/>
    </w:rPr>
  </w:style>
  <w:style w:type="paragraph" w:styleId="Recommendation" w:customStyle="1">
    <w:name w:val="Recommendation"/>
    <w:basedOn w:val="Normal"/>
    <w:link w:val="RecommendationChar"/>
    <w:qFormat/>
    <w:pPr>
      <w:numPr>
        <w:numId w:val="6"/>
      </w:numPr>
      <w:pBdr>
        <w:top w:val="single" w:color="44C8F5" w:sz="18" w:space="6"/>
        <w:left w:val="single" w:color="44C8F5" w:sz="18" w:space="5"/>
        <w:bottom w:val="single" w:color="44C8F5" w:sz="18" w:space="6"/>
        <w:right w:val="single" w:color="44C8F5" w:sz="18" w:space="5"/>
      </w:pBdr>
      <w:spacing w:before="100" w:after="100" w:line="240" w:lineRule="auto"/>
      <w:ind w:right="851"/>
    </w:pPr>
    <w:rPr>
      <w:lang w:eastAsia="en-US"/>
    </w:rPr>
  </w:style>
  <w:style w:type="character" w:styleId="RecommendationChar" w:customStyle="1">
    <w:name w:val="Recommendation Char"/>
    <w:basedOn w:val="DefaultParagraphFont"/>
    <w:link w:val="Recommendation"/>
    <w:rPr>
      <w:rFonts w:eastAsia="MS Mincho"/>
    </w:rPr>
  </w:style>
  <w:style w:type="character" w:styleId="Heading8Char" w:customStyle="1">
    <w:name w:val="Heading 8 Char"/>
    <w:basedOn w:val="DefaultParagraphFont"/>
    <w:uiPriority w:val="9"/>
    <w:rPr>
      <w:rFonts w:ascii="Cambria" w:hAnsi="Cambria" w:eastAsia="MS Gothic" w:cs="Times New Roman"/>
      <w:color w:val="404040"/>
      <w:sz w:val="20"/>
      <w:szCs w:val="20"/>
      <w:lang w:eastAsia="en-AU"/>
    </w:rPr>
  </w:style>
  <w:style w:type="character" w:styleId="Heading9Char" w:customStyle="1">
    <w:name w:val="Heading 9 Char"/>
    <w:basedOn w:val="DefaultParagraphFont"/>
    <w:uiPriority w:val="9"/>
    <w:rPr>
      <w:rFonts w:ascii="Cambria" w:hAnsi="Cambria" w:eastAsia="MS Gothic" w:cs="Times New Roman"/>
      <w:i/>
      <w:iCs/>
      <w:color w:val="404040"/>
      <w:sz w:val="20"/>
      <w:szCs w:val="20"/>
      <w:lang w:eastAsia="en-AU"/>
    </w:rPr>
  </w:style>
  <w:style w:type="paragraph" w:styleId="Bulletlist1" w:customStyle="1">
    <w:name w:val="Bullet list 1"/>
    <w:basedOn w:val="Normal"/>
    <w:link w:val="Bulletlist1Char"/>
    <w:qFormat/>
    <w:pPr>
      <w:numPr>
        <w:numId w:val="3"/>
      </w:numPr>
      <w:spacing w:before="100" w:after="100" w:line="240" w:lineRule="auto"/>
    </w:pPr>
  </w:style>
  <w:style w:type="paragraph" w:styleId="Bulletlist2" w:customStyle="1">
    <w:name w:val="Bullet list 2"/>
    <w:basedOn w:val="Bulletlist1"/>
    <w:link w:val="Bulletlist2Char"/>
    <w:qFormat/>
    <w:pPr>
      <w:numPr>
        <w:ilvl w:val="1"/>
      </w:numPr>
    </w:pPr>
  </w:style>
  <w:style w:type="character" w:styleId="Bulletlist1Char" w:customStyle="1">
    <w:name w:val="Bullet list 1 Char"/>
    <w:basedOn w:val="DefaultParagraphFont"/>
    <w:link w:val="Bulletlist1"/>
    <w:rPr>
      <w:rFonts w:eastAsia="MS Mincho"/>
      <w:lang w:eastAsia="en-AU"/>
    </w:rPr>
  </w:style>
  <w:style w:type="paragraph" w:styleId="Bulletlist3" w:customStyle="1">
    <w:name w:val="Bullet list 3"/>
    <w:basedOn w:val="Bulletlist2"/>
    <w:link w:val="Bulletlist3Char"/>
    <w:qFormat/>
    <w:pPr>
      <w:numPr>
        <w:ilvl w:val="2"/>
      </w:numPr>
    </w:pPr>
  </w:style>
  <w:style w:type="character" w:styleId="Bulletlist2Char" w:customStyle="1">
    <w:name w:val="Bullet list 2 Char"/>
    <w:basedOn w:val="Bulletlist1Char"/>
    <w:link w:val="Bulletlist2"/>
    <w:rPr>
      <w:rFonts w:eastAsia="MS Mincho"/>
      <w:lang w:eastAsia="en-AU"/>
    </w:rPr>
  </w:style>
  <w:style w:type="character" w:styleId="Bulletlist3Char" w:customStyle="1">
    <w:name w:val="Bullet list 3 Char"/>
    <w:basedOn w:val="Bulletlist2Char"/>
    <w:link w:val="Bulletlist3"/>
    <w:rPr>
      <w:rFonts w:eastAsia="MS Mincho"/>
      <w:lang w:eastAsia="en-AU"/>
    </w:rPr>
  </w:style>
  <w:style w:type="paragraph" w:styleId="Casestudyheading" w:customStyle="1">
    <w:name w:val="Case study heading"/>
    <w:basedOn w:val="Normal"/>
    <w:next w:val="Normal"/>
    <w:pPr>
      <w:keepNext/>
      <w:spacing w:before="100" w:after="100" w:line="240" w:lineRule="auto"/>
      <w:ind w:left="851" w:right="851"/>
    </w:pPr>
    <w:rPr>
      <w:b/>
      <w:lang w:eastAsia="en-US"/>
    </w:rPr>
  </w:style>
  <w:style w:type="character" w:styleId="CasestudyheadingChar" w:customStyle="1">
    <w:name w:val="Case study heading Char"/>
    <w:basedOn w:val="DefaultParagraphFont"/>
    <w:rPr>
      <w:rFonts w:ascii="Calibri" w:hAnsi="Calibri" w:eastAsia="MS Mincho"/>
      <w:b/>
    </w:rPr>
  </w:style>
  <w:style w:type="paragraph" w:styleId="Casestudy" w:customStyle="1">
    <w:name w:val="Case study"/>
    <w:basedOn w:val="Casestudyheading"/>
    <w:pPr>
      <w:keepNext w:val="0"/>
    </w:pPr>
    <w:rPr>
      <w:b w:val="0"/>
    </w:rPr>
  </w:style>
  <w:style w:type="character" w:styleId="CasestudyChar" w:customStyle="1">
    <w:name w:val="Case study Char"/>
    <w:basedOn w:val="CasestudyheadingChar"/>
    <w:rPr>
      <w:rFonts w:ascii="Calibri" w:hAnsi="Calibri" w:eastAsia="MS Mincho"/>
      <w:b w:val="0"/>
    </w:rPr>
  </w:style>
  <w:style w:type="paragraph" w:styleId="Casestudyquote" w:customStyle="1">
    <w:name w:val="Case study quote"/>
    <w:basedOn w:val="Casestudy"/>
    <w:pPr>
      <w:ind w:left="1418" w:right="1418"/>
    </w:pPr>
  </w:style>
  <w:style w:type="character" w:styleId="CasestudyquoteChar" w:customStyle="1">
    <w:name w:val="Case study quote Char"/>
    <w:basedOn w:val="CasestudyChar"/>
    <w:rPr>
      <w:rFonts w:ascii="Calibri" w:hAnsi="Calibri" w:eastAsia="MS Mincho"/>
      <w:b w:val="0"/>
    </w:rPr>
  </w:style>
  <w:style w:type="character" w:styleId="Heading5Char1" w:customStyle="1">
    <w:name w:val="Heading 5 Char1"/>
    <w:basedOn w:val="DefaultParagraphFont"/>
    <w:uiPriority w:val="9"/>
    <w:rPr>
      <w:rFonts w:ascii="Cambria" w:hAnsi="Cambria" w:eastAsia="MS Gothic" w:cs="Times New Roman"/>
      <w:color w:val="0DA6DB"/>
      <w:lang w:eastAsia="en-AU"/>
    </w:rPr>
  </w:style>
  <w:style w:type="character" w:styleId="Heading6Char1" w:customStyle="1">
    <w:name w:val="Heading 6 Char1"/>
    <w:basedOn w:val="DefaultParagraphFont"/>
    <w:uiPriority w:val="9"/>
    <w:rPr>
      <w:rFonts w:ascii="Cambria" w:hAnsi="Cambria" w:eastAsia="MS Gothic" w:cs="Times New Roman"/>
      <w:color w:val="086E92"/>
      <w:lang w:eastAsia="en-AU"/>
    </w:rPr>
  </w:style>
  <w:style w:type="paragraph" w:styleId="EndnoteText">
    <w:name w:val="endnote text"/>
    <w:basedOn w:val="Normal"/>
    <w:link w:val="EndnoteTextChar1"/>
    <w:uiPriority w:val="99"/>
    <w:pPr>
      <w:spacing w:after="0" w:line="240" w:lineRule="auto"/>
    </w:pPr>
    <w:rPr>
      <w:sz w:val="20"/>
      <w:szCs w:val="20"/>
    </w:rPr>
  </w:style>
  <w:style w:type="character" w:styleId="EndnoteTextChar1" w:customStyle="1">
    <w:name w:val="Endnote Text Char1"/>
    <w:basedOn w:val="DefaultParagraphFont"/>
    <w:link w:val="EndnoteText"/>
    <w:uiPriority w:val="99"/>
    <w:semiHidden/>
    <w:rPr>
      <w:rFonts w:eastAsia="MS Mincho"/>
      <w:sz w:val="20"/>
      <w:szCs w:val="20"/>
      <w:lang w:eastAsia="en-AU"/>
    </w:rPr>
  </w:style>
  <w:style w:type="paragraph" w:styleId="NoSpacing">
    <w:name w:val="No Spacing"/>
    <w:uiPriority w:val="1"/>
    <w:qFormat/>
    <w:pPr>
      <w:suppressAutoHyphens/>
      <w:spacing w:after="0" w:line="240" w:lineRule="auto"/>
    </w:pPr>
    <w:rPr>
      <w:rFonts w:eastAsia="MS Mincho"/>
      <w:lang w:eastAsia="en-AU"/>
    </w:rPr>
  </w:style>
  <w:style w:type="character" w:styleId="Heading7Char1" w:customStyle="1">
    <w:name w:val="Heading 7 Char1"/>
    <w:basedOn w:val="DefaultParagraphFont"/>
    <w:uiPriority w:val="9"/>
    <w:rPr>
      <w:rFonts w:ascii="Cambria" w:hAnsi="Cambria" w:eastAsia="MS Gothic" w:cs="Times New Roman"/>
      <w:i/>
      <w:iCs/>
      <w:color w:val="086E92"/>
      <w:lang w:eastAsia="en-AU"/>
    </w:rPr>
  </w:style>
  <w:style w:type="character" w:styleId="Heading8Char1" w:customStyle="1">
    <w:name w:val="Heading 8 Char1"/>
    <w:basedOn w:val="DefaultParagraphFont"/>
    <w:uiPriority w:val="9"/>
    <w:rPr>
      <w:rFonts w:ascii="Cambria" w:hAnsi="Cambria" w:eastAsia="MS Gothic" w:cs="Times New Roman"/>
      <w:color w:val="272727"/>
      <w:sz w:val="21"/>
      <w:szCs w:val="21"/>
      <w:lang w:eastAsia="en-AU"/>
    </w:rPr>
  </w:style>
  <w:style w:type="character" w:styleId="Heading9Char1" w:customStyle="1">
    <w:name w:val="Heading 9 Char1"/>
    <w:basedOn w:val="DefaultParagraphFont"/>
    <w:uiPriority w:val="9"/>
    <w:rPr>
      <w:rFonts w:ascii="Cambria" w:hAnsi="Cambria" w:eastAsia="MS Gothic" w:cs="Times New Roman"/>
      <w:i/>
      <w:iCs/>
      <w:color w:val="272727"/>
      <w:sz w:val="21"/>
      <w:szCs w:val="21"/>
      <w:lang w:eastAsia="en-AU"/>
    </w:rPr>
  </w:style>
  <w:style w:type="paragraph" w:styleId="DocLabel" w:customStyle="1">
    <w:name w:val="Doc Label"/>
    <w:basedOn w:val="Normal"/>
    <w:qFormat/>
    <w:pPr>
      <w:tabs>
        <w:tab w:val="right" w:pos="9026"/>
      </w:tabs>
    </w:pPr>
    <w:rPr>
      <w:rFonts w:ascii="Verdana" w:hAnsi="Verdana"/>
      <w:b/>
      <w:color w:val="186D83"/>
      <w:sz w:val="36"/>
      <w:szCs w:val="36"/>
    </w:rPr>
  </w:style>
  <w:style w:type="character" w:styleId="DocLabelChar" w:customStyle="1">
    <w:name w:val="Doc Label Char"/>
    <w:basedOn w:val="DefaultParagraphFont"/>
    <w:rPr>
      <w:rFonts w:ascii="Verdana" w:hAnsi="Verdana" w:eastAsia="MS Mincho"/>
      <w:b/>
      <w:color w:val="186D83"/>
      <w:sz w:val="36"/>
      <w:szCs w:val="36"/>
      <w:lang w:eastAsia="en-AU"/>
    </w:rPr>
  </w:style>
  <w:style w:type="paragraph" w:styleId="Letterhead1" w:customStyle="1">
    <w:name w:val="Letterhead 1"/>
    <w:basedOn w:val="Normal"/>
    <w:qFormat/>
    <w:pPr>
      <w:tabs>
        <w:tab w:val="left" w:pos="3855"/>
        <w:tab w:val="center" w:pos="4513"/>
        <w:tab w:val="right" w:pos="9026"/>
      </w:tabs>
      <w:spacing w:after="0"/>
      <w:jc w:val="right"/>
    </w:pPr>
    <w:rPr>
      <w:rFonts w:ascii="Verdana" w:hAnsi="Verdana"/>
      <w:b/>
      <w:bCs/>
      <w:i/>
      <w:spacing w:val="8"/>
      <w:sz w:val="19"/>
      <w:szCs w:val="20"/>
    </w:rPr>
  </w:style>
  <w:style w:type="paragraph" w:styleId="Letterhead2" w:customStyle="1">
    <w:name w:val="Letterhead 2"/>
    <w:basedOn w:val="Normal"/>
    <w:qFormat/>
    <w:pPr>
      <w:tabs>
        <w:tab w:val="left" w:pos="1843"/>
        <w:tab w:val="center" w:pos="4513"/>
        <w:tab w:val="right" w:pos="9026"/>
      </w:tabs>
      <w:spacing w:after="0" w:line="240" w:lineRule="auto"/>
      <w:ind w:hanging="851"/>
    </w:pPr>
    <w:rPr>
      <w:rFonts w:ascii="Gotham" w:hAnsi="Gotham"/>
      <w:b/>
      <w:bCs/>
      <w:i/>
      <w:iCs/>
      <w:color w:val="43C7F4"/>
    </w:rPr>
  </w:style>
  <w:style w:type="character" w:styleId="Letterhead1Char" w:customStyle="1">
    <w:name w:val="Letterhead 1 Char"/>
    <w:basedOn w:val="DefaultParagraphFont"/>
    <w:rPr>
      <w:rFonts w:ascii="Verdana" w:hAnsi="Verdana" w:eastAsia="MS Mincho"/>
      <w:b/>
      <w:bCs/>
      <w:i/>
      <w:spacing w:val="8"/>
      <w:sz w:val="19"/>
      <w:szCs w:val="20"/>
      <w:lang w:eastAsia="en-AU"/>
    </w:rPr>
  </w:style>
  <w:style w:type="paragraph" w:styleId="DocDate" w:customStyle="1">
    <w:name w:val="Doc Date"/>
    <w:basedOn w:val="Normal"/>
    <w:qFormat/>
    <w:pPr>
      <w:tabs>
        <w:tab w:val="right" w:pos="9026"/>
      </w:tabs>
    </w:pPr>
    <w:rPr>
      <w:rFonts w:ascii="Verdana" w:hAnsi="Verdana"/>
      <w:b/>
      <w:bCs/>
      <w:i/>
    </w:rPr>
  </w:style>
  <w:style w:type="character" w:styleId="Letterhead2Char" w:customStyle="1">
    <w:name w:val="Letterhead 2 Char"/>
    <w:basedOn w:val="DefaultParagraphFont"/>
    <w:rPr>
      <w:rFonts w:ascii="Gotham" w:hAnsi="Gotham" w:eastAsia="MS Mincho"/>
      <w:b/>
      <w:bCs/>
      <w:i/>
      <w:iCs/>
      <w:color w:val="43C7F4"/>
      <w:lang w:eastAsia="en-AU"/>
    </w:rPr>
  </w:style>
  <w:style w:type="character" w:styleId="DocDateChar" w:customStyle="1">
    <w:name w:val="Doc Date Char"/>
    <w:basedOn w:val="DefaultParagraphFont"/>
    <w:rPr>
      <w:rFonts w:ascii="Verdana" w:hAnsi="Verdana" w:eastAsia="MS Mincho"/>
      <w:b/>
      <w:bCs/>
      <w:i/>
      <w:lang w:eastAsia="en-AU"/>
    </w:rPr>
  </w:style>
  <w:style w:type="paragraph" w:styleId="Header">
    <w:name w:val="header"/>
    <w:basedOn w:val="Normal"/>
    <w:uiPriority w:val="99"/>
    <w:pPr>
      <w:tabs>
        <w:tab w:val="center" w:pos="4513"/>
        <w:tab w:val="right" w:pos="9026"/>
      </w:tabs>
      <w:spacing w:after="0" w:line="240" w:lineRule="auto"/>
    </w:pPr>
  </w:style>
  <w:style w:type="character" w:styleId="HeaderChar" w:customStyle="1">
    <w:name w:val="Header Char"/>
    <w:basedOn w:val="DefaultParagraphFont"/>
    <w:uiPriority w:val="99"/>
    <w:rPr>
      <w:rFonts w:eastAsia="MS Mincho"/>
      <w:lang w:eastAsia="en-AU"/>
    </w:rPr>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rPr>
      <w:rFonts w:eastAsia="MS Mincho"/>
      <w:lang w:eastAsia="en-AU"/>
    </w:rPr>
  </w:style>
  <w:style w:type="numbering" w:styleId="Appendices" w:customStyle="1">
    <w:name w:val="Appendices"/>
    <w:basedOn w:val="NoList"/>
    <w:uiPriority w:val="99"/>
    <w:pPr>
      <w:numPr>
        <w:numId w:val="1"/>
      </w:numPr>
    </w:pPr>
  </w:style>
  <w:style w:type="numbering" w:styleId="Headings" w:customStyle="1">
    <w:name w:val="Headings"/>
    <w:basedOn w:val="NoList"/>
    <w:uiPriority w:val="99"/>
    <w:pPr>
      <w:numPr>
        <w:numId w:val="2"/>
      </w:numPr>
    </w:pPr>
  </w:style>
  <w:style w:type="numbering" w:styleId="Bullets" w:customStyle="1">
    <w:name w:val="Bullets"/>
    <w:basedOn w:val="NoList"/>
    <w:uiPriority w:val="99"/>
    <w:pPr>
      <w:numPr>
        <w:numId w:val="3"/>
      </w:numPr>
    </w:pPr>
  </w:style>
  <w:style w:type="numbering" w:styleId="Blockquotebullets" w:customStyle="1">
    <w:name w:val="Blockquote bullets"/>
    <w:basedOn w:val="NoList"/>
    <w:uiPriority w:val="99"/>
    <w:pPr>
      <w:numPr>
        <w:numId w:val="4"/>
      </w:numPr>
    </w:pPr>
  </w:style>
  <w:style w:type="numbering" w:styleId="Recommendations" w:customStyle="1">
    <w:name w:val="Recommendations"/>
    <w:basedOn w:val="NoList"/>
    <w:uiPriority w:val="99"/>
    <w:pPr>
      <w:numPr>
        <w:numId w:val="5"/>
      </w:numPr>
    </w:pPr>
  </w:style>
  <w:style w:type="paragraph" w:styleId="TOC1">
    <w:name w:val="toc 1"/>
    <w:basedOn w:val="Normal"/>
    <w:next w:val="Normal"/>
    <w:autoRedefine/>
    <w:uiPriority w:val="39"/>
    <w:unhideWhenUsed/>
    <w:rsid w:val="00CE0EC5"/>
    <w:pPr>
      <w:tabs>
        <w:tab w:val="right" w:leader="dot" w:pos="9016"/>
      </w:tabs>
      <w:spacing w:after="100"/>
    </w:pPr>
  </w:style>
  <w:style w:type="paragraph" w:styleId="FootnoteText">
    <w:name w:val="footnote text"/>
    <w:basedOn w:val="Normal"/>
    <w:link w:val="FootnoteTextChar"/>
    <w:uiPriority w:val="99"/>
    <w:semiHidden/>
    <w:unhideWhenUsed/>
    <w:rsid w:val="00A16BC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16BC5"/>
    <w:rPr>
      <w:rFonts w:eastAsia="MS Mincho"/>
      <w:sz w:val="20"/>
      <w:szCs w:val="20"/>
      <w:lang w:eastAsia="en-AU"/>
    </w:rPr>
  </w:style>
  <w:style w:type="paragraph" w:styleId="CommentText">
    <w:name w:val="annotation text"/>
    <w:basedOn w:val="Normal"/>
    <w:link w:val="CommentTextChar"/>
    <w:uiPriority w:val="99"/>
    <w:unhideWhenUsed/>
    <w:rsid w:val="0043390C"/>
    <w:pPr>
      <w:spacing w:line="240" w:lineRule="auto"/>
    </w:pPr>
    <w:rPr>
      <w:sz w:val="20"/>
      <w:szCs w:val="20"/>
    </w:rPr>
  </w:style>
  <w:style w:type="character" w:styleId="CommentTextChar" w:customStyle="1">
    <w:name w:val="Comment Text Char"/>
    <w:basedOn w:val="DefaultParagraphFont"/>
    <w:link w:val="CommentText"/>
    <w:uiPriority w:val="99"/>
    <w:rsid w:val="0043390C"/>
    <w:rPr>
      <w:rFonts w:eastAsia="MS Mincho"/>
      <w:sz w:val="20"/>
      <w:szCs w:val="20"/>
      <w:lang w:eastAsia="en-AU"/>
    </w:rPr>
  </w:style>
  <w:style w:type="character" w:styleId="Mention">
    <w:name w:val="Mention"/>
    <w:basedOn w:val="DefaultParagraphFont"/>
    <w:uiPriority w:val="99"/>
    <w:unhideWhenUsed/>
    <w:rsid w:val="00AD3CE2"/>
    <w:rPr>
      <w:color w:val="2B579A"/>
      <w:shd w:val="clear" w:color="auto" w:fill="E1DFDD"/>
    </w:rPr>
  </w:style>
  <w:style w:type="character" w:styleId="normaltextrun" w:customStyle="1">
    <w:name w:val="normaltextrun"/>
    <w:basedOn w:val="DefaultParagraphFont"/>
    <w:rsid w:val="003C6395"/>
  </w:style>
  <w:style w:type="character" w:styleId="eop" w:customStyle="1">
    <w:name w:val="eop"/>
    <w:basedOn w:val="DefaultParagraphFont"/>
    <w:rsid w:val="003C6395"/>
  </w:style>
  <w:style w:type="paragraph" w:styleId="paragraph" w:customStyle="1">
    <w:name w:val="paragraph"/>
    <w:basedOn w:val="Normal"/>
    <w:rsid w:val="00D366DD"/>
    <w:pPr>
      <w:suppressAutoHyphens w:val="0"/>
      <w:autoSpaceDN/>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superscript" w:customStyle="1">
    <w:name w:val="superscript"/>
    <w:basedOn w:val="DefaultParagraphFont"/>
    <w:rsid w:val="00D366DD"/>
  </w:style>
  <w:style w:type="paragraph" w:styleId="Quote">
    <w:name w:val="Quote"/>
    <w:basedOn w:val="Normal"/>
    <w:next w:val="Normal"/>
    <w:link w:val="QuoteChar"/>
    <w:uiPriority w:val="29"/>
    <w:qFormat/>
    <w:rsid w:val="00366FF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66FF7"/>
    <w:rPr>
      <w:rFonts w:eastAsia="MS Mincho"/>
      <w:i/>
      <w:iCs/>
      <w:color w:val="404040" w:themeColor="text1" w:themeTint="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691">
      <w:bodyDiv w:val="1"/>
      <w:marLeft w:val="0"/>
      <w:marRight w:val="0"/>
      <w:marTop w:val="0"/>
      <w:marBottom w:val="0"/>
      <w:divBdr>
        <w:top w:val="none" w:sz="0" w:space="0" w:color="auto"/>
        <w:left w:val="none" w:sz="0" w:space="0" w:color="auto"/>
        <w:bottom w:val="none" w:sz="0" w:space="0" w:color="auto"/>
        <w:right w:val="none" w:sz="0" w:space="0" w:color="auto"/>
      </w:divBdr>
    </w:div>
    <w:div w:id="79564180">
      <w:bodyDiv w:val="1"/>
      <w:marLeft w:val="0"/>
      <w:marRight w:val="0"/>
      <w:marTop w:val="0"/>
      <w:marBottom w:val="0"/>
      <w:divBdr>
        <w:top w:val="none" w:sz="0" w:space="0" w:color="auto"/>
        <w:left w:val="none" w:sz="0" w:space="0" w:color="auto"/>
        <w:bottom w:val="none" w:sz="0" w:space="0" w:color="auto"/>
        <w:right w:val="none" w:sz="0" w:space="0" w:color="auto"/>
      </w:divBdr>
    </w:div>
    <w:div w:id="118572333">
      <w:bodyDiv w:val="1"/>
      <w:marLeft w:val="0"/>
      <w:marRight w:val="0"/>
      <w:marTop w:val="0"/>
      <w:marBottom w:val="0"/>
      <w:divBdr>
        <w:top w:val="none" w:sz="0" w:space="0" w:color="auto"/>
        <w:left w:val="none" w:sz="0" w:space="0" w:color="auto"/>
        <w:bottom w:val="none" w:sz="0" w:space="0" w:color="auto"/>
        <w:right w:val="none" w:sz="0" w:space="0" w:color="auto"/>
      </w:divBdr>
    </w:div>
    <w:div w:id="240140262">
      <w:bodyDiv w:val="1"/>
      <w:marLeft w:val="0"/>
      <w:marRight w:val="0"/>
      <w:marTop w:val="0"/>
      <w:marBottom w:val="0"/>
      <w:divBdr>
        <w:top w:val="none" w:sz="0" w:space="0" w:color="auto"/>
        <w:left w:val="none" w:sz="0" w:space="0" w:color="auto"/>
        <w:bottom w:val="none" w:sz="0" w:space="0" w:color="auto"/>
        <w:right w:val="none" w:sz="0" w:space="0" w:color="auto"/>
      </w:divBdr>
    </w:div>
    <w:div w:id="284888464">
      <w:bodyDiv w:val="1"/>
      <w:marLeft w:val="0"/>
      <w:marRight w:val="0"/>
      <w:marTop w:val="0"/>
      <w:marBottom w:val="0"/>
      <w:divBdr>
        <w:top w:val="none" w:sz="0" w:space="0" w:color="auto"/>
        <w:left w:val="none" w:sz="0" w:space="0" w:color="auto"/>
        <w:bottom w:val="none" w:sz="0" w:space="0" w:color="auto"/>
        <w:right w:val="none" w:sz="0" w:space="0" w:color="auto"/>
      </w:divBdr>
    </w:div>
    <w:div w:id="486434377">
      <w:bodyDiv w:val="1"/>
      <w:marLeft w:val="0"/>
      <w:marRight w:val="0"/>
      <w:marTop w:val="0"/>
      <w:marBottom w:val="0"/>
      <w:divBdr>
        <w:top w:val="none" w:sz="0" w:space="0" w:color="auto"/>
        <w:left w:val="none" w:sz="0" w:space="0" w:color="auto"/>
        <w:bottom w:val="none" w:sz="0" w:space="0" w:color="auto"/>
        <w:right w:val="none" w:sz="0" w:space="0" w:color="auto"/>
      </w:divBdr>
    </w:div>
    <w:div w:id="558976667">
      <w:bodyDiv w:val="1"/>
      <w:marLeft w:val="0"/>
      <w:marRight w:val="0"/>
      <w:marTop w:val="0"/>
      <w:marBottom w:val="0"/>
      <w:divBdr>
        <w:top w:val="none" w:sz="0" w:space="0" w:color="auto"/>
        <w:left w:val="none" w:sz="0" w:space="0" w:color="auto"/>
        <w:bottom w:val="none" w:sz="0" w:space="0" w:color="auto"/>
        <w:right w:val="none" w:sz="0" w:space="0" w:color="auto"/>
      </w:divBdr>
    </w:div>
    <w:div w:id="612790912">
      <w:bodyDiv w:val="1"/>
      <w:marLeft w:val="0"/>
      <w:marRight w:val="0"/>
      <w:marTop w:val="0"/>
      <w:marBottom w:val="0"/>
      <w:divBdr>
        <w:top w:val="none" w:sz="0" w:space="0" w:color="auto"/>
        <w:left w:val="none" w:sz="0" w:space="0" w:color="auto"/>
        <w:bottom w:val="none" w:sz="0" w:space="0" w:color="auto"/>
        <w:right w:val="none" w:sz="0" w:space="0" w:color="auto"/>
      </w:divBdr>
    </w:div>
    <w:div w:id="692655905">
      <w:bodyDiv w:val="1"/>
      <w:marLeft w:val="0"/>
      <w:marRight w:val="0"/>
      <w:marTop w:val="0"/>
      <w:marBottom w:val="0"/>
      <w:divBdr>
        <w:top w:val="none" w:sz="0" w:space="0" w:color="auto"/>
        <w:left w:val="none" w:sz="0" w:space="0" w:color="auto"/>
        <w:bottom w:val="none" w:sz="0" w:space="0" w:color="auto"/>
        <w:right w:val="none" w:sz="0" w:space="0" w:color="auto"/>
      </w:divBdr>
    </w:div>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918519613">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
    <w:div w:id="1173183050">
      <w:bodyDiv w:val="1"/>
      <w:marLeft w:val="0"/>
      <w:marRight w:val="0"/>
      <w:marTop w:val="0"/>
      <w:marBottom w:val="0"/>
      <w:divBdr>
        <w:top w:val="none" w:sz="0" w:space="0" w:color="auto"/>
        <w:left w:val="none" w:sz="0" w:space="0" w:color="auto"/>
        <w:bottom w:val="none" w:sz="0" w:space="0" w:color="auto"/>
        <w:right w:val="none" w:sz="0" w:space="0" w:color="auto"/>
      </w:divBdr>
      <w:divsChild>
        <w:div w:id="102236367">
          <w:marLeft w:val="0"/>
          <w:marRight w:val="0"/>
          <w:marTop w:val="0"/>
          <w:marBottom w:val="0"/>
          <w:divBdr>
            <w:top w:val="none" w:sz="0" w:space="0" w:color="auto"/>
            <w:left w:val="none" w:sz="0" w:space="0" w:color="auto"/>
            <w:bottom w:val="none" w:sz="0" w:space="0" w:color="auto"/>
            <w:right w:val="none" w:sz="0" w:space="0" w:color="auto"/>
          </w:divBdr>
          <w:divsChild>
            <w:div w:id="1427309642">
              <w:marLeft w:val="0"/>
              <w:marRight w:val="0"/>
              <w:marTop w:val="0"/>
              <w:marBottom w:val="0"/>
              <w:divBdr>
                <w:top w:val="none" w:sz="0" w:space="0" w:color="auto"/>
                <w:left w:val="none" w:sz="0" w:space="0" w:color="auto"/>
                <w:bottom w:val="none" w:sz="0" w:space="0" w:color="auto"/>
                <w:right w:val="none" w:sz="0" w:space="0" w:color="auto"/>
              </w:divBdr>
              <w:divsChild>
                <w:div w:id="1379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685">
          <w:marLeft w:val="0"/>
          <w:marRight w:val="0"/>
          <w:marTop w:val="0"/>
          <w:marBottom w:val="240"/>
          <w:divBdr>
            <w:top w:val="none" w:sz="0" w:space="0" w:color="auto"/>
            <w:left w:val="none" w:sz="0" w:space="0" w:color="auto"/>
            <w:bottom w:val="none" w:sz="0" w:space="0" w:color="auto"/>
            <w:right w:val="none" w:sz="0" w:space="0" w:color="auto"/>
          </w:divBdr>
          <w:divsChild>
            <w:div w:id="93325123">
              <w:marLeft w:val="0"/>
              <w:marRight w:val="0"/>
              <w:marTop w:val="0"/>
              <w:marBottom w:val="0"/>
              <w:divBdr>
                <w:top w:val="none" w:sz="0" w:space="0" w:color="auto"/>
                <w:left w:val="none" w:sz="0" w:space="0" w:color="auto"/>
                <w:bottom w:val="none" w:sz="0" w:space="0" w:color="auto"/>
                <w:right w:val="none" w:sz="0" w:space="0" w:color="auto"/>
              </w:divBdr>
            </w:div>
            <w:div w:id="158235084">
              <w:marLeft w:val="0"/>
              <w:marRight w:val="0"/>
              <w:marTop w:val="0"/>
              <w:marBottom w:val="0"/>
              <w:divBdr>
                <w:top w:val="none" w:sz="0" w:space="0" w:color="auto"/>
                <w:left w:val="none" w:sz="0" w:space="0" w:color="auto"/>
                <w:bottom w:val="none" w:sz="0" w:space="0" w:color="auto"/>
                <w:right w:val="none" w:sz="0" w:space="0" w:color="auto"/>
              </w:divBdr>
              <w:divsChild>
                <w:div w:id="5238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833">
      <w:bodyDiv w:val="1"/>
      <w:marLeft w:val="0"/>
      <w:marRight w:val="0"/>
      <w:marTop w:val="0"/>
      <w:marBottom w:val="0"/>
      <w:divBdr>
        <w:top w:val="none" w:sz="0" w:space="0" w:color="auto"/>
        <w:left w:val="none" w:sz="0" w:space="0" w:color="auto"/>
        <w:bottom w:val="none" w:sz="0" w:space="0" w:color="auto"/>
        <w:right w:val="none" w:sz="0" w:space="0" w:color="auto"/>
      </w:divBdr>
      <w:divsChild>
        <w:div w:id="1605532240">
          <w:marLeft w:val="0"/>
          <w:marRight w:val="0"/>
          <w:marTop w:val="0"/>
          <w:marBottom w:val="0"/>
          <w:divBdr>
            <w:top w:val="none" w:sz="0" w:space="0" w:color="auto"/>
            <w:left w:val="none" w:sz="0" w:space="0" w:color="auto"/>
            <w:bottom w:val="none" w:sz="0" w:space="0" w:color="auto"/>
            <w:right w:val="none" w:sz="0" w:space="0" w:color="auto"/>
          </w:divBdr>
          <w:divsChild>
            <w:div w:id="1568757555">
              <w:marLeft w:val="0"/>
              <w:marRight w:val="0"/>
              <w:marTop w:val="0"/>
              <w:marBottom w:val="0"/>
              <w:divBdr>
                <w:top w:val="none" w:sz="0" w:space="0" w:color="auto"/>
                <w:left w:val="none" w:sz="0" w:space="0" w:color="auto"/>
                <w:bottom w:val="none" w:sz="0" w:space="0" w:color="auto"/>
                <w:right w:val="none" w:sz="0" w:space="0" w:color="auto"/>
              </w:divBdr>
              <w:divsChild>
                <w:div w:id="19422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8513">
          <w:marLeft w:val="0"/>
          <w:marRight w:val="0"/>
          <w:marTop w:val="0"/>
          <w:marBottom w:val="240"/>
          <w:divBdr>
            <w:top w:val="none" w:sz="0" w:space="0" w:color="auto"/>
            <w:left w:val="none" w:sz="0" w:space="0" w:color="auto"/>
            <w:bottom w:val="none" w:sz="0" w:space="0" w:color="auto"/>
            <w:right w:val="none" w:sz="0" w:space="0" w:color="auto"/>
          </w:divBdr>
          <w:divsChild>
            <w:div w:id="283736656">
              <w:marLeft w:val="0"/>
              <w:marRight w:val="0"/>
              <w:marTop w:val="0"/>
              <w:marBottom w:val="0"/>
              <w:divBdr>
                <w:top w:val="none" w:sz="0" w:space="0" w:color="auto"/>
                <w:left w:val="none" w:sz="0" w:space="0" w:color="auto"/>
                <w:bottom w:val="none" w:sz="0" w:space="0" w:color="auto"/>
                <w:right w:val="none" w:sz="0" w:space="0" w:color="auto"/>
              </w:divBdr>
              <w:divsChild>
                <w:div w:id="831289029">
                  <w:marLeft w:val="0"/>
                  <w:marRight w:val="0"/>
                  <w:marTop w:val="0"/>
                  <w:marBottom w:val="0"/>
                  <w:divBdr>
                    <w:top w:val="none" w:sz="0" w:space="0" w:color="auto"/>
                    <w:left w:val="none" w:sz="0" w:space="0" w:color="auto"/>
                    <w:bottom w:val="none" w:sz="0" w:space="0" w:color="auto"/>
                    <w:right w:val="none" w:sz="0" w:space="0" w:color="auto"/>
                  </w:divBdr>
                </w:div>
              </w:divsChild>
            </w:div>
            <w:div w:id="21293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848">
      <w:bodyDiv w:val="1"/>
      <w:marLeft w:val="0"/>
      <w:marRight w:val="0"/>
      <w:marTop w:val="0"/>
      <w:marBottom w:val="0"/>
      <w:divBdr>
        <w:top w:val="none" w:sz="0" w:space="0" w:color="auto"/>
        <w:left w:val="none" w:sz="0" w:space="0" w:color="auto"/>
        <w:bottom w:val="none" w:sz="0" w:space="0" w:color="auto"/>
        <w:right w:val="none" w:sz="0" w:space="0" w:color="auto"/>
      </w:divBdr>
    </w:div>
    <w:div w:id="1285768301">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77117922">
      <w:bodyDiv w:val="1"/>
      <w:marLeft w:val="0"/>
      <w:marRight w:val="0"/>
      <w:marTop w:val="0"/>
      <w:marBottom w:val="0"/>
      <w:divBdr>
        <w:top w:val="none" w:sz="0" w:space="0" w:color="auto"/>
        <w:left w:val="none" w:sz="0" w:space="0" w:color="auto"/>
        <w:bottom w:val="none" w:sz="0" w:space="0" w:color="auto"/>
        <w:right w:val="none" w:sz="0" w:space="0" w:color="auto"/>
      </w:divBdr>
    </w:div>
    <w:div w:id="1534539415">
      <w:bodyDiv w:val="1"/>
      <w:marLeft w:val="0"/>
      <w:marRight w:val="0"/>
      <w:marTop w:val="0"/>
      <w:marBottom w:val="0"/>
      <w:divBdr>
        <w:top w:val="none" w:sz="0" w:space="0" w:color="auto"/>
        <w:left w:val="none" w:sz="0" w:space="0" w:color="auto"/>
        <w:bottom w:val="none" w:sz="0" w:space="0" w:color="auto"/>
        <w:right w:val="none" w:sz="0" w:space="0" w:color="auto"/>
      </w:divBdr>
    </w:div>
    <w:div w:id="1536698264">
      <w:bodyDiv w:val="1"/>
      <w:marLeft w:val="0"/>
      <w:marRight w:val="0"/>
      <w:marTop w:val="0"/>
      <w:marBottom w:val="0"/>
      <w:divBdr>
        <w:top w:val="none" w:sz="0" w:space="0" w:color="auto"/>
        <w:left w:val="none" w:sz="0" w:space="0" w:color="auto"/>
        <w:bottom w:val="none" w:sz="0" w:space="0" w:color="auto"/>
        <w:right w:val="none" w:sz="0" w:space="0" w:color="auto"/>
      </w:divBdr>
    </w:div>
    <w:div w:id="1539900652">
      <w:bodyDiv w:val="1"/>
      <w:marLeft w:val="0"/>
      <w:marRight w:val="0"/>
      <w:marTop w:val="0"/>
      <w:marBottom w:val="0"/>
      <w:divBdr>
        <w:top w:val="none" w:sz="0" w:space="0" w:color="auto"/>
        <w:left w:val="none" w:sz="0" w:space="0" w:color="auto"/>
        <w:bottom w:val="none" w:sz="0" w:space="0" w:color="auto"/>
        <w:right w:val="none" w:sz="0" w:space="0" w:color="auto"/>
      </w:divBdr>
    </w:div>
    <w:div w:id="1543522191">
      <w:bodyDiv w:val="1"/>
      <w:marLeft w:val="0"/>
      <w:marRight w:val="0"/>
      <w:marTop w:val="0"/>
      <w:marBottom w:val="0"/>
      <w:divBdr>
        <w:top w:val="none" w:sz="0" w:space="0" w:color="auto"/>
        <w:left w:val="none" w:sz="0" w:space="0" w:color="auto"/>
        <w:bottom w:val="none" w:sz="0" w:space="0" w:color="auto"/>
        <w:right w:val="none" w:sz="0" w:space="0" w:color="auto"/>
      </w:divBdr>
    </w:div>
    <w:div w:id="1559777881">
      <w:bodyDiv w:val="1"/>
      <w:marLeft w:val="0"/>
      <w:marRight w:val="0"/>
      <w:marTop w:val="0"/>
      <w:marBottom w:val="0"/>
      <w:divBdr>
        <w:top w:val="none" w:sz="0" w:space="0" w:color="auto"/>
        <w:left w:val="none" w:sz="0" w:space="0" w:color="auto"/>
        <w:bottom w:val="none" w:sz="0" w:space="0" w:color="auto"/>
        <w:right w:val="none" w:sz="0" w:space="0" w:color="auto"/>
      </w:divBdr>
      <w:divsChild>
        <w:div w:id="1006904912">
          <w:marLeft w:val="0"/>
          <w:marRight w:val="0"/>
          <w:marTop w:val="0"/>
          <w:marBottom w:val="0"/>
          <w:divBdr>
            <w:top w:val="none" w:sz="0" w:space="0" w:color="auto"/>
            <w:left w:val="none" w:sz="0" w:space="0" w:color="auto"/>
            <w:bottom w:val="none" w:sz="0" w:space="0" w:color="auto"/>
            <w:right w:val="none" w:sz="0" w:space="0" w:color="auto"/>
          </w:divBdr>
        </w:div>
      </w:divsChild>
    </w:div>
    <w:div w:id="1613631364">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09377364">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28800082">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999917830">
      <w:bodyDiv w:val="1"/>
      <w:marLeft w:val="0"/>
      <w:marRight w:val="0"/>
      <w:marTop w:val="0"/>
      <w:marBottom w:val="0"/>
      <w:divBdr>
        <w:top w:val="none" w:sz="0" w:space="0" w:color="auto"/>
        <w:left w:val="none" w:sz="0" w:space="0" w:color="auto"/>
        <w:bottom w:val="none" w:sz="0" w:space="0" w:color="auto"/>
        <w:right w:val="none" w:sz="0" w:space="0" w:color="auto"/>
      </w:divBdr>
    </w:div>
    <w:div w:id="207585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s://accan.org.au/about-us/reporting/reconcilitiation-action-plan"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relayservice.gov.au/" TargetMode="External" Id="rId17" /><Relationship Type="http://schemas.openxmlformats.org/officeDocument/2006/relationships/customXml" Target="../customXml/item2.xml" Id="rId2" /><Relationship Type="http://schemas.openxmlformats.org/officeDocument/2006/relationships/hyperlink" Target="mailto:info@accan.org.a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26" Type="http://schemas.openxmlformats.org/officeDocument/2006/relationships/hyperlink" Target="https://www.depreciationrates.net.au/computer" TargetMode="External"/><Relationship Id="rId21" Type="http://schemas.openxmlformats.org/officeDocument/2006/relationships/hyperlink" Target="https://www.finder.com.au/digital-divide-49-percent-of-kids-lack-tech-access" TargetMode="External"/><Relationship Id="rId42" Type="http://schemas.openxmlformats.org/officeDocument/2006/relationships/hyperlink" Target="https://www.digitalinclusion.gov.au/sites/default/files/documents/first-nations-digital-inclusion-advisory-group-initial-report.pdf" TargetMode="External"/><Relationship Id="rId47" Type="http://schemas.openxmlformats.org/officeDocument/2006/relationships/hyperlink" Target="https://www.digitalinclusion.gov.au/sites/default/files/documents/first-nations-digital-inclusion-advisory-group-initial-report.pdf" TargetMode="External"/><Relationship Id="rId63" Type="http://schemas.openxmlformats.org/officeDocument/2006/relationships/hyperlink" Target="https://canadatelecoms.ca/wp-content/uploads/2023/11/Connecting-Canadians-through-resilient-networks.pdf" TargetMode="External"/><Relationship Id="rId68" Type="http://schemas.openxmlformats.org/officeDocument/2006/relationships/hyperlink" Target="https://accan.org.au/accans-work/submissions/2258-optus-network-outage?highlight=WyJvcHR1cyIsIm9wdHVzJyIsIidvcHR1cyIsIm9wdHVzJ3MiXQ==" TargetMode="External"/><Relationship Id="rId84" Type="http://schemas.openxmlformats.org/officeDocument/2006/relationships/hyperlink" Target="https://www.goodthingsfoundation.org/insights/the-economic-impact-of-digital-inclusion-in-the-uk/" TargetMode="External"/><Relationship Id="rId89" Type="http://schemas.openxmlformats.org/officeDocument/2006/relationships/hyperlink" Target="https://accan.org.au/accans-work/submissions/2055-pre-budget-submission-2023-2024?highlight=WyJwcmUiXQ==" TargetMode="External"/><Relationship Id="rId16" Type="http://schemas.openxmlformats.org/officeDocument/2006/relationships/hyperlink" Target="https://accan.org.au/accans-work/policy-positions/2123-independent-plan-comparison-tool" TargetMode="External"/><Relationship Id="rId11" Type="http://schemas.openxmlformats.org/officeDocument/2006/relationships/hyperlink" Target="https://accan.org.au/accans-work/no-australian-left-offline" TargetMode="External"/><Relationship Id="rId32" Type="http://schemas.openxmlformats.org/officeDocument/2006/relationships/hyperlink" Target="https://www.mobilemuster.com.au/wp-content/uploads/2020/09/Mobile-phone-use-reuse-and-recycling.pdf" TargetMode="External"/><Relationship Id="rId37" Type="http://schemas.openxmlformats.org/officeDocument/2006/relationships/hyperlink" Target="https://accan.org.au/accans-work/research/2251-affordability-snapshot-2023" TargetMode="External"/><Relationship Id="rId53" Type="http://schemas.openxmlformats.org/officeDocument/2006/relationships/hyperlink" Target="https://www.digitalinclusionindex.org.au/key-findings-and-next-steps/" TargetMode="External"/><Relationship Id="rId58" Type="http://schemas.openxmlformats.org/officeDocument/2006/relationships/hyperlink" Target="https://accan.org.au/files/Submissions/2023/ACCAN%20Submission%20to%20the%20Select%20Committee%20on%20Australias%20Disaster%20Resilience.pdf" TargetMode="External"/><Relationship Id="rId74" Type="http://schemas.openxmlformats.org/officeDocument/2006/relationships/hyperlink" Target="https://accan.org.au/accans-work/submissions/2061-digital-platforms-regulatory-reforms" TargetMode="External"/><Relationship Id="rId79" Type="http://schemas.openxmlformats.org/officeDocument/2006/relationships/hyperlink" Target="https://accan.org.au/accans-work/submissions/2055-pre-budget-submission-2023-2024?highlight=WyJwcmUiXQ==" TargetMode="External"/><Relationship Id="rId5" Type="http://schemas.openxmlformats.org/officeDocument/2006/relationships/hyperlink" Target="https://www.digitalinclusionindex.org.au/digital-inclusion-the-australian-context-in-2023/" TargetMode="External"/><Relationship Id="rId14" Type="http://schemas.openxmlformats.org/officeDocument/2006/relationships/hyperlink" Target="https://eftm.com/2022/10/unhappy-optus-customers-ditching-the-telco-as-eftm-survey-shows-were-all-paying-for-too-much-data-229055" TargetMode="External"/><Relationship Id="rId22" Type="http://schemas.openxmlformats.org/officeDocument/2006/relationships/hyperlink" Target="https://catalog.workventures.com.au/flip-book/366501/850282/page/1" TargetMode="External"/><Relationship Id="rId27" Type="http://schemas.openxmlformats.org/officeDocument/2006/relationships/hyperlink" Target="https://www.mobilemuster.com.au/wp-content/uploads/2020/09/Mobile-phone-use-reuse-and-recycling.pdf" TargetMode="External"/><Relationship Id="rId30" Type="http://schemas.openxmlformats.org/officeDocument/2006/relationships/hyperlink" Target="https://www.pc.gov.au/inquiries/completed/repair/report/repair-overview.pdf" TargetMode="External"/><Relationship Id="rId35" Type="http://schemas.openxmlformats.org/officeDocument/2006/relationships/hyperlink" Target="https://www.pc.gov.au/__data/assets/pdf_file/0005/272696/sub107-repair.pdf" TargetMode="External"/><Relationship Id="rId43" Type="http://schemas.openxmlformats.org/officeDocument/2006/relationships/hyperlink" Target="https://www.niaa.gov.au/sites/default/files/publications/first-nations-digital-inclusion-plan-2023-2026.pdf" TargetMode="External"/><Relationship Id="rId48" Type="http://schemas.openxmlformats.org/officeDocument/2006/relationships/hyperlink" Target="https://www.digitalinclusionindex.org.au/key-findings-and-next-steps/" TargetMode="External"/><Relationship Id="rId56" Type="http://schemas.openxmlformats.org/officeDocument/2006/relationships/hyperlink" Target="https://www.rmit.edu.au/news/all-news/2023/sep/mapping-digital-gap" TargetMode="External"/><Relationship Id="rId64" Type="http://schemas.openxmlformats.org/officeDocument/2006/relationships/hyperlink" Target="https://canadatelecoms.ca/wp-content/uploads/2023/11/Connecting-Canadians-through-resilient-networks.pdf" TargetMode="External"/><Relationship Id="rId69" Type="http://schemas.openxmlformats.org/officeDocument/2006/relationships/hyperlink" Target="https://www.infrastructure.gov.au/media-communications-arts/phone/mobile-network-hardening-program" TargetMode="External"/><Relationship Id="rId77" Type="http://schemas.openxmlformats.org/officeDocument/2006/relationships/hyperlink" Target="https://www.accessibletelecoms.org.au/" TargetMode="External"/><Relationship Id="rId8" Type="http://schemas.openxmlformats.org/officeDocument/2006/relationships/hyperlink" Target="https://accan.org.au/accans-work/submissions/2055-pre-budget-submission-2023-2024?highlight=WyJwcmUiXQ==" TargetMode="External"/><Relationship Id="rId51" Type="http://schemas.openxmlformats.org/officeDocument/2006/relationships/hyperlink" Target="https://www.accc.gov.au/system/files/Regional%20Mobile%20Infrastructure%20Inquiry%20final%20report.pdf" TargetMode="External"/><Relationship Id="rId72" Type="http://schemas.openxmlformats.org/officeDocument/2006/relationships/hyperlink" Target="https://www.acma.gov.au/publications/2023-12/report/communications-and-media-australia-how-we-communicate" TargetMode="External"/><Relationship Id="rId80" Type="http://schemas.openxmlformats.org/officeDocument/2006/relationships/hyperlink" Target="https://accan.org.au/accans-work/submissions/2055-pre-budget-submission-2023-2024?highlight=WyJwcmUiXQ==" TargetMode="External"/><Relationship Id="rId85" Type="http://schemas.openxmlformats.org/officeDocument/2006/relationships/hyperlink" Target="https://www.goodthingsfoundation.org/wp-content/uploads/2022/07/Good-Things-Foundation-and-CEBR-2022-%E2%80%93-Executive-Summary.pdf" TargetMode="External"/><Relationship Id="rId3" Type="http://schemas.openxmlformats.org/officeDocument/2006/relationships/hyperlink" Target="https://www.accc.gov.au/about-us/publications/serial-publications/accc-communications-market-report/accc-communications-market-report-2022-23" TargetMode="External"/><Relationship Id="rId12" Type="http://schemas.openxmlformats.org/officeDocument/2006/relationships/hyperlink" Target="https://accan.org.au/accans-work/policy-positions/2123-independent-plan-comparison-tool" TargetMode="External"/><Relationship Id="rId17" Type="http://schemas.openxmlformats.org/officeDocument/2006/relationships/hyperlink" Target="https://www.accc.gov.au/about-us/publications/accc-and-aer-annual-report/accc-and-aer-annual-report-2021-22" TargetMode="External"/><Relationship Id="rId25" Type="http://schemas.openxmlformats.org/officeDocument/2006/relationships/hyperlink" Target="https://www.depreciationrates.net.au/laptop" TargetMode="External"/><Relationship Id="rId33" Type="http://schemas.openxmlformats.org/officeDocument/2006/relationships/hyperlink" Target="https://www.halteobsolescence.org/wp-content/uploads/2022/02/Rapport-indice-de-reparabilite.pdf" TargetMode="External"/><Relationship Id="rId38" Type="http://schemas.openxmlformats.org/officeDocument/2006/relationships/hyperlink" Target="https://accan.org.au/accans-work/submissions/1953-accan-pre-budget-submission-2022-2023?highlight=WyJwcmUtYnVkZ2V0Il0=" TargetMode="External"/><Relationship Id="rId46" Type="http://schemas.openxmlformats.org/officeDocument/2006/relationships/hyperlink" Target="https://www.niaa.gov.au/indigenous-affairs/closing-gap/implementation-measures/regional-telecommunications-review" TargetMode="External"/><Relationship Id="rId59" Type="http://schemas.openxmlformats.org/officeDocument/2006/relationships/hyperlink" Target="https://minister.infrastructure.gov.au/rowland/media-release/budget-2023-24-connecting-informing-and-protecting-australians" TargetMode="External"/><Relationship Id="rId67" Type="http://schemas.openxmlformats.org/officeDocument/2006/relationships/hyperlink" Target="https://parlinfo.aph.gov.au/parlInfo/download/committees/reportrep/RB000010/toc_pdf/ConnectingthecountryMissioncritical.pdf" TargetMode="External"/><Relationship Id="rId20" Type="http://schemas.openxmlformats.org/officeDocument/2006/relationships/hyperlink" Target="https://accan.org.au/accans-work/submissions/2055-pre-budget-submission-2023-2024?highlight=WyJwcmUiXQ==" TargetMode="External"/><Relationship Id="rId41" Type="http://schemas.openxmlformats.org/officeDocument/2006/relationships/hyperlink" Target="https://www.digitalinclusion.gov.au/sites/default/files/documents/first-nations-digital-inclusion-advisory-group-initial-report.pdf" TargetMode="External"/><Relationship Id="rId54" Type="http://schemas.openxmlformats.org/officeDocument/2006/relationships/hyperlink" Target="https://www.digitalinclusion.gov.au/sites/default/files/documents/first-nations-digital-inclusion-advisory-group-initial-report.pdf" TargetMode="External"/><Relationship Id="rId62" Type="http://schemas.openxmlformats.org/officeDocument/2006/relationships/hyperlink" Target="https://www.acma.gov.au/sites/default/files/2023-12/Trends%20and%20developments%20in%20telecommunications%202022-23_0.pdf" TargetMode="External"/><Relationship Id="rId70" Type="http://schemas.openxmlformats.org/officeDocument/2006/relationships/hyperlink" Target="https://accan.org.au/accans-work/submissions/1953-accan-pre-budget-submission-2022-2023?highlight=WyJwcmUtYnVkZ2V0Il0=" TargetMode="External"/><Relationship Id="rId75" Type="http://schemas.openxmlformats.org/officeDocument/2006/relationships/hyperlink" Target="https://accan.org.au/accans-work/submissions/2074-influence-of-international-digital-platforms" TargetMode="External"/><Relationship Id="rId83" Type="http://schemas.openxmlformats.org/officeDocument/2006/relationships/hyperlink" Target="https://www.ebrd.com/documents/corporate-strategy/report-economic-inclusion-for-people-with-disabilities.pdf" TargetMode="External"/><Relationship Id="rId88" Type="http://schemas.openxmlformats.org/officeDocument/2006/relationships/hyperlink" Target="https://piac.asn.au/2023/05/23/australian-government-urged-to-strengthen-response-on-audio-description/" TargetMode="External"/><Relationship Id="rId1" Type="http://schemas.openxmlformats.org/officeDocument/2006/relationships/hyperlink" Target="https://accan.org.au/accans-work/policy-positions/2171-policy-priorities-2023-24" TargetMode="External"/><Relationship Id="rId6" Type="http://schemas.openxmlformats.org/officeDocument/2006/relationships/hyperlink" Target="https://www.digitalinclusionindex.org.au/digital-inclusion-the-australian-context-in-2023/" TargetMode="External"/><Relationship Id="rId15" Type="http://schemas.openxmlformats.org/officeDocument/2006/relationships/hyperlink" Target="https://www.whistleout.com.au/MobilePhones/Guides/Mobile-broadband-usage-guide" TargetMode="External"/><Relationship Id="rId23" Type="http://schemas.openxmlformats.org/officeDocument/2006/relationships/hyperlink" Target="https://catalog.workventures.com.au/flip-book/366501/850282/page/1" TargetMode="External"/><Relationship Id="rId28" Type="http://schemas.openxmlformats.org/officeDocument/2006/relationships/hyperlink" Target="https://www.mobilemuster.com.au/wp-content/uploads/2020/09/Mobile-phone-use-reuse-and-recycling.pdf" TargetMode="External"/><Relationship Id="rId36" Type="http://schemas.openxmlformats.org/officeDocument/2006/relationships/hyperlink" Target="https://www.accc.gov.au/system/files/communications-market-report-2022-23.pdf" TargetMode="External"/><Relationship Id="rId49" Type="http://schemas.openxmlformats.org/officeDocument/2006/relationships/hyperlink" Target="https://www.digitalinclusionindex.org.au/key-findings-and-next-steps/" TargetMode="External"/><Relationship Id="rId57" Type="http://schemas.openxmlformats.org/officeDocument/2006/relationships/hyperlink" Target="https://www.digitalinclusion.gov.au/sites/default/files/documents/first-nations-digital-inclusion-advisory-group-initial-report.pdf" TargetMode="External"/><Relationship Id="rId10" Type="http://schemas.openxmlformats.org/officeDocument/2006/relationships/hyperlink" Target="https://accan.org.au/accans-work/policy-positions/2123-independent-plan-comparison-tool" TargetMode="External"/><Relationship Id="rId31" Type="http://schemas.openxmlformats.org/officeDocument/2006/relationships/hyperlink" Target="https://itwire.com/it-industry-news/market/australian-smartphone-sales-growing-slowly,-with-android-gaining-market-share.html" TargetMode="External"/><Relationship Id="rId44" Type="http://schemas.openxmlformats.org/officeDocument/2006/relationships/hyperlink" Target="https://www.infrastructure.gov.au/media-communications-arts/phone/mobile-services-and-coverage/mobile-black-spot-program" TargetMode="External"/><Relationship Id="rId52" Type="http://schemas.openxmlformats.org/officeDocument/2006/relationships/hyperlink" Target="https://research.qut.edu.au/dmrc/wp-content/uploads/sites/5/2023/03/Connecting-in-the-Gulf-Final-Report_March2023-1.pdf" TargetMode="External"/><Relationship Id="rId60" Type="http://schemas.openxmlformats.org/officeDocument/2006/relationships/hyperlink" Target="https://www.accc.gov.au/system/files/communications-market-report-2022-23.pdf" TargetMode="External"/><Relationship Id="rId65" Type="http://schemas.openxmlformats.org/officeDocument/2006/relationships/hyperlink" Target="https://accan.org.au/accans-work/research/2003-consumer-expectations-2022" TargetMode="External"/><Relationship Id="rId73" Type="http://schemas.openxmlformats.org/officeDocument/2006/relationships/hyperlink" Target="https://accan.org.au/accans-work/submissions/2074-influence-of-international-digital-platforms" TargetMode="External"/><Relationship Id="rId78" Type="http://schemas.openxmlformats.org/officeDocument/2006/relationships/hyperlink" Target="https://accan.org.au/accans-work/submissions/2268-royal-commission-into-violence" TargetMode="External"/><Relationship Id="rId81" Type="http://schemas.openxmlformats.org/officeDocument/2006/relationships/hyperlink" Target="https://accan.org.au/accans-work/submissions/2268-royal-commission-into-violence" TargetMode="External"/><Relationship Id="rId86" Type="http://schemas.openxmlformats.org/officeDocument/2006/relationships/hyperlink" Target="https://accan.org.au/accans-work/submissions/2173-initial-data-and-digital-government-strategy" TargetMode="External"/><Relationship Id="rId4" Type="http://schemas.openxmlformats.org/officeDocument/2006/relationships/hyperlink" Target="https://accan.org.au/accans-work/research/2251-affordability-snapshot-2023" TargetMode="External"/><Relationship Id="rId9" Type="http://schemas.openxmlformats.org/officeDocument/2006/relationships/hyperlink" Target="https://accan.org.au/accans-work/no-australian-left-offline" TargetMode="External"/><Relationship Id="rId13" Type="http://schemas.openxmlformats.org/officeDocument/2006/relationships/hyperlink" Target="https://treasury.gov.au/sites/default/files/2021-11/c2021-198050-tc-finder.pdf" TargetMode="External"/><Relationship Id="rId18" Type="http://schemas.openxmlformats.org/officeDocument/2006/relationships/hyperlink" Target="https://www.aer.gov.au/documents/accc-and-aer-annual-report-2022-23" TargetMode="External"/><Relationship Id="rId39" Type="http://schemas.openxmlformats.org/officeDocument/2006/relationships/hyperlink" Target="https://accan.org.au/accans-work/submissions/1953-accan-pre-budget-submission-2022-2023?highlight=WyJwcmUtYnVkZ2V0Il0=" TargetMode="External"/><Relationship Id="rId34" Type="http://schemas.openxmlformats.org/officeDocument/2006/relationships/hyperlink" Target="https://www.pc.gov.au/__data/assets/pdf_file/0005/272696/sub107-repair.pdf" TargetMode="External"/><Relationship Id="rId50" Type="http://schemas.openxmlformats.org/officeDocument/2006/relationships/hyperlink" Target="https://www.accc.gov.au/system/files/Regional%20Mobile%20Infrastructure%20Inquiry%20final%20report.pdf" TargetMode="External"/><Relationship Id="rId55" Type="http://schemas.openxmlformats.org/officeDocument/2006/relationships/hyperlink" Target="https://www.rmit.edu.au/news/all-news/2023/sep/mapping-digital-gap" TargetMode="External"/><Relationship Id="rId76" Type="http://schemas.openxmlformats.org/officeDocument/2006/relationships/hyperlink" Target="https://accan.org.au/accans-work/submissions/2055-pre-budget-submission-2023-2024?highlight=WyJwcmUiXQ==" TargetMode="External"/><Relationship Id="rId7" Type="http://schemas.openxmlformats.org/officeDocument/2006/relationships/hyperlink" Target="https://www.infrastructure.gov.au/media-communications-arts/internet/national-broadband-network/school-student-broadband-initiative-ssbi" TargetMode="External"/><Relationship Id="rId71" Type="http://schemas.openxmlformats.org/officeDocument/2006/relationships/hyperlink" Target="https://accan.org.au/accans-work/submissions/2055-pre-budget-submission-2023-2024?highlight=WyJwcmUiXQ==" TargetMode="External"/><Relationship Id="rId2" Type="http://schemas.openxmlformats.org/officeDocument/2006/relationships/hyperlink" Target="https://www.infrastructure.gov.au/sites/default/files/documents/australian-households_-affordability-telecommunications-evidence-household-income-labour-dynamics-australia-hilda-data-working-paper-november2023.pdf" TargetMode="External"/><Relationship Id="rId29" Type="http://schemas.openxmlformats.org/officeDocument/2006/relationships/hyperlink" Target="https://www.mobilemuster.com.au/wp-content/uploads/2020/09/Mobile-phone-use-reuse-and-recycling.pdf" TargetMode="External"/><Relationship Id="rId24" Type="http://schemas.openxmlformats.org/officeDocument/2006/relationships/hyperlink" Target="https://www.depreciationrates.net.au/telephony" TargetMode="External"/><Relationship Id="rId40" Type="http://schemas.openxmlformats.org/officeDocument/2006/relationships/hyperlink" Target="https://www.infrastructure.gov.au/media-communications-arts/phone/mobile-services-and-coverage/mobile-black-spot-program" TargetMode="External"/><Relationship Id="rId45" Type="http://schemas.openxmlformats.org/officeDocument/2006/relationships/hyperlink" Target="https://www.niaa.gov.au/sites/default/files/publications/first-nations-digital-inclusion-plan-2023-2026.pdf" TargetMode="External"/><Relationship Id="rId66" Type="http://schemas.openxmlformats.org/officeDocument/2006/relationships/hyperlink" Target="https://accan.org.au/accans-work/submissions/2258-optus-network-outage?highlight=WyJvcHR1cyIsIm9wdHVzJyIsIidvcHR1cyIsIm9wdHVzJ3MiXQ==" TargetMode="External"/><Relationship Id="rId87" Type="http://schemas.openxmlformats.org/officeDocument/2006/relationships/hyperlink" Target="https://accan.org.au/accans-work/submissions/2055-pre-budget-submission-2023-2024?highlight=WyJwcmUiXQ==" TargetMode="External"/><Relationship Id="rId61" Type="http://schemas.openxmlformats.org/officeDocument/2006/relationships/hyperlink" Target="https://www.accc.gov.au/system/files/communications-market-report-2022-23.pdf" TargetMode="External"/><Relationship Id="rId82" Type="http://schemas.openxmlformats.org/officeDocument/2006/relationships/hyperlink" Target="https://www.digitalinclusionindex.org.au/key-findings-and-next-steps/" TargetMode="External"/><Relationship Id="rId19" Type="http://schemas.openxmlformats.org/officeDocument/2006/relationships/hyperlink" Target="https://accan.org.au/accans-work/submissions/2055-pre-budget-submission-2023-2024?highlight=WyJwcmUiX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ouskos\OneDrive%20-%20ACCAN\DocumentTemplate-Long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6" ma:contentTypeDescription="Create a new document." ma:contentTypeScope="" ma:versionID="b448faad850f0a627630f1d94fceb680">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b391c48741c2560b12c78acfb22e0fd1"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UserInfo>
        <DisplayName>David Swayn</DisplayName>
        <AccountId>5369</AccountId>
        <AccountType/>
      </UserInfo>
      <UserInfo>
        <DisplayName>Con Gouskos</DisplayName>
        <AccountId>3107</AccountId>
        <AccountType/>
      </UserInfo>
      <UserInfo>
        <DisplayName>Gareth Downing</DisplayName>
        <AccountId>3590</AccountId>
        <AccountType/>
      </UserInfo>
      <UserInfo>
        <DisplayName>Audrey Reoch</DisplayName>
        <AccountId>4947</AccountId>
        <AccountType/>
      </UserInfo>
      <UserInfo>
        <DisplayName>Andrew Williams</DisplayName>
        <AccountId>17</AccountId>
        <AccountType/>
      </UserInfo>
    </SharedWithUsers>
    <TaxCatchAll xmlns="2afa1a33-c191-48ee-b288-192490d33fec" xsi:nil="true"/>
    <lcf76f155ced4ddcb4097134ff3c332f xmlns="25af2f0e-673d-4721-b64c-73e7c4e9e0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8AE4-7323-4656-8D89-BD98982C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F4F94-1AF4-4521-991E-7AE5BA2A5212}">
  <ds:schemaRefs>
    <ds:schemaRef ds:uri="http://schemas.microsoft.com/office/2006/metadata/properties"/>
    <ds:schemaRef ds:uri="http://schemas.microsoft.com/office/infopath/2007/PartnerControls"/>
    <ds:schemaRef ds:uri="2afa1a33-c191-48ee-b288-192490d33fec"/>
    <ds:schemaRef ds:uri="25af2f0e-673d-4721-b64c-73e7c4e9e0c5"/>
  </ds:schemaRefs>
</ds:datastoreItem>
</file>

<file path=customXml/itemProps3.xml><?xml version="1.0" encoding="utf-8"?>
<ds:datastoreItem xmlns:ds="http://schemas.openxmlformats.org/officeDocument/2006/customXml" ds:itemID="{C6C21FB9-1321-4B4B-A22E-45DA56E9FF65}">
  <ds:schemaRefs>
    <ds:schemaRef ds:uri="http://schemas.microsoft.com/sharepoint/v3/contenttype/forms"/>
  </ds:schemaRefs>
</ds:datastoreItem>
</file>

<file path=customXml/itemProps4.xml><?xml version="1.0" encoding="utf-8"?>
<ds:datastoreItem xmlns:ds="http://schemas.openxmlformats.org/officeDocument/2006/customXml" ds:itemID="{95AF32C4-E29F-4DAE-A960-499EE02F3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DocumentTemplate-LongSubmission</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 Gouskos</dc:creator>
  <keywords/>
  <lastModifiedBy>Con Gouskos</lastModifiedBy>
  <revision>558</revision>
  <lastPrinted>2024-01-30T02:12:00.0000000Z</lastPrinted>
  <dcterms:created xsi:type="dcterms:W3CDTF">2024-01-19T13:38:00.0000000Z</dcterms:created>
  <dcterms:modified xsi:type="dcterms:W3CDTF">2024-01-30T03:31:47.9979171Z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SharedWithUsers">
    <vt:lpwstr>16;#Rebekah Sarkoezy;#27;#Meredith Lea</vt:lpwstr>
  </property>
  <property fmtid="{D5CDD505-2E9C-101B-9397-08002B2CF9AE}" pid="4" name="MediaServiceImageTags">
    <vt:lpwstr/>
  </property>
</Properties>
</file>